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66E6" w:rsidRPr="001A01AB" w:rsidRDefault="000A66E6" w:rsidP="001A01AB">
      <w:pPr>
        <w:pStyle w:val="Prrafodelista"/>
        <w:pBdr>
          <w:bottom w:val="single" w:sz="12" w:space="1" w:color="365F91"/>
        </w:pBdr>
        <w:spacing w:after="0" w:line="240" w:lineRule="auto"/>
        <w:ind w:left="0"/>
        <w:jc w:val="both"/>
        <w:rPr>
          <w:rFonts w:cs="Calibri"/>
          <w:b/>
          <w:color w:val="365F91"/>
          <w:sz w:val="36"/>
          <w:szCs w:val="36"/>
        </w:rPr>
      </w:pPr>
      <w:r w:rsidRPr="001A01AB">
        <w:rPr>
          <w:rFonts w:cs="Calibri"/>
          <w:b/>
          <w:color w:val="365F91"/>
          <w:sz w:val="36"/>
          <w:szCs w:val="36"/>
        </w:rPr>
        <w:t>Índice general</w:t>
      </w:r>
    </w:p>
    <w:p w:rsidR="0018035A" w:rsidRPr="005F3A11" w:rsidRDefault="0018035A" w:rsidP="00577CC5">
      <w:pPr>
        <w:jc w:val="center"/>
        <w:rPr>
          <w:rFonts w:ascii="Calibri" w:hAnsi="Calibri" w:cs="Calibri"/>
          <w:lang w:val="es-GT"/>
        </w:rPr>
      </w:pPr>
    </w:p>
    <w:p w:rsidR="005F3A11" w:rsidRPr="005F3A11" w:rsidRDefault="00DE23E1">
      <w:pPr>
        <w:pStyle w:val="TDC1"/>
        <w:tabs>
          <w:tab w:val="right" w:leader="dot" w:pos="9638"/>
        </w:tabs>
        <w:rPr>
          <w:rFonts w:asciiTheme="minorHAnsi" w:eastAsiaTheme="minorEastAsia" w:hAnsiTheme="minorHAnsi" w:cstheme="minorHAnsi"/>
          <w:noProof/>
          <w:sz w:val="22"/>
          <w:szCs w:val="22"/>
          <w:lang w:val="es-GT" w:eastAsia="es-GT"/>
        </w:rPr>
      </w:pPr>
      <w:r w:rsidRPr="005F3A11">
        <w:rPr>
          <w:rFonts w:asciiTheme="minorHAnsi" w:hAnsiTheme="minorHAnsi" w:cstheme="minorHAnsi"/>
          <w:lang w:val="es-GT"/>
        </w:rPr>
        <w:fldChar w:fldCharType="begin"/>
      </w:r>
      <w:r w:rsidRPr="005F3A11">
        <w:rPr>
          <w:rFonts w:asciiTheme="minorHAnsi" w:hAnsiTheme="minorHAnsi" w:cstheme="minorHAnsi"/>
          <w:lang w:val="es-GT"/>
        </w:rPr>
        <w:instrText xml:space="preserve"> TOC \o "1-3" \h \z \u </w:instrText>
      </w:r>
      <w:r w:rsidRPr="005F3A11">
        <w:rPr>
          <w:rFonts w:asciiTheme="minorHAnsi" w:hAnsiTheme="minorHAnsi" w:cstheme="minorHAnsi"/>
          <w:lang w:val="es-GT"/>
        </w:rPr>
        <w:fldChar w:fldCharType="separate"/>
      </w:r>
      <w:hyperlink w:anchor="_Toc347841282" w:history="1">
        <w:r w:rsidR="005F3A11" w:rsidRPr="005F3A11">
          <w:rPr>
            <w:rStyle w:val="Hipervnculo"/>
            <w:rFonts w:asciiTheme="minorHAnsi" w:hAnsiTheme="minorHAnsi" w:cstheme="minorHAnsi"/>
            <w:noProof/>
            <w:lang w:eastAsia="es-GT"/>
          </w:rPr>
          <w:t>Acrónimos</w:t>
        </w:r>
        <w:r w:rsidR="005F3A11" w:rsidRPr="005F3A11">
          <w:rPr>
            <w:rFonts w:asciiTheme="minorHAnsi" w:hAnsiTheme="minorHAnsi" w:cstheme="minorHAnsi"/>
            <w:noProof/>
            <w:webHidden/>
          </w:rPr>
          <w:tab/>
        </w:r>
        <w:r w:rsidR="005F3A11" w:rsidRPr="005F3A11">
          <w:rPr>
            <w:rFonts w:asciiTheme="minorHAnsi" w:hAnsiTheme="minorHAnsi" w:cstheme="minorHAnsi"/>
            <w:noProof/>
            <w:webHidden/>
          </w:rPr>
          <w:fldChar w:fldCharType="begin"/>
        </w:r>
        <w:r w:rsidR="005F3A11" w:rsidRPr="005F3A11">
          <w:rPr>
            <w:rFonts w:asciiTheme="minorHAnsi" w:hAnsiTheme="minorHAnsi" w:cstheme="minorHAnsi"/>
            <w:noProof/>
            <w:webHidden/>
          </w:rPr>
          <w:instrText xml:space="preserve"> PAGEREF _Toc347841282 \h </w:instrText>
        </w:r>
        <w:r w:rsidR="005F3A11" w:rsidRPr="005F3A11">
          <w:rPr>
            <w:rFonts w:asciiTheme="minorHAnsi" w:hAnsiTheme="minorHAnsi" w:cstheme="minorHAnsi"/>
            <w:noProof/>
            <w:webHidden/>
          </w:rPr>
        </w:r>
        <w:r w:rsidR="005F3A11" w:rsidRPr="005F3A11">
          <w:rPr>
            <w:rFonts w:asciiTheme="minorHAnsi" w:hAnsiTheme="minorHAnsi" w:cstheme="minorHAnsi"/>
            <w:noProof/>
            <w:webHidden/>
          </w:rPr>
          <w:fldChar w:fldCharType="separate"/>
        </w:r>
        <w:r w:rsidR="005F3A11" w:rsidRPr="005F3A11">
          <w:rPr>
            <w:rFonts w:asciiTheme="minorHAnsi" w:hAnsiTheme="minorHAnsi" w:cstheme="minorHAnsi"/>
            <w:noProof/>
            <w:webHidden/>
          </w:rPr>
          <w:t>v</w:t>
        </w:r>
        <w:r w:rsidR="005F3A11" w:rsidRPr="005F3A11">
          <w:rPr>
            <w:rFonts w:asciiTheme="minorHAnsi" w:hAnsiTheme="minorHAnsi" w:cstheme="minorHAnsi"/>
            <w:noProof/>
            <w:webHidden/>
          </w:rPr>
          <w:fldChar w:fldCharType="end"/>
        </w:r>
      </w:hyperlink>
    </w:p>
    <w:p w:rsidR="005F3A11" w:rsidRPr="005F3A11" w:rsidRDefault="005F3A11">
      <w:pPr>
        <w:pStyle w:val="TDC1"/>
        <w:tabs>
          <w:tab w:val="right" w:leader="dot" w:pos="9638"/>
        </w:tabs>
        <w:rPr>
          <w:rFonts w:asciiTheme="minorHAnsi" w:eastAsiaTheme="minorEastAsia" w:hAnsiTheme="minorHAnsi" w:cstheme="minorHAnsi"/>
          <w:noProof/>
          <w:sz w:val="22"/>
          <w:szCs w:val="22"/>
          <w:lang w:val="es-GT" w:eastAsia="es-GT"/>
        </w:rPr>
      </w:pPr>
      <w:hyperlink w:anchor="_Toc347841283" w:history="1">
        <w:r w:rsidRPr="005F3A11">
          <w:rPr>
            <w:rStyle w:val="Hipervnculo"/>
            <w:rFonts w:asciiTheme="minorHAnsi" w:hAnsiTheme="minorHAnsi" w:cstheme="minorHAnsi"/>
            <w:noProof/>
            <w:lang w:eastAsia="es-GT"/>
          </w:rPr>
          <w:t>Nota aclaratoria</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_Toc347841283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vii</w:t>
        </w:r>
        <w:r w:rsidRPr="005F3A11">
          <w:rPr>
            <w:rFonts w:asciiTheme="minorHAnsi" w:hAnsiTheme="minorHAnsi" w:cstheme="minorHAnsi"/>
            <w:noProof/>
            <w:webHidden/>
          </w:rPr>
          <w:fldChar w:fldCharType="end"/>
        </w:r>
      </w:hyperlink>
    </w:p>
    <w:p w:rsidR="005F3A11" w:rsidRPr="005F3A11" w:rsidRDefault="005F3A11">
      <w:pPr>
        <w:pStyle w:val="TDC1"/>
        <w:tabs>
          <w:tab w:val="right" w:leader="dot" w:pos="9638"/>
        </w:tabs>
        <w:rPr>
          <w:rFonts w:asciiTheme="minorHAnsi" w:eastAsiaTheme="minorEastAsia" w:hAnsiTheme="minorHAnsi" w:cstheme="minorHAnsi"/>
          <w:noProof/>
          <w:sz w:val="22"/>
          <w:szCs w:val="22"/>
          <w:lang w:val="es-GT" w:eastAsia="es-GT"/>
        </w:rPr>
      </w:pPr>
      <w:hyperlink w:anchor="_Toc347841284" w:history="1">
        <w:r w:rsidRPr="005F3A11">
          <w:rPr>
            <w:rStyle w:val="Hipervnculo"/>
            <w:rFonts w:asciiTheme="minorHAnsi" w:hAnsiTheme="minorHAnsi" w:cstheme="minorHAnsi"/>
            <w:noProof/>
            <w:lang w:eastAsia="es-GT"/>
          </w:rPr>
          <w:t>Resumen ejecutivo</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_Toc347841284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viii</w:t>
        </w:r>
        <w:r w:rsidRPr="005F3A11">
          <w:rPr>
            <w:rFonts w:asciiTheme="minorHAnsi" w:hAnsiTheme="minorHAnsi" w:cstheme="minorHAnsi"/>
            <w:noProof/>
            <w:webHidden/>
          </w:rPr>
          <w:fldChar w:fldCharType="end"/>
        </w:r>
      </w:hyperlink>
    </w:p>
    <w:p w:rsidR="005F3A11" w:rsidRPr="005F3A11" w:rsidRDefault="005F3A11">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7841285" w:history="1">
        <w:r w:rsidRPr="005F3A11">
          <w:rPr>
            <w:rStyle w:val="Hipervnculo"/>
            <w:rFonts w:asciiTheme="minorHAnsi" w:hAnsiTheme="minorHAnsi" w:cstheme="minorHAnsi"/>
            <w:noProof/>
            <w:lang w:eastAsia="es-GT"/>
          </w:rPr>
          <w:t>1.</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Introducción</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_Toc347841285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w:t>
        </w:r>
        <w:r w:rsidRPr="005F3A11">
          <w:rPr>
            <w:rFonts w:asciiTheme="minorHAnsi" w:hAnsiTheme="minorHAnsi" w:cstheme="minorHAnsi"/>
            <w:noProof/>
            <w:webHidden/>
          </w:rPr>
          <w:fldChar w:fldCharType="end"/>
        </w:r>
      </w:hyperlink>
    </w:p>
    <w:p w:rsidR="005F3A11" w:rsidRPr="005F3A11" w:rsidRDefault="005F3A11">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7841286" w:history="1">
        <w:r w:rsidRPr="005F3A11">
          <w:rPr>
            <w:rStyle w:val="Hipervnculo"/>
            <w:rFonts w:asciiTheme="minorHAnsi" w:hAnsiTheme="minorHAnsi" w:cstheme="minorHAnsi"/>
            <w:noProof/>
            <w:lang w:eastAsia="es-GT"/>
          </w:rPr>
          <w:t>2.</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Antecedentes</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_Toc347841286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4</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87" w:history="1">
        <w:r w:rsidRPr="005F3A11">
          <w:rPr>
            <w:rStyle w:val="Hipervnculo"/>
            <w:rFonts w:asciiTheme="minorHAnsi" w:hAnsiTheme="minorHAnsi" w:cstheme="minorHAnsi"/>
            <w:noProof/>
            <w:lang w:eastAsia="es-GT"/>
          </w:rPr>
          <w:t>2.1.</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Los propósitos de la Evaluación Ambiental Estratégica y FIDA</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_Toc347841287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4</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88" w:history="1">
        <w:r w:rsidRPr="005F3A11">
          <w:rPr>
            <w:rStyle w:val="Hipervnculo"/>
            <w:rFonts w:asciiTheme="minorHAnsi" w:hAnsiTheme="minorHAnsi" w:cstheme="minorHAnsi"/>
            <w:noProof/>
            <w:lang w:eastAsia="es-GT"/>
          </w:rPr>
          <w:t>2.2.</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Objetivos</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_Toc347841288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4</w:t>
        </w:r>
        <w:r w:rsidRPr="005F3A11">
          <w:rPr>
            <w:rFonts w:asciiTheme="minorHAnsi" w:hAnsiTheme="minorHAnsi" w:cstheme="minorHAnsi"/>
            <w:noProof/>
            <w:webHidden/>
          </w:rPr>
          <w:fldChar w:fldCharType="end"/>
        </w:r>
      </w:hyperlink>
    </w:p>
    <w:p w:rsidR="005F3A11" w:rsidRPr="005F3A11" w:rsidRDefault="005F3A11">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7841289" w:history="1">
        <w:r w:rsidRPr="005F3A11">
          <w:rPr>
            <w:rStyle w:val="Hipervnculo"/>
            <w:rFonts w:asciiTheme="minorHAnsi" w:hAnsiTheme="minorHAnsi" w:cstheme="minorHAnsi"/>
            <w:noProof/>
            <w:lang w:eastAsia="es-GT"/>
          </w:rPr>
          <w:t>3.</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Marco metodológico utilizado</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_Toc347841289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5</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90" w:history="1">
        <w:r w:rsidRPr="005F3A11">
          <w:rPr>
            <w:rStyle w:val="Hipervnculo"/>
            <w:rFonts w:asciiTheme="minorHAnsi" w:hAnsiTheme="minorHAnsi" w:cstheme="minorHAnsi"/>
            <w:noProof/>
            <w:lang w:eastAsia="es-GT"/>
          </w:rPr>
          <w:t>3.1.</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Análisis de contexto</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_Toc347841290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8</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91" w:history="1">
        <w:r w:rsidRPr="005F3A11">
          <w:rPr>
            <w:rStyle w:val="Hipervnculo"/>
            <w:rFonts w:asciiTheme="minorHAnsi" w:hAnsiTheme="minorHAnsi" w:cstheme="minorHAnsi"/>
            <w:noProof/>
            <w:lang w:eastAsia="es-GT"/>
          </w:rPr>
          <w:t>3.2.</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Análisis estratégico</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_Toc347841291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9</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92" w:history="1">
        <w:r w:rsidRPr="005F3A11">
          <w:rPr>
            <w:rStyle w:val="Hipervnculo"/>
            <w:rFonts w:asciiTheme="minorHAnsi" w:hAnsiTheme="minorHAnsi" w:cstheme="minorHAnsi"/>
            <w:noProof/>
            <w:lang w:eastAsia="es-GT"/>
          </w:rPr>
          <w:t>3.3.</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Validación</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_Toc347841292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13</w:t>
        </w:r>
        <w:r w:rsidRPr="005F3A11">
          <w:rPr>
            <w:rFonts w:asciiTheme="minorHAnsi" w:hAnsiTheme="minorHAnsi" w:cstheme="minorHAnsi"/>
            <w:noProof/>
            <w:webHidden/>
          </w:rPr>
          <w:fldChar w:fldCharType="end"/>
        </w:r>
      </w:hyperlink>
    </w:p>
    <w:p w:rsidR="005F3A11" w:rsidRPr="005F3A11" w:rsidRDefault="005F3A11">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7841293" w:history="1">
        <w:r w:rsidRPr="005F3A11">
          <w:rPr>
            <w:rStyle w:val="Hipervnculo"/>
            <w:rFonts w:asciiTheme="minorHAnsi" w:hAnsiTheme="minorHAnsi" w:cstheme="minorHAnsi"/>
            <w:noProof/>
            <w:lang w:eastAsia="es-GT"/>
          </w:rPr>
          <w:t>4.</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Caracterización del contexto nacional</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_Toc347841293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14</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94" w:history="1">
        <w:r w:rsidRPr="005F3A11">
          <w:rPr>
            <w:rStyle w:val="Hipervnculo"/>
            <w:rFonts w:asciiTheme="minorHAnsi" w:hAnsiTheme="minorHAnsi" w:cstheme="minorHAnsi"/>
            <w:noProof/>
            <w:lang w:eastAsia="es-GT"/>
          </w:rPr>
          <w:t>4.1.</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Datos generales sobre el país</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_Toc347841294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14</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95" w:history="1">
        <w:r w:rsidRPr="005F3A11">
          <w:rPr>
            <w:rStyle w:val="Hipervnculo"/>
            <w:rFonts w:asciiTheme="minorHAnsi" w:hAnsiTheme="minorHAnsi" w:cstheme="minorHAnsi"/>
            <w:noProof/>
            <w:lang w:eastAsia="es-GT"/>
          </w:rPr>
          <w:t>4.2.</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Síntesis del Sistema Socioecológico Nacional</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_Toc347841295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17</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96" w:history="1">
        <w:r w:rsidRPr="005F3A11">
          <w:rPr>
            <w:rStyle w:val="Hipervnculo"/>
            <w:rFonts w:asciiTheme="minorHAnsi" w:hAnsiTheme="minorHAnsi" w:cstheme="minorHAnsi"/>
            <w:noProof/>
            <w:lang w:eastAsia="es-GT"/>
          </w:rPr>
          <w:t>4.3.</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Vínculos entre la agricultura y la pobreza rural</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_Toc347841296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62</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97" w:history="1">
        <w:r w:rsidRPr="005F3A11">
          <w:rPr>
            <w:rStyle w:val="Hipervnculo"/>
            <w:rFonts w:asciiTheme="minorHAnsi" w:hAnsiTheme="minorHAnsi" w:cstheme="minorHAnsi"/>
            <w:noProof/>
            <w:lang w:eastAsia="es-GT"/>
          </w:rPr>
          <w:t>4.4.</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Relación entre el aparato productivo económico y la degradación ambiental</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_Toc347841297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63</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98" w:history="1">
        <w:r w:rsidRPr="005F3A11">
          <w:rPr>
            <w:rStyle w:val="Hipervnculo"/>
            <w:rFonts w:asciiTheme="minorHAnsi" w:hAnsiTheme="minorHAnsi" w:cstheme="minorHAnsi"/>
            <w:noProof/>
            <w:lang w:eastAsia="es-GT"/>
          </w:rPr>
          <w:t>4.5.</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Responsabilidades sectoriales</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_Toc347841298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66</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299" w:history="1">
        <w:r w:rsidRPr="005F3A11">
          <w:rPr>
            <w:rStyle w:val="Hipervnculo"/>
            <w:rFonts w:asciiTheme="minorHAnsi" w:hAnsiTheme="minorHAnsi" w:cstheme="minorHAnsi"/>
            <w:noProof/>
            <w:lang w:eastAsia="es-GT"/>
          </w:rPr>
          <w:t>4.6.</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Relación entre la pobreza y la degradación ambiental</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_Toc347841299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69</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00" w:history="1">
        <w:r w:rsidRPr="005F3A11">
          <w:rPr>
            <w:rStyle w:val="Hipervnculo"/>
            <w:rFonts w:asciiTheme="minorHAnsi" w:hAnsiTheme="minorHAnsi" w:cstheme="minorHAnsi"/>
            <w:noProof/>
            <w:lang w:eastAsia="es-GT"/>
          </w:rPr>
          <w:t>4.7.</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La vulnerabilidad del sistema país desde la lógica del Sistema Socioecológico</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_Toc347841300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71</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01" w:history="1">
        <w:r w:rsidRPr="005F3A11">
          <w:rPr>
            <w:rStyle w:val="Hipervnculo"/>
            <w:rFonts w:asciiTheme="minorHAnsi" w:hAnsiTheme="minorHAnsi" w:cstheme="minorHAnsi"/>
            <w:noProof/>
            <w:lang w:eastAsia="es-GT"/>
          </w:rPr>
          <w:t>4.8.</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Reflexiones finales sobre el contexto</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_Toc347841301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75</w:t>
        </w:r>
        <w:r w:rsidRPr="005F3A11">
          <w:rPr>
            <w:rFonts w:asciiTheme="minorHAnsi" w:hAnsiTheme="minorHAnsi" w:cstheme="minorHAnsi"/>
            <w:noProof/>
            <w:webHidden/>
          </w:rPr>
          <w:fldChar w:fldCharType="end"/>
        </w:r>
      </w:hyperlink>
    </w:p>
    <w:p w:rsidR="005F3A11" w:rsidRPr="005F3A11" w:rsidRDefault="005F3A11">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7841302" w:history="1">
        <w:r w:rsidRPr="005F3A11">
          <w:rPr>
            <w:rStyle w:val="Hipervnculo"/>
            <w:rFonts w:asciiTheme="minorHAnsi" w:hAnsiTheme="minorHAnsi" w:cstheme="minorHAnsi"/>
            <w:noProof/>
            <w:lang w:eastAsia="es-GT"/>
          </w:rPr>
          <w:t>5</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Análisis estratégico</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_Toc347841302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78</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03" w:history="1">
        <w:r w:rsidRPr="005F3A11">
          <w:rPr>
            <w:rStyle w:val="Hipervnculo"/>
            <w:rFonts w:asciiTheme="minorHAnsi" w:hAnsiTheme="minorHAnsi" w:cstheme="minorHAnsi"/>
            <w:noProof/>
            <w:lang w:eastAsia="es-GT"/>
          </w:rPr>
          <w:t>5.1</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Definición del Objetivo Estratégico de la intervención del Fondo Internacional de Desarrollo Agrícola (FIDA) para Guatemala</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_Toc347841303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78</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04" w:history="1">
        <w:r w:rsidRPr="005F3A11">
          <w:rPr>
            <w:rStyle w:val="Hipervnculo"/>
            <w:rFonts w:asciiTheme="minorHAnsi" w:hAnsiTheme="minorHAnsi" w:cstheme="minorHAnsi"/>
            <w:noProof/>
            <w:lang w:eastAsia="es-GT"/>
          </w:rPr>
          <w:t>5.2</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Análisis de los principales agentes institucionales</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_Toc347841304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82</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05" w:history="1">
        <w:r w:rsidRPr="005F3A11">
          <w:rPr>
            <w:rStyle w:val="Hipervnculo"/>
            <w:rFonts w:asciiTheme="minorHAnsi" w:hAnsiTheme="minorHAnsi" w:cstheme="minorHAnsi"/>
            <w:noProof/>
            <w:lang w:eastAsia="es-GT"/>
          </w:rPr>
          <w:t>5.3</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Definición del Marco de Referencia Estratégico (MRE)</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_Toc347841305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88</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06" w:history="1">
        <w:r w:rsidRPr="005F3A11">
          <w:rPr>
            <w:rStyle w:val="Hipervnculo"/>
            <w:rFonts w:asciiTheme="minorHAnsi" w:hAnsiTheme="minorHAnsi" w:cstheme="minorHAnsi"/>
            <w:noProof/>
            <w:lang w:eastAsia="es-GT"/>
          </w:rPr>
          <w:t>5.4</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Principales Cuestiones Estratégicas (CE)</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_Toc347841306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94</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07" w:history="1">
        <w:r w:rsidRPr="005F3A11">
          <w:rPr>
            <w:rStyle w:val="Hipervnculo"/>
            <w:rFonts w:asciiTheme="minorHAnsi" w:hAnsiTheme="minorHAnsi" w:cstheme="minorHAnsi"/>
            <w:noProof/>
            <w:lang w:eastAsia="es-GT"/>
          </w:rPr>
          <w:t>5.5</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Principales Aspectos Socio-Ambientales (ASA)</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_Toc347841307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95</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08" w:history="1">
        <w:r w:rsidRPr="005F3A11">
          <w:rPr>
            <w:rStyle w:val="Hipervnculo"/>
            <w:rFonts w:asciiTheme="minorHAnsi" w:hAnsiTheme="minorHAnsi" w:cstheme="minorHAnsi"/>
            <w:noProof/>
            <w:lang w:eastAsia="es-GT"/>
          </w:rPr>
          <w:t>5.6</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Factores Críticos para la Decisión (FCD)</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_Toc347841308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98</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09" w:history="1">
        <w:r w:rsidRPr="005F3A11">
          <w:rPr>
            <w:rStyle w:val="Hipervnculo"/>
            <w:rFonts w:asciiTheme="minorHAnsi" w:hAnsiTheme="minorHAnsi" w:cstheme="minorHAnsi"/>
            <w:noProof/>
            <w:lang w:eastAsia="es-GT"/>
          </w:rPr>
          <w:t>5.7</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Identificación y evaluación de Opciones Estratégicas</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_Toc347841309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113</w:t>
        </w:r>
        <w:r w:rsidRPr="005F3A11">
          <w:rPr>
            <w:rFonts w:asciiTheme="minorHAnsi" w:hAnsiTheme="minorHAnsi" w:cstheme="minorHAnsi"/>
            <w:noProof/>
            <w:webHidden/>
          </w:rPr>
          <w:fldChar w:fldCharType="end"/>
        </w:r>
      </w:hyperlink>
    </w:p>
    <w:p w:rsidR="005F3A11" w:rsidRPr="005F3A11" w:rsidRDefault="005F3A11">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7841310" w:history="1">
        <w:r w:rsidRPr="005F3A11">
          <w:rPr>
            <w:rStyle w:val="Hipervnculo"/>
            <w:rFonts w:asciiTheme="minorHAnsi" w:hAnsiTheme="minorHAnsi" w:cstheme="minorHAnsi"/>
            <w:noProof/>
            <w:lang w:eastAsia="es-GT"/>
          </w:rPr>
          <w:t>6</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Directrices de sostenibilidad ambiental</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_Toc347841310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139</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11" w:history="1">
        <w:r w:rsidRPr="005F3A11">
          <w:rPr>
            <w:rStyle w:val="Hipervnculo"/>
            <w:rFonts w:asciiTheme="minorHAnsi" w:hAnsiTheme="minorHAnsi" w:cstheme="minorHAnsi"/>
            <w:noProof/>
            <w:lang w:eastAsia="es-GT"/>
          </w:rPr>
          <w:t>6.1</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Los principios rectores propuestos son:</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_Toc347841311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139</w:t>
        </w:r>
        <w:r w:rsidRPr="005F3A11">
          <w:rPr>
            <w:rFonts w:asciiTheme="minorHAnsi" w:hAnsiTheme="minorHAnsi" w:cstheme="minorHAnsi"/>
            <w:noProof/>
            <w:webHidden/>
          </w:rPr>
          <w:fldChar w:fldCharType="end"/>
        </w:r>
      </w:hyperlink>
    </w:p>
    <w:p w:rsidR="005F3A11" w:rsidRPr="005F3A11" w:rsidRDefault="005F3A11">
      <w:pPr>
        <w:pStyle w:val="TDC2"/>
        <w:tabs>
          <w:tab w:val="left" w:pos="880"/>
          <w:tab w:val="right" w:leader="dot" w:pos="9638"/>
        </w:tabs>
        <w:rPr>
          <w:rFonts w:asciiTheme="minorHAnsi" w:eastAsiaTheme="minorEastAsia" w:hAnsiTheme="minorHAnsi" w:cstheme="minorHAnsi"/>
          <w:noProof/>
          <w:sz w:val="22"/>
          <w:szCs w:val="22"/>
          <w:lang w:val="es-GT" w:eastAsia="es-GT"/>
        </w:rPr>
      </w:pPr>
      <w:hyperlink w:anchor="_Toc347841312" w:history="1">
        <w:r w:rsidRPr="005F3A11">
          <w:rPr>
            <w:rStyle w:val="Hipervnculo"/>
            <w:rFonts w:asciiTheme="minorHAnsi" w:hAnsiTheme="minorHAnsi" w:cstheme="minorHAnsi"/>
            <w:noProof/>
            <w:lang w:eastAsia="es-GT"/>
          </w:rPr>
          <w:t>6.2</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Los criterios operativos propuestos son:</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_Toc347841312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139</w:t>
        </w:r>
        <w:r w:rsidRPr="005F3A11">
          <w:rPr>
            <w:rFonts w:asciiTheme="minorHAnsi" w:hAnsiTheme="minorHAnsi" w:cstheme="minorHAnsi"/>
            <w:noProof/>
            <w:webHidden/>
          </w:rPr>
          <w:fldChar w:fldCharType="end"/>
        </w:r>
      </w:hyperlink>
    </w:p>
    <w:p w:rsidR="005F3A11" w:rsidRPr="005F3A11" w:rsidRDefault="005F3A11">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7841313" w:history="1">
        <w:r w:rsidRPr="005F3A11">
          <w:rPr>
            <w:rStyle w:val="Hipervnculo"/>
            <w:rFonts w:asciiTheme="minorHAnsi" w:hAnsiTheme="minorHAnsi" w:cstheme="minorHAnsi"/>
            <w:noProof/>
            <w:lang w:eastAsia="es-GT"/>
          </w:rPr>
          <w:t>7</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Referencias bibliográficas</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_Toc347841313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146</w:t>
        </w:r>
        <w:r w:rsidRPr="005F3A11">
          <w:rPr>
            <w:rFonts w:asciiTheme="minorHAnsi" w:hAnsiTheme="minorHAnsi" w:cstheme="minorHAnsi"/>
            <w:noProof/>
            <w:webHidden/>
          </w:rPr>
          <w:fldChar w:fldCharType="end"/>
        </w:r>
      </w:hyperlink>
    </w:p>
    <w:p w:rsidR="005F3A11" w:rsidRPr="005F3A11" w:rsidRDefault="005F3A11">
      <w:pPr>
        <w:pStyle w:val="TDC1"/>
        <w:tabs>
          <w:tab w:val="left" w:pos="480"/>
          <w:tab w:val="right" w:leader="dot" w:pos="9638"/>
        </w:tabs>
        <w:rPr>
          <w:rFonts w:asciiTheme="minorHAnsi" w:eastAsiaTheme="minorEastAsia" w:hAnsiTheme="minorHAnsi" w:cstheme="minorHAnsi"/>
          <w:noProof/>
          <w:sz w:val="22"/>
          <w:szCs w:val="22"/>
          <w:lang w:val="es-GT" w:eastAsia="es-GT"/>
        </w:rPr>
      </w:pPr>
      <w:hyperlink w:anchor="_Toc347841314" w:history="1">
        <w:r w:rsidRPr="005F3A11">
          <w:rPr>
            <w:rStyle w:val="Hipervnculo"/>
            <w:rFonts w:asciiTheme="minorHAnsi" w:hAnsiTheme="minorHAnsi" w:cstheme="minorHAnsi"/>
            <w:noProof/>
            <w:lang w:eastAsia="es-GT"/>
          </w:rPr>
          <w:t>8</w:t>
        </w:r>
        <w:r w:rsidRPr="005F3A11">
          <w:rPr>
            <w:rFonts w:asciiTheme="minorHAnsi" w:eastAsiaTheme="minorEastAsia" w:hAnsiTheme="minorHAnsi" w:cstheme="minorHAnsi"/>
            <w:noProof/>
            <w:sz w:val="22"/>
            <w:szCs w:val="22"/>
            <w:lang w:val="es-GT" w:eastAsia="es-GT"/>
          </w:rPr>
          <w:tab/>
        </w:r>
        <w:r w:rsidRPr="005F3A11">
          <w:rPr>
            <w:rStyle w:val="Hipervnculo"/>
            <w:rFonts w:asciiTheme="minorHAnsi" w:hAnsiTheme="minorHAnsi" w:cstheme="minorHAnsi"/>
            <w:noProof/>
            <w:lang w:eastAsia="es-GT"/>
          </w:rPr>
          <w:t>Anexos</w:t>
        </w:r>
        <w:r w:rsidRPr="005F3A11">
          <w:rPr>
            <w:rFonts w:asciiTheme="minorHAnsi" w:hAnsiTheme="minorHAnsi" w:cstheme="minorHAnsi"/>
            <w:noProof/>
            <w:webHidden/>
          </w:rPr>
          <w:tab/>
        </w:r>
        <w:r w:rsidRPr="005F3A11">
          <w:rPr>
            <w:rFonts w:asciiTheme="minorHAnsi" w:hAnsiTheme="minorHAnsi" w:cstheme="minorHAnsi"/>
            <w:noProof/>
            <w:webHidden/>
          </w:rPr>
          <w:fldChar w:fldCharType="begin"/>
        </w:r>
        <w:r w:rsidRPr="005F3A11">
          <w:rPr>
            <w:rFonts w:asciiTheme="minorHAnsi" w:hAnsiTheme="minorHAnsi" w:cstheme="minorHAnsi"/>
            <w:noProof/>
            <w:webHidden/>
          </w:rPr>
          <w:instrText xml:space="preserve"> PAGEREF _Toc347841314 \h </w:instrText>
        </w:r>
        <w:r w:rsidRPr="005F3A11">
          <w:rPr>
            <w:rFonts w:asciiTheme="minorHAnsi" w:hAnsiTheme="minorHAnsi" w:cstheme="minorHAnsi"/>
            <w:noProof/>
            <w:webHidden/>
          </w:rPr>
        </w:r>
        <w:r w:rsidRPr="005F3A11">
          <w:rPr>
            <w:rFonts w:asciiTheme="minorHAnsi" w:hAnsiTheme="minorHAnsi" w:cstheme="minorHAnsi"/>
            <w:noProof/>
            <w:webHidden/>
          </w:rPr>
          <w:fldChar w:fldCharType="separate"/>
        </w:r>
        <w:r w:rsidRPr="005F3A11">
          <w:rPr>
            <w:rFonts w:asciiTheme="minorHAnsi" w:hAnsiTheme="minorHAnsi" w:cstheme="minorHAnsi"/>
            <w:noProof/>
            <w:webHidden/>
          </w:rPr>
          <w:t>154</w:t>
        </w:r>
        <w:r w:rsidRPr="005F3A11">
          <w:rPr>
            <w:rFonts w:asciiTheme="minorHAnsi" w:hAnsiTheme="minorHAnsi" w:cstheme="minorHAnsi"/>
            <w:noProof/>
            <w:webHidden/>
          </w:rPr>
          <w:fldChar w:fldCharType="end"/>
        </w:r>
      </w:hyperlink>
    </w:p>
    <w:p w:rsidR="0018035A" w:rsidRDefault="00DE23E1" w:rsidP="00414BFB">
      <w:pPr>
        <w:spacing w:after="40"/>
        <w:jc w:val="both"/>
        <w:rPr>
          <w:rFonts w:ascii="Calibri" w:hAnsi="Calibri" w:cs="Calibri"/>
          <w:lang w:val="es-GT"/>
        </w:rPr>
      </w:pPr>
      <w:r w:rsidRPr="005F3A11">
        <w:rPr>
          <w:rFonts w:asciiTheme="minorHAnsi" w:hAnsiTheme="minorHAnsi" w:cstheme="minorHAnsi"/>
          <w:lang w:val="es-GT"/>
        </w:rPr>
        <w:fldChar w:fldCharType="end"/>
      </w:r>
    </w:p>
    <w:p w:rsidR="000156F9" w:rsidRDefault="000156F9" w:rsidP="00414BFB">
      <w:pPr>
        <w:spacing w:after="40"/>
        <w:jc w:val="both"/>
        <w:rPr>
          <w:rFonts w:ascii="Calibri" w:hAnsi="Calibri" w:cs="Calibri"/>
          <w:lang w:val="es-GT"/>
        </w:rPr>
      </w:pPr>
    </w:p>
    <w:p w:rsidR="000156F9" w:rsidRDefault="000156F9" w:rsidP="00414BFB">
      <w:pPr>
        <w:spacing w:after="40"/>
        <w:jc w:val="both"/>
        <w:rPr>
          <w:rFonts w:ascii="Calibri" w:hAnsi="Calibri" w:cs="Calibri"/>
          <w:lang w:val="es-GT"/>
        </w:rPr>
      </w:pPr>
    </w:p>
    <w:p w:rsidR="000156F9" w:rsidRDefault="000156F9" w:rsidP="00414BFB">
      <w:pPr>
        <w:spacing w:after="40"/>
        <w:jc w:val="both"/>
        <w:rPr>
          <w:rFonts w:ascii="Calibri" w:hAnsi="Calibri" w:cs="Calibri"/>
          <w:lang w:val="es-GT"/>
        </w:rPr>
      </w:pPr>
    </w:p>
    <w:p w:rsidR="000156F9" w:rsidRDefault="000156F9" w:rsidP="00414BFB">
      <w:pPr>
        <w:spacing w:after="40"/>
        <w:jc w:val="both"/>
        <w:rPr>
          <w:rFonts w:ascii="Calibri" w:hAnsi="Calibri" w:cs="Calibri"/>
          <w:lang w:val="es-GT"/>
        </w:rPr>
      </w:pPr>
      <w:bookmarkStart w:id="0" w:name="_GoBack"/>
      <w:bookmarkEnd w:id="0"/>
    </w:p>
    <w:p w:rsidR="00EC213F" w:rsidRDefault="00EC213F" w:rsidP="00414BFB">
      <w:pPr>
        <w:spacing w:after="40"/>
        <w:jc w:val="both"/>
        <w:rPr>
          <w:rFonts w:ascii="Calibri" w:hAnsi="Calibri" w:cs="Calibri"/>
          <w:lang w:val="es-GT"/>
        </w:rPr>
      </w:pPr>
    </w:p>
    <w:p w:rsidR="00EC213F" w:rsidRPr="001A01AB" w:rsidRDefault="00EC213F" w:rsidP="00414BFB">
      <w:pPr>
        <w:spacing w:after="40"/>
        <w:jc w:val="both"/>
        <w:rPr>
          <w:rFonts w:ascii="Calibri" w:hAnsi="Calibri" w:cs="Calibri"/>
          <w:lang w:val="es-GT"/>
        </w:rPr>
      </w:pPr>
    </w:p>
    <w:p w:rsidR="0018035A" w:rsidRPr="001A01AB" w:rsidRDefault="00577CC5" w:rsidP="001A01AB">
      <w:pPr>
        <w:pStyle w:val="Prrafodelista"/>
        <w:pBdr>
          <w:bottom w:val="single" w:sz="12" w:space="1" w:color="365F91"/>
        </w:pBdr>
        <w:spacing w:after="0" w:line="240" w:lineRule="auto"/>
        <w:ind w:left="0"/>
        <w:jc w:val="both"/>
        <w:rPr>
          <w:rFonts w:cs="Calibri"/>
          <w:b/>
          <w:color w:val="365F91"/>
          <w:sz w:val="36"/>
          <w:szCs w:val="36"/>
        </w:rPr>
      </w:pPr>
      <w:r w:rsidRPr="001A01AB">
        <w:rPr>
          <w:rFonts w:cs="Calibri"/>
          <w:b/>
          <w:color w:val="365F91"/>
          <w:sz w:val="36"/>
          <w:szCs w:val="36"/>
        </w:rPr>
        <w:t xml:space="preserve">Índice de </w:t>
      </w:r>
      <w:r w:rsidR="005F44C3" w:rsidRPr="001A01AB">
        <w:rPr>
          <w:rFonts w:cs="Calibri"/>
          <w:b/>
          <w:color w:val="365F91"/>
          <w:sz w:val="36"/>
          <w:szCs w:val="36"/>
        </w:rPr>
        <w:t>c</w:t>
      </w:r>
      <w:r w:rsidRPr="001A01AB">
        <w:rPr>
          <w:rFonts w:cs="Calibri"/>
          <w:b/>
          <w:color w:val="365F91"/>
          <w:sz w:val="36"/>
          <w:szCs w:val="36"/>
        </w:rPr>
        <w:t>uadros</w:t>
      </w:r>
    </w:p>
    <w:p w:rsidR="000A66E6" w:rsidRPr="00074C2B" w:rsidRDefault="000A66E6">
      <w:pPr>
        <w:pStyle w:val="Tabladeilustraciones"/>
        <w:tabs>
          <w:tab w:val="right" w:leader="dot" w:pos="9638"/>
        </w:tabs>
        <w:rPr>
          <w:rFonts w:ascii="Calibri" w:hAnsi="Calibri" w:cs="Calibri"/>
          <w:sz w:val="20"/>
          <w:lang w:val="es-GT"/>
        </w:rPr>
      </w:pPr>
    </w:p>
    <w:p w:rsidR="005F3A11" w:rsidRPr="005F3A11" w:rsidRDefault="004D1F6A">
      <w:pPr>
        <w:pStyle w:val="Tabladeilustraciones"/>
        <w:tabs>
          <w:tab w:val="right" w:leader="dot" w:pos="9638"/>
        </w:tabs>
        <w:rPr>
          <w:rFonts w:asciiTheme="minorHAnsi" w:eastAsiaTheme="minorEastAsia" w:hAnsiTheme="minorHAnsi" w:cstheme="minorHAnsi"/>
          <w:noProof/>
          <w:sz w:val="22"/>
          <w:szCs w:val="22"/>
          <w:lang w:val="es-GT" w:eastAsia="es-GT"/>
        </w:rPr>
      </w:pPr>
      <w:r w:rsidRPr="001A01AB">
        <w:rPr>
          <w:rFonts w:ascii="Calibri" w:hAnsi="Calibri" w:cs="Calibri"/>
          <w:lang w:val="es-GT"/>
        </w:rPr>
        <w:fldChar w:fldCharType="begin"/>
      </w:r>
      <w:r w:rsidR="00577CC5" w:rsidRPr="001A01AB">
        <w:rPr>
          <w:rFonts w:ascii="Calibri" w:hAnsi="Calibri" w:cs="Calibri"/>
          <w:lang w:val="es-GT"/>
        </w:rPr>
        <w:instrText xml:space="preserve"> TOC \h \z \c "Cuadro" </w:instrText>
      </w:r>
      <w:r w:rsidRPr="001A01AB">
        <w:rPr>
          <w:rFonts w:ascii="Calibri" w:hAnsi="Calibri" w:cs="Calibri"/>
          <w:lang w:val="es-GT"/>
        </w:rPr>
        <w:fldChar w:fldCharType="separate"/>
      </w:r>
      <w:hyperlink w:anchor="_Toc347841183" w:history="1">
        <w:r w:rsidR="005F3A11" w:rsidRPr="005F3A11">
          <w:rPr>
            <w:rStyle w:val="Hipervnculo"/>
            <w:rFonts w:asciiTheme="minorHAnsi" w:hAnsiTheme="minorHAnsi" w:cstheme="minorHAnsi"/>
            <w:noProof/>
            <w:color w:val="auto"/>
            <w:sz w:val="22"/>
            <w:szCs w:val="22"/>
            <w:lang w:val="es-GT"/>
          </w:rPr>
          <w:t>Cuadro 1</w:t>
        </w:r>
        <w:r w:rsidR="005F3A11" w:rsidRPr="005F3A11">
          <w:rPr>
            <w:rStyle w:val="Hipervnculo"/>
            <w:rFonts w:asciiTheme="minorHAnsi" w:eastAsia="Calibri" w:hAnsiTheme="minorHAnsi" w:cstheme="minorHAnsi"/>
            <w:noProof/>
            <w:color w:val="auto"/>
            <w:sz w:val="22"/>
            <w:szCs w:val="22"/>
            <w:lang w:val="es-GT"/>
          </w:rPr>
          <w:t>. Resumen esquemático del proceso de formulación de la EAE</w:t>
        </w:r>
        <w:r w:rsidR="005F3A11" w:rsidRPr="005F3A11">
          <w:rPr>
            <w:rFonts w:asciiTheme="minorHAnsi" w:hAnsiTheme="minorHAnsi" w:cstheme="minorHAnsi"/>
            <w:noProof/>
            <w:webHidden/>
            <w:sz w:val="22"/>
            <w:szCs w:val="22"/>
          </w:rPr>
          <w:tab/>
        </w:r>
        <w:r w:rsidR="005F3A11" w:rsidRPr="005F3A11">
          <w:rPr>
            <w:rFonts w:asciiTheme="minorHAnsi" w:hAnsiTheme="minorHAnsi" w:cstheme="minorHAnsi"/>
            <w:noProof/>
            <w:webHidden/>
            <w:sz w:val="22"/>
            <w:szCs w:val="22"/>
          </w:rPr>
          <w:fldChar w:fldCharType="begin"/>
        </w:r>
        <w:r w:rsidR="005F3A11" w:rsidRPr="005F3A11">
          <w:rPr>
            <w:rFonts w:asciiTheme="minorHAnsi" w:hAnsiTheme="minorHAnsi" w:cstheme="minorHAnsi"/>
            <w:noProof/>
            <w:webHidden/>
            <w:sz w:val="22"/>
            <w:szCs w:val="22"/>
          </w:rPr>
          <w:instrText xml:space="preserve"> PAGEREF _Toc347841183 \h </w:instrText>
        </w:r>
        <w:r w:rsidR="005F3A11" w:rsidRPr="005F3A11">
          <w:rPr>
            <w:rFonts w:asciiTheme="minorHAnsi" w:hAnsiTheme="minorHAnsi" w:cstheme="minorHAnsi"/>
            <w:noProof/>
            <w:webHidden/>
            <w:sz w:val="22"/>
            <w:szCs w:val="22"/>
          </w:rPr>
        </w:r>
        <w:r w:rsidR="005F3A11" w:rsidRPr="005F3A11">
          <w:rPr>
            <w:rFonts w:asciiTheme="minorHAnsi" w:hAnsiTheme="minorHAnsi" w:cstheme="minorHAnsi"/>
            <w:noProof/>
            <w:webHidden/>
            <w:sz w:val="22"/>
            <w:szCs w:val="22"/>
          </w:rPr>
          <w:fldChar w:fldCharType="separate"/>
        </w:r>
        <w:r w:rsidR="005F3A11" w:rsidRPr="005F3A11">
          <w:rPr>
            <w:rFonts w:asciiTheme="minorHAnsi" w:hAnsiTheme="minorHAnsi" w:cstheme="minorHAnsi"/>
            <w:noProof/>
            <w:webHidden/>
            <w:sz w:val="22"/>
            <w:szCs w:val="22"/>
          </w:rPr>
          <w:t>6</w:t>
        </w:r>
        <w:r w:rsidR="005F3A11"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84" w:history="1">
        <w:r w:rsidRPr="005F3A11">
          <w:rPr>
            <w:rStyle w:val="Hipervnculo"/>
            <w:rFonts w:asciiTheme="minorHAnsi" w:hAnsiTheme="minorHAnsi" w:cstheme="minorHAnsi"/>
            <w:noProof/>
            <w:color w:val="auto"/>
            <w:sz w:val="22"/>
            <w:szCs w:val="22"/>
            <w:lang w:val="es-GT"/>
          </w:rPr>
          <w:t>Cuadro 2. Relación entre el marco metodológico y los objetivos de la EAE</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_Toc347841184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85" w:history="1">
        <w:r w:rsidRPr="005F3A11">
          <w:rPr>
            <w:rStyle w:val="Hipervnculo"/>
            <w:rFonts w:asciiTheme="minorHAnsi" w:hAnsiTheme="minorHAnsi" w:cstheme="minorHAnsi"/>
            <w:noProof/>
            <w:color w:val="auto"/>
            <w:sz w:val="22"/>
            <w:szCs w:val="22"/>
            <w:lang w:val="es-GT"/>
          </w:rPr>
          <w:t>Cuadro 3. Pérdidas económicas causadas por los principales desastres ocurridos</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_Toc347841185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37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86" w:history="1">
        <w:r w:rsidRPr="005F3A11">
          <w:rPr>
            <w:rStyle w:val="Hipervnculo"/>
            <w:rFonts w:asciiTheme="minorHAnsi" w:hAnsiTheme="minorHAnsi" w:cstheme="minorHAnsi"/>
            <w:noProof/>
            <w:color w:val="auto"/>
            <w:sz w:val="22"/>
            <w:szCs w:val="22"/>
            <w:lang w:val="es-GT"/>
          </w:rPr>
          <w:t>Cuadro 4. Indicadores del sub-sistema social</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_Toc347841186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46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87" w:history="1">
        <w:r w:rsidRPr="005F3A11">
          <w:rPr>
            <w:rStyle w:val="Hipervnculo"/>
            <w:rFonts w:asciiTheme="minorHAnsi" w:hAnsiTheme="minorHAnsi" w:cstheme="minorHAnsi"/>
            <w:noProof/>
            <w:color w:val="auto"/>
            <w:sz w:val="22"/>
            <w:szCs w:val="22"/>
            <w:lang w:val="es-GT"/>
          </w:rPr>
          <w:t>Cuadro 5. Cambios en la categoría de fincas (%). Periodo 2001-2006</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_Toc347841187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54</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88" w:history="1">
        <w:r w:rsidRPr="005F3A11">
          <w:rPr>
            <w:rStyle w:val="Hipervnculo"/>
            <w:rFonts w:asciiTheme="minorHAnsi" w:hAnsiTheme="minorHAnsi" w:cstheme="minorHAnsi"/>
            <w:noProof/>
            <w:color w:val="auto"/>
            <w:sz w:val="22"/>
            <w:szCs w:val="22"/>
            <w:lang w:val="es-GT"/>
          </w:rPr>
          <w:t>Cuadro 6.  Indicadores del sub-sistema económico</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_Toc347841188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55</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89" w:history="1">
        <w:r w:rsidRPr="005F3A11">
          <w:rPr>
            <w:rStyle w:val="Hipervnculo"/>
            <w:rFonts w:asciiTheme="minorHAnsi" w:hAnsiTheme="minorHAnsi" w:cstheme="minorHAnsi"/>
            <w:noProof/>
            <w:color w:val="auto"/>
            <w:sz w:val="22"/>
            <w:szCs w:val="22"/>
            <w:lang w:val="es-GT"/>
          </w:rPr>
          <w:t>Cuadro 7. Problemas que pueden afectar el desarrollo rural integral en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_Toc347841189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96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90" w:history="1">
        <w:r w:rsidRPr="005F3A11">
          <w:rPr>
            <w:rStyle w:val="Hipervnculo"/>
            <w:rFonts w:asciiTheme="minorHAnsi" w:hAnsiTheme="minorHAnsi" w:cstheme="minorHAnsi"/>
            <w:noProof/>
            <w:color w:val="auto"/>
            <w:sz w:val="22"/>
            <w:szCs w:val="22"/>
            <w:lang w:val="es-GT"/>
          </w:rPr>
          <w:t>Cuadro 8. Factores Críticos para la Decisión identificados</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_Toc347841190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98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91" w:history="1">
        <w:r w:rsidRPr="005F3A11">
          <w:rPr>
            <w:rStyle w:val="Hipervnculo"/>
            <w:rFonts w:asciiTheme="minorHAnsi" w:hAnsiTheme="minorHAnsi" w:cstheme="minorHAnsi"/>
            <w:noProof/>
            <w:color w:val="auto"/>
            <w:sz w:val="22"/>
            <w:szCs w:val="22"/>
            <w:lang w:val="es-GT"/>
          </w:rPr>
          <w:t>Cuadro 9. Criterios de evaluación de los Factores Críticos para la Decisión</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_Toc347841191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100</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92" w:history="1">
        <w:r w:rsidRPr="005F3A11">
          <w:rPr>
            <w:rStyle w:val="Hipervnculo"/>
            <w:rFonts w:asciiTheme="minorHAnsi" w:hAnsiTheme="minorHAnsi" w:cstheme="minorHAnsi"/>
            <w:noProof/>
            <w:color w:val="auto"/>
            <w:sz w:val="22"/>
            <w:szCs w:val="22"/>
            <w:lang w:val="es-GT"/>
          </w:rPr>
          <w:t>Cuadro 10. Opciones Estratégicas seleccionadas</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_Toc347841192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113</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93" w:history="1">
        <w:r w:rsidRPr="005F3A11">
          <w:rPr>
            <w:rStyle w:val="Hipervnculo"/>
            <w:rFonts w:asciiTheme="minorHAnsi" w:hAnsiTheme="minorHAnsi" w:cstheme="minorHAnsi"/>
            <w:noProof/>
            <w:color w:val="auto"/>
            <w:sz w:val="22"/>
            <w:szCs w:val="22"/>
            <w:lang w:val="es-GT"/>
          </w:rPr>
          <w:t>Cuadro 11. Evaluación de las Opciones Estratégicas seleccionadas, por cada Factor Crítico para la Decisión</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_Toc347841193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114</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94" w:history="1">
        <w:r w:rsidRPr="005F3A11">
          <w:rPr>
            <w:rStyle w:val="Hipervnculo"/>
            <w:rFonts w:asciiTheme="minorHAnsi" w:hAnsiTheme="minorHAnsi" w:cstheme="minorHAnsi"/>
            <w:noProof/>
            <w:color w:val="auto"/>
            <w:sz w:val="22"/>
            <w:szCs w:val="22"/>
            <w:lang w:val="es-GT"/>
          </w:rPr>
          <w:t>Cuadro 12. Cobertura forestal 1950-2010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_Toc347841194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156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95" w:history="1">
        <w:r w:rsidRPr="005F3A11">
          <w:rPr>
            <w:rStyle w:val="Hipervnculo"/>
            <w:rFonts w:asciiTheme="minorHAnsi" w:hAnsiTheme="minorHAnsi" w:cstheme="minorHAnsi"/>
            <w:noProof/>
            <w:color w:val="auto"/>
            <w:sz w:val="22"/>
            <w:szCs w:val="22"/>
            <w:lang w:val="es-GT"/>
          </w:rPr>
          <w:t>Cuadro 13. Tendencia histórica de la deforestación. Periodo 1950-2010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_Toc347841195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156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96" w:history="1">
        <w:r w:rsidRPr="005F3A11">
          <w:rPr>
            <w:rStyle w:val="Hipervnculo"/>
            <w:rFonts w:asciiTheme="minorHAnsi" w:hAnsiTheme="minorHAnsi" w:cstheme="minorHAnsi"/>
            <w:noProof/>
            <w:color w:val="auto"/>
            <w:sz w:val="22"/>
            <w:szCs w:val="22"/>
            <w:lang w:val="es-GT"/>
          </w:rPr>
          <w:t>Cuadro 14. Dinámica de la cobertura forestal (2006-2010) por departamento</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_Toc347841196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158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97" w:history="1">
        <w:r w:rsidRPr="005F3A11">
          <w:rPr>
            <w:rStyle w:val="Hipervnculo"/>
            <w:rFonts w:asciiTheme="minorHAnsi" w:hAnsiTheme="minorHAnsi" w:cstheme="minorHAnsi"/>
            <w:noProof/>
            <w:color w:val="auto"/>
            <w:sz w:val="22"/>
            <w:szCs w:val="22"/>
            <w:lang w:val="es-GT"/>
          </w:rPr>
          <w:t>Cuadro 15. Áreas bajo manejo forestal y volúmenes aprovechados con control de la administración forestal (INAB y CONAP)</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_Toc347841197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162</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98" w:history="1">
        <w:r w:rsidRPr="005F3A11">
          <w:rPr>
            <w:rStyle w:val="Hipervnculo"/>
            <w:rFonts w:asciiTheme="minorHAnsi" w:hAnsiTheme="minorHAnsi" w:cstheme="minorHAnsi"/>
            <w:noProof/>
            <w:color w:val="auto"/>
            <w:sz w:val="22"/>
            <w:szCs w:val="22"/>
            <w:lang w:val="es-GT"/>
          </w:rPr>
          <w:t>Cuadro 16. Uso del suelo en tierras forestales de muy alta, alta y media captación y regulación hidrológica. Año 2003</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_Toc347841198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164</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199" w:history="1">
        <w:r w:rsidRPr="005F3A11">
          <w:rPr>
            <w:rStyle w:val="Hipervnculo"/>
            <w:rFonts w:asciiTheme="minorHAnsi" w:hAnsiTheme="minorHAnsi" w:cstheme="minorHAnsi"/>
            <w:noProof/>
            <w:color w:val="auto"/>
            <w:sz w:val="22"/>
            <w:szCs w:val="22"/>
            <w:lang w:val="es-GT"/>
          </w:rPr>
          <w:t>Cuadro 17. Cobertura forestal en tierras de muy alta, alta y media captación y regulación hidrológica. Año 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_Toc347841199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166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00" w:history="1">
        <w:r w:rsidRPr="005F3A11">
          <w:rPr>
            <w:rStyle w:val="Hipervnculo"/>
            <w:rFonts w:asciiTheme="minorHAnsi" w:hAnsiTheme="minorHAnsi" w:cstheme="minorHAnsi"/>
            <w:noProof/>
            <w:color w:val="auto"/>
            <w:sz w:val="22"/>
            <w:szCs w:val="22"/>
            <w:lang w:val="es-GT"/>
          </w:rPr>
          <w:t>Cuadro 18. Disponibilidad hídrica anual en el mes de estiaje. Periodo 2006-2010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_Toc347841200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169</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01" w:history="1">
        <w:r w:rsidRPr="005F3A11">
          <w:rPr>
            <w:rStyle w:val="Hipervnculo"/>
            <w:rFonts w:asciiTheme="minorHAnsi" w:hAnsiTheme="minorHAnsi" w:cstheme="minorHAnsi"/>
            <w:noProof/>
            <w:color w:val="auto"/>
            <w:sz w:val="22"/>
            <w:szCs w:val="22"/>
            <w:lang w:val="es-GT"/>
          </w:rPr>
          <w:t>Cuadro 19. Utilización de agua en Guatemala por grandes grupos de actividades económicas y de consumo (millones de m3). Periodo 2006-2010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_Toc347841201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170</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02" w:history="1">
        <w:r w:rsidRPr="005F3A11">
          <w:rPr>
            <w:rStyle w:val="Hipervnculo"/>
            <w:rFonts w:asciiTheme="minorHAnsi" w:hAnsiTheme="minorHAnsi" w:cstheme="minorHAnsi"/>
            <w:noProof/>
            <w:color w:val="auto"/>
            <w:sz w:val="22"/>
            <w:szCs w:val="22"/>
            <w:lang w:val="es-GT"/>
          </w:rPr>
          <w:t>Cuadro 20. Demanda de agua para riego</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_Toc347841202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171</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03" w:history="1">
        <w:r w:rsidRPr="005F3A11">
          <w:rPr>
            <w:rStyle w:val="Hipervnculo"/>
            <w:rFonts w:asciiTheme="minorHAnsi" w:hAnsiTheme="minorHAnsi" w:cstheme="minorHAnsi"/>
            <w:noProof/>
            <w:color w:val="auto"/>
            <w:sz w:val="22"/>
            <w:szCs w:val="22"/>
            <w:lang w:val="es-GT"/>
          </w:rPr>
          <w:t>Cuadro 21. Balance hídrico nacional (millones de m3). Año 2006</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_Toc347841203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172</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04" w:history="1">
        <w:r w:rsidRPr="005F3A11">
          <w:rPr>
            <w:rStyle w:val="Hipervnculo"/>
            <w:rFonts w:asciiTheme="minorHAnsi" w:hAnsiTheme="minorHAnsi" w:cstheme="minorHAnsi"/>
            <w:noProof/>
            <w:color w:val="auto"/>
            <w:sz w:val="22"/>
            <w:szCs w:val="22"/>
            <w:lang w:val="es-GT"/>
          </w:rPr>
          <w:t>Cuadro 22. Intensidad de uso de la tierra. Año 2003</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_Toc347841204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177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05" w:history="1">
        <w:r w:rsidRPr="005F3A11">
          <w:rPr>
            <w:rStyle w:val="Hipervnculo"/>
            <w:rFonts w:asciiTheme="minorHAnsi" w:hAnsiTheme="minorHAnsi" w:cstheme="minorHAnsi"/>
            <w:noProof/>
            <w:color w:val="auto"/>
            <w:sz w:val="22"/>
            <w:szCs w:val="22"/>
            <w:lang w:val="es-GT"/>
          </w:rPr>
          <w:t>Cuadro 23. Sobreutilización de las tierras por categoría de uso. Año 2003</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_Toc347841205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179</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06" w:history="1">
        <w:r w:rsidRPr="005F3A11">
          <w:rPr>
            <w:rStyle w:val="Hipervnculo"/>
            <w:rFonts w:asciiTheme="minorHAnsi" w:hAnsiTheme="minorHAnsi" w:cstheme="minorHAnsi"/>
            <w:noProof/>
            <w:color w:val="auto"/>
            <w:sz w:val="22"/>
            <w:szCs w:val="22"/>
            <w:lang w:val="es-GT"/>
          </w:rPr>
          <w:t>Cuadro 24. Superficie bajo cultivos anuales (ha) en el altiplano occidental de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_Toc347841206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187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07" w:history="1">
        <w:r w:rsidRPr="005F3A11">
          <w:rPr>
            <w:rStyle w:val="Hipervnculo"/>
            <w:rFonts w:asciiTheme="minorHAnsi" w:hAnsiTheme="minorHAnsi" w:cstheme="minorHAnsi"/>
            <w:noProof/>
            <w:color w:val="auto"/>
            <w:sz w:val="22"/>
            <w:szCs w:val="22"/>
            <w:lang w:val="es-GT"/>
          </w:rPr>
          <w:t>Cuadro 25. Índice de ventaja comparativa para cultivos del altiplano occidental de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_Toc347841207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188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08" w:history="1">
        <w:r w:rsidRPr="005F3A11">
          <w:rPr>
            <w:rStyle w:val="Hipervnculo"/>
            <w:rFonts w:asciiTheme="minorHAnsi" w:hAnsiTheme="minorHAnsi" w:cstheme="minorHAnsi"/>
            <w:noProof/>
            <w:color w:val="auto"/>
            <w:sz w:val="22"/>
            <w:szCs w:val="22"/>
            <w:lang w:val="es-GT"/>
          </w:rPr>
          <w:t>Cuadro 26. Distribución del volumen de producción y superficie cultivada para cultivos seleccionados del altiplano occidental de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_Toc347841208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189</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09" w:history="1">
        <w:r w:rsidRPr="005F3A11">
          <w:rPr>
            <w:rStyle w:val="Hipervnculo"/>
            <w:rFonts w:asciiTheme="minorHAnsi" w:hAnsiTheme="minorHAnsi" w:cstheme="minorHAnsi"/>
            <w:noProof/>
            <w:color w:val="auto"/>
            <w:sz w:val="22"/>
            <w:szCs w:val="22"/>
            <w:lang w:val="es-GT"/>
          </w:rPr>
          <w:t>Cuadro 27. Superficie cultivable, potencial y disponibilidad de agua para riego, por vertiente</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_Toc347841209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197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10" w:history="1">
        <w:r w:rsidRPr="005F3A11">
          <w:rPr>
            <w:rStyle w:val="Hipervnculo"/>
            <w:rFonts w:asciiTheme="minorHAnsi" w:hAnsiTheme="minorHAnsi" w:cstheme="minorHAnsi"/>
            <w:noProof/>
            <w:color w:val="auto"/>
            <w:sz w:val="22"/>
            <w:szCs w:val="22"/>
            <w:lang w:val="es-GT"/>
          </w:rPr>
          <w:t>Cuadro 28. Áreas actualmente regadas y con potencial de riego, en los departamentos del corredor seco de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_Toc347841210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198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11" w:history="1">
        <w:r w:rsidRPr="005F3A11">
          <w:rPr>
            <w:rStyle w:val="Hipervnculo"/>
            <w:rFonts w:asciiTheme="minorHAnsi" w:hAnsiTheme="minorHAnsi" w:cstheme="minorHAnsi"/>
            <w:noProof/>
            <w:color w:val="auto"/>
            <w:sz w:val="22"/>
            <w:szCs w:val="22"/>
            <w:lang w:val="es-GT"/>
          </w:rPr>
          <w:t>Cuadro 29. Determinantes de la desnutrición crónica para Guatemala (2009)</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_Toc347841211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203</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12" w:history="1">
        <w:r w:rsidRPr="005F3A11">
          <w:rPr>
            <w:rStyle w:val="Hipervnculo"/>
            <w:rFonts w:asciiTheme="minorHAnsi" w:hAnsiTheme="minorHAnsi" w:cstheme="minorHAnsi"/>
            <w:noProof/>
            <w:color w:val="auto"/>
            <w:sz w:val="22"/>
            <w:szCs w:val="22"/>
            <w:lang w:val="es-GT"/>
          </w:rPr>
          <w:t>Cuadro 30. Condicionantes de la desnutrición aguda moderada y severa en Guatemala. Año 2009</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_Toc347841212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204</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13" w:history="1">
        <w:r w:rsidRPr="005F3A11">
          <w:rPr>
            <w:rStyle w:val="Hipervnculo"/>
            <w:rFonts w:asciiTheme="minorHAnsi" w:hAnsiTheme="minorHAnsi" w:cstheme="minorHAnsi"/>
            <w:noProof/>
            <w:color w:val="auto"/>
            <w:sz w:val="22"/>
            <w:szCs w:val="22"/>
            <w:lang w:val="es-GT"/>
          </w:rPr>
          <w:t>Cuadro 31. Matriz de pobreza en Guatemala por departamento. Año 2011</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_Toc347841213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215</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14" w:history="1">
        <w:r w:rsidRPr="005F3A11">
          <w:rPr>
            <w:rStyle w:val="Hipervnculo"/>
            <w:rFonts w:asciiTheme="minorHAnsi" w:hAnsiTheme="minorHAnsi" w:cstheme="minorHAnsi"/>
            <w:noProof/>
            <w:color w:val="auto"/>
            <w:sz w:val="22"/>
            <w:szCs w:val="22"/>
            <w:lang w:val="es-GT"/>
          </w:rPr>
          <w:t>Cuadro 32. Número de poblaciones y habitantes expuestos a amenazas</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_Toc347841214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228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15" w:history="1">
        <w:r w:rsidRPr="005F3A11">
          <w:rPr>
            <w:rStyle w:val="Hipervnculo"/>
            <w:rFonts w:asciiTheme="minorHAnsi" w:hAnsiTheme="minorHAnsi" w:cstheme="minorHAnsi"/>
            <w:noProof/>
            <w:color w:val="auto"/>
            <w:sz w:val="22"/>
            <w:szCs w:val="22"/>
            <w:lang w:val="es-GT"/>
          </w:rPr>
          <w:t>Cuadro 33. Número de habitantes expuestos a amenazas, por departamento</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_Toc347841215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229</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16" w:history="1">
        <w:r w:rsidRPr="005F3A11">
          <w:rPr>
            <w:rStyle w:val="Hipervnculo"/>
            <w:rFonts w:asciiTheme="minorHAnsi" w:hAnsiTheme="minorHAnsi" w:cstheme="minorHAnsi"/>
            <w:noProof/>
            <w:color w:val="auto"/>
            <w:sz w:val="22"/>
            <w:szCs w:val="22"/>
            <w:lang w:val="es-GT"/>
          </w:rPr>
          <w:t>Cuadro 34. Participación del sector agropecuario y agroindustrial en el PIB nacional.</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_Toc347841216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236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17" w:history="1">
        <w:r w:rsidRPr="005F3A11">
          <w:rPr>
            <w:rStyle w:val="Hipervnculo"/>
            <w:rFonts w:asciiTheme="minorHAnsi" w:hAnsiTheme="minorHAnsi" w:cstheme="minorHAnsi"/>
            <w:noProof/>
            <w:color w:val="auto"/>
            <w:sz w:val="22"/>
            <w:szCs w:val="22"/>
            <w:lang w:val="es-GT"/>
          </w:rPr>
          <w:t>Cuadro 35. Impactos económicos por cambios en precipitación y temperatura en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_Toc347841217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236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18" w:history="1">
        <w:r w:rsidRPr="005F3A11">
          <w:rPr>
            <w:rStyle w:val="Hipervnculo"/>
            <w:rFonts w:asciiTheme="minorHAnsi" w:hAnsiTheme="minorHAnsi" w:cstheme="minorHAnsi"/>
            <w:noProof/>
            <w:color w:val="auto"/>
            <w:sz w:val="22"/>
            <w:szCs w:val="22"/>
            <w:lang w:val="es-GT"/>
          </w:rPr>
          <w:t>Cuadro 36. Impactos económicos del cambio climático en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_Toc347841218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237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19" w:history="1">
        <w:r w:rsidRPr="005F3A11">
          <w:rPr>
            <w:rStyle w:val="Hipervnculo"/>
            <w:rFonts w:asciiTheme="minorHAnsi" w:hAnsiTheme="minorHAnsi" w:cstheme="minorHAnsi"/>
            <w:noProof/>
            <w:color w:val="auto"/>
            <w:sz w:val="22"/>
            <w:szCs w:val="22"/>
            <w:lang w:val="es-GT"/>
          </w:rPr>
          <w:t>Cuadro 37. Comportamiento e integración de la ejecución presupuestaria de la Política de Desarrollo Social y Población (en millones de quetzales corrientes)</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_Toc347841219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242</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20" w:history="1">
        <w:r w:rsidRPr="005F3A11">
          <w:rPr>
            <w:rStyle w:val="Hipervnculo"/>
            <w:rFonts w:asciiTheme="minorHAnsi" w:hAnsiTheme="minorHAnsi" w:cstheme="minorHAnsi"/>
            <w:noProof/>
            <w:color w:val="auto"/>
            <w:sz w:val="22"/>
            <w:szCs w:val="22"/>
            <w:lang w:val="es-GT"/>
          </w:rPr>
          <w:t>Cuadro 38. Presupuesto aprobado del MARN en relación con el Presupuesto General de la Nación. Periodo 2006-2009 (millones de quetzales)</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_Toc347841220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246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21" w:history="1">
        <w:r w:rsidRPr="005F3A11">
          <w:rPr>
            <w:rStyle w:val="Hipervnculo"/>
            <w:rFonts w:asciiTheme="minorHAnsi" w:hAnsiTheme="minorHAnsi" w:cstheme="minorHAnsi"/>
            <w:noProof/>
            <w:color w:val="auto"/>
            <w:sz w:val="22"/>
            <w:szCs w:val="22"/>
            <w:lang w:val="es-GT"/>
          </w:rPr>
          <w:t>Cuadro 39. Gasto público para la gestión de residuos y emisiones.</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_Toc347841221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247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22" w:history="1">
        <w:r w:rsidRPr="005F3A11">
          <w:rPr>
            <w:rStyle w:val="Hipervnculo"/>
            <w:rFonts w:asciiTheme="minorHAnsi" w:hAnsiTheme="minorHAnsi" w:cstheme="minorHAnsi"/>
            <w:noProof/>
            <w:color w:val="auto"/>
            <w:sz w:val="22"/>
            <w:szCs w:val="22"/>
            <w:lang w:val="es-GT"/>
          </w:rPr>
          <w:t>Cuadro 40. Primeras diez posiciones del Índice de Gestión Municipal. Año 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_Toc347841222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249</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23" w:history="1">
        <w:r w:rsidRPr="005F3A11">
          <w:rPr>
            <w:rStyle w:val="Hipervnculo"/>
            <w:rFonts w:asciiTheme="minorHAnsi" w:hAnsiTheme="minorHAnsi" w:cstheme="minorHAnsi"/>
            <w:noProof/>
            <w:color w:val="auto"/>
            <w:sz w:val="22"/>
            <w:szCs w:val="22"/>
            <w:lang w:val="es-GT"/>
          </w:rPr>
          <w:t>Cuadro 41. Informantes clave</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_Toc347841223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261</w:t>
        </w:r>
        <w:r w:rsidRPr="005F3A11">
          <w:rPr>
            <w:rFonts w:asciiTheme="minorHAnsi" w:hAnsiTheme="minorHAnsi" w:cstheme="minorHAnsi"/>
            <w:noProof/>
            <w:webHidden/>
            <w:sz w:val="22"/>
            <w:szCs w:val="22"/>
          </w:rPr>
          <w:fldChar w:fldCharType="end"/>
        </w:r>
      </w:hyperlink>
    </w:p>
    <w:p w:rsidR="00577CC5" w:rsidRPr="001A01AB" w:rsidRDefault="004D1F6A" w:rsidP="00414BFB">
      <w:pPr>
        <w:spacing w:after="40"/>
        <w:jc w:val="both"/>
        <w:rPr>
          <w:rFonts w:ascii="Calibri" w:hAnsi="Calibri" w:cs="Calibri"/>
          <w:sz w:val="6"/>
          <w:szCs w:val="6"/>
          <w:lang w:val="es-GT"/>
        </w:rPr>
      </w:pPr>
      <w:r w:rsidRPr="001A01AB">
        <w:rPr>
          <w:rFonts w:ascii="Calibri" w:hAnsi="Calibri" w:cs="Calibri"/>
          <w:lang w:val="es-GT"/>
        </w:rPr>
        <w:fldChar w:fldCharType="end"/>
      </w:r>
    </w:p>
    <w:p w:rsidR="00577CC5" w:rsidRPr="001A01AB" w:rsidRDefault="005F44C3" w:rsidP="001A01AB">
      <w:pPr>
        <w:pStyle w:val="Prrafodelista"/>
        <w:pBdr>
          <w:bottom w:val="single" w:sz="12" w:space="1" w:color="365F91"/>
        </w:pBdr>
        <w:spacing w:after="0" w:line="240" w:lineRule="auto"/>
        <w:ind w:left="0"/>
        <w:jc w:val="both"/>
        <w:rPr>
          <w:rFonts w:cs="Calibri"/>
          <w:b/>
          <w:color w:val="365F91"/>
          <w:sz w:val="36"/>
          <w:szCs w:val="36"/>
        </w:rPr>
      </w:pPr>
      <w:r w:rsidRPr="001A01AB">
        <w:rPr>
          <w:rFonts w:cs="Calibri"/>
          <w:b/>
          <w:color w:val="365F91"/>
          <w:sz w:val="36"/>
          <w:szCs w:val="36"/>
        </w:rPr>
        <w:t>Índice de f</w:t>
      </w:r>
      <w:r w:rsidR="00577CC5" w:rsidRPr="001A01AB">
        <w:rPr>
          <w:rFonts w:cs="Calibri"/>
          <w:b/>
          <w:color w:val="365F91"/>
          <w:sz w:val="36"/>
          <w:szCs w:val="36"/>
        </w:rPr>
        <w:t>iguras</w:t>
      </w:r>
    </w:p>
    <w:p w:rsidR="000A66E6" w:rsidRPr="00074C2B" w:rsidRDefault="000A66E6">
      <w:pPr>
        <w:pStyle w:val="Tabladeilustraciones"/>
        <w:tabs>
          <w:tab w:val="right" w:leader="dot" w:pos="9638"/>
        </w:tabs>
        <w:rPr>
          <w:rFonts w:ascii="Calibri" w:hAnsi="Calibri" w:cs="Calibri"/>
          <w:sz w:val="20"/>
          <w:lang w:val="es-GT"/>
        </w:rPr>
      </w:pPr>
    </w:p>
    <w:p w:rsidR="005F3A11" w:rsidRPr="005F3A11" w:rsidRDefault="004D1F6A">
      <w:pPr>
        <w:pStyle w:val="Tabladeilustraciones"/>
        <w:tabs>
          <w:tab w:val="right" w:leader="dot" w:pos="9638"/>
        </w:tabs>
        <w:rPr>
          <w:rFonts w:asciiTheme="minorHAnsi" w:eastAsiaTheme="minorEastAsia" w:hAnsiTheme="minorHAnsi" w:cstheme="minorHAnsi"/>
          <w:noProof/>
          <w:sz w:val="22"/>
          <w:szCs w:val="22"/>
          <w:lang w:val="es-GT" w:eastAsia="es-GT"/>
        </w:rPr>
      </w:pPr>
      <w:r w:rsidRPr="005F3A11">
        <w:rPr>
          <w:rFonts w:asciiTheme="minorHAnsi" w:hAnsiTheme="minorHAnsi" w:cstheme="minorHAnsi"/>
          <w:sz w:val="22"/>
          <w:szCs w:val="22"/>
          <w:lang w:val="es-GT"/>
        </w:rPr>
        <w:fldChar w:fldCharType="begin"/>
      </w:r>
      <w:r w:rsidR="00577CC5" w:rsidRPr="005F3A11">
        <w:rPr>
          <w:rFonts w:asciiTheme="minorHAnsi" w:hAnsiTheme="minorHAnsi" w:cstheme="minorHAnsi"/>
          <w:sz w:val="22"/>
          <w:szCs w:val="22"/>
          <w:lang w:val="es-GT"/>
        </w:rPr>
        <w:instrText xml:space="preserve"> TOC \h \z \c "Figura" </w:instrText>
      </w:r>
      <w:r w:rsidRPr="005F3A11">
        <w:rPr>
          <w:rFonts w:asciiTheme="minorHAnsi" w:hAnsiTheme="minorHAnsi" w:cstheme="minorHAnsi"/>
          <w:sz w:val="22"/>
          <w:szCs w:val="22"/>
          <w:lang w:val="es-GT"/>
        </w:rPr>
        <w:fldChar w:fldCharType="separate"/>
      </w:r>
      <w:hyperlink w:anchor="_Toc347841224" w:history="1">
        <w:r w:rsidR="005F3A11" w:rsidRPr="005F3A11">
          <w:rPr>
            <w:rStyle w:val="Hipervnculo"/>
            <w:rFonts w:asciiTheme="minorHAnsi" w:eastAsia="Calibri" w:hAnsiTheme="minorHAnsi" w:cstheme="minorHAnsi"/>
            <w:noProof/>
            <w:sz w:val="22"/>
            <w:szCs w:val="22"/>
            <w:lang w:val="es-GT"/>
          </w:rPr>
          <w:t>Figura 1. Rol de la EAE en el proceso de decisión para políticas, planes y programas</w:t>
        </w:r>
        <w:r w:rsidR="005F3A11" w:rsidRPr="005F3A11">
          <w:rPr>
            <w:rFonts w:asciiTheme="minorHAnsi" w:hAnsiTheme="minorHAnsi" w:cstheme="minorHAnsi"/>
            <w:noProof/>
            <w:webHidden/>
            <w:sz w:val="22"/>
            <w:szCs w:val="22"/>
          </w:rPr>
          <w:tab/>
        </w:r>
        <w:r w:rsidR="005F3A11" w:rsidRPr="005F3A11">
          <w:rPr>
            <w:rFonts w:asciiTheme="minorHAnsi" w:hAnsiTheme="minorHAnsi" w:cstheme="minorHAnsi"/>
            <w:noProof/>
            <w:webHidden/>
            <w:sz w:val="22"/>
            <w:szCs w:val="22"/>
          </w:rPr>
          <w:fldChar w:fldCharType="begin"/>
        </w:r>
        <w:r w:rsidR="005F3A11" w:rsidRPr="005F3A11">
          <w:rPr>
            <w:rFonts w:asciiTheme="minorHAnsi" w:hAnsiTheme="minorHAnsi" w:cstheme="minorHAnsi"/>
            <w:noProof/>
            <w:webHidden/>
            <w:sz w:val="22"/>
            <w:szCs w:val="22"/>
          </w:rPr>
          <w:instrText xml:space="preserve"> PAGEREF _Toc347841224 \h </w:instrText>
        </w:r>
        <w:r w:rsidR="005F3A11" w:rsidRPr="005F3A11">
          <w:rPr>
            <w:rFonts w:asciiTheme="minorHAnsi" w:hAnsiTheme="minorHAnsi" w:cstheme="minorHAnsi"/>
            <w:noProof/>
            <w:webHidden/>
            <w:sz w:val="22"/>
            <w:szCs w:val="22"/>
          </w:rPr>
        </w:r>
        <w:r w:rsidR="005F3A11" w:rsidRPr="005F3A11">
          <w:rPr>
            <w:rFonts w:asciiTheme="minorHAnsi" w:hAnsiTheme="minorHAnsi" w:cstheme="minorHAnsi"/>
            <w:noProof/>
            <w:webHidden/>
            <w:sz w:val="22"/>
            <w:szCs w:val="22"/>
          </w:rPr>
          <w:fldChar w:fldCharType="separate"/>
        </w:r>
        <w:r w:rsidR="005F3A11" w:rsidRPr="005F3A11">
          <w:rPr>
            <w:rFonts w:asciiTheme="minorHAnsi" w:hAnsiTheme="minorHAnsi" w:cstheme="minorHAnsi"/>
            <w:noProof/>
            <w:webHidden/>
            <w:sz w:val="22"/>
            <w:szCs w:val="22"/>
          </w:rPr>
          <w:t>5</w:t>
        </w:r>
        <w:r w:rsidR="005F3A11"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25" w:history="1">
        <w:r w:rsidRPr="005F3A11">
          <w:rPr>
            <w:rStyle w:val="Hipervnculo"/>
            <w:rFonts w:asciiTheme="minorHAnsi" w:eastAsia="Calibri" w:hAnsiTheme="minorHAnsi" w:cstheme="minorHAnsi"/>
            <w:noProof/>
            <w:sz w:val="22"/>
            <w:szCs w:val="22"/>
            <w:lang w:val="es-GT"/>
          </w:rPr>
          <w:t>Figura 2. Representación del Sistema Socioecológico utilizado por el IARNA-URL para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_Toc347841225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9</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26" w:history="1">
        <w:r w:rsidRPr="005F3A11">
          <w:rPr>
            <w:rStyle w:val="Hipervnculo"/>
            <w:rFonts w:asciiTheme="minorHAnsi" w:eastAsia="Calibri" w:hAnsiTheme="minorHAnsi" w:cstheme="minorHAnsi"/>
            <w:noProof/>
            <w:sz w:val="22"/>
            <w:szCs w:val="22"/>
            <w:lang w:val="es-GT"/>
          </w:rPr>
          <w:t>Figura 3. Elementos clave para la identificación de Factores Críticos para la Decisión</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_Toc347841226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11</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27" w:history="1">
        <w:r w:rsidRPr="005F3A11">
          <w:rPr>
            <w:rStyle w:val="Hipervnculo"/>
            <w:rFonts w:asciiTheme="minorHAnsi" w:eastAsia="Calibri" w:hAnsiTheme="minorHAnsi" w:cstheme="minorHAnsi"/>
            <w:noProof/>
            <w:sz w:val="22"/>
            <w:szCs w:val="22"/>
            <w:lang w:val="es-GT"/>
          </w:rPr>
          <w:t>Figura 4. Ubicación de Guatemala en Mesoamérica y América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_Toc347841227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15</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28" w:history="1">
        <w:r w:rsidRPr="005F3A11">
          <w:rPr>
            <w:rStyle w:val="Hipervnculo"/>
            <w:rFonts w:asciiTheme="minorHAnsi" w:eastAsia="Calibri" w:hAnsiTheme="minorHAnsi" w:cstheme="minorHAnsi"/>
            <w:noProof/>
            <w:sz w:val="22"/>
            <w:szCs w:val="22"/>
            <w:lang w:val="es-GT"/>
          </w:rPr>
          <w:t>Figura 5. Regiones administrativas y departamentos de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_Toc347841228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29" w:history="1">
        <w:r w:rsidRPr="005F3A11">
          <w:rPr>
            <w:rStyle w:val="Hipervnculo"/>
            <w:rFonts w:asciiTheme="minorHAnsi" w:eastAsia="Calibri" w:hAnsiTheme="minorHAnsi" w:cstheme="minorHAnsi"/>
            <w:noProof/>
            <w:sz w:val="22"/>
            <w:szCs w:val="22"/>
            <w:lang w:val="es-GT"/>
          </w:rPr>
          <w:t>Figura 6. Indicadores utilizados para analizar la situación actual del desarrollo rural en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_Toc347841229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19</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30" w:history="1">
        <w:r w:rsidRPr="005F3A11">
          <w:rPr>
            <w:rStyle w:val="Hipervnculo"/>
            <w:rFonts w:asciiTheme="minorHAnsi" w:eastAsia="Calibri" w:hAnsiTheme="minorHAnsi" w:cstheme="minorHAnsi"/>
            <w:noProof/>
            <w:sz w:val="22"/>
            <w:szCs w:val="22"/>
            <w:lang w:val="es-GT"/>
          </w:rPr>
          <w:t>Figura 7. Dinámica de la cobertura forestal de Guatemala, periodo 2006-2010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_Toc347841230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21</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31" w:history="1">
        <w:r w:rsidRPr="005F3A11">
          <w:rPr>
            <w:rStyle w:val="Hipervnculo"/>
            <w:rFonts w:asciiTheme="minorHAnsi" w:eastAsia="Calibri" w:hAnsiTheme="minorHAnsi" w:cstheme="minorHAnsi"/>
            <w:noProof/>
            <w:sz w:val="22"/>
            <w:szCs w:val="22"/>
            <w:lang w:val="es-GT"/>
          </w:rPr>
          <w:t>Figura 8. Sistema Guatemalteco de Áreas Protegidas (SIGAP)</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_Toc347841231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24</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32" w:history="1">
        <w:r w:rsidRPr="005F3A11">
          <w:rPr>
            <w:rStyle w:val="Hipervnculo"/>
            <w:rFonts w:asciiTheme="minorHAnsi" w:eastAsia="Calibri" w:hAnsiTheme="minorHAnsi" w:cstheme="minorHAnsi"/>
            <w:noProof/>
            <w:sz w:val="22"/>
            <w:szCs w:val="22"/>
            <w:lang w:val="es-GT"/>
          </w:rPr>
          <w:t>Figura 9. Cuencas hidrográficas de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_Toc347841232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33" w:history="1">
        <w:r w:rsidRPr="005F3A11">
          <w:rPr>
            <w:rStyle w:val="Hipervnculo"/>
            <w:rFonts w:asciiTheme="minorHAnsi" w:eastAsia="Calibri" w:hAnsiTheme="minorHAnsi" w:cstheme="minorHAnsi"/>
            <w:noProof/>
            <w:sz w:val="22"/>
            <w:szCs w:val="22"/>
            <w:lang w:val="es-GT"/>
          </w:rPr>
          <w:t>Figura 10. Curva de mejor ajuste, de las tendencias observadas en la temperatura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_Toc347841233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34</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34" w:history="1">
        <w:r w:rsidRPr="005F3A11">
          <w:rPr>
            <w:rStyle w:val="Hipervnculo"/>
            <w:rFonts w:asciiTheme="minorHAnsi" w:eastAsia="Calibri" w:hAnsiTheme="minorHAnsi" w:cstheme="minorHAnsi"/>
            <w:noProof/>
            <w:sz w:val="22"/>
            <w:szCs w:val="22"/>
            <w:lang w:val="es-GT"/>
          </w:rPr>
          <w:t>Figura 11. Curva de mejor ajuste de las tendencias observadas en la precipitación</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_Toc347841234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35</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35" w:history="1">
        <w:r w:rsidRPr="005F3A11">
          <w:rPr>
            <w:rStyle w:val="Hipervnculo"/>
            <w:rFonts w:asciiTheme="minorHAnsi" w:eastAsia="Calibri" w:hAnsiTheme="minorHAnsi" w:cstheme="minorHAnsi"/>
            <w:noProof/>
            <w:sz w:val="22"/>
            <w:szCs w:val="22"/>
            <w:lang w:val="es-GT"/>
          </w:rPr>
          <w:t>Figura 12. Días al año con lluvia mayor a 40 mm, ciudad de Guatemala, período 1970-2003</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_Toc347841235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36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36" w:history="1">
        <w:r w:rsidRPr="005F3A11">
          <w:rPr>
            <w:rStyle w:val="Hipervnculo"/>
            <w:rFonts w:asciiTheme="minorHAnsi" w:eastAsia="Calibri" w:hAnsiTheme="minorHAnsi" w:cstheme="minorHAnsi"/>
            <w:noProof/>
            <w:sz w:val="22"/>
            <w:szCs w:val="22"/>
            <w:lang w:val="es-GT"/>
          </w:rPr>
          <w:t>Figura 13. Eventos ciclónicos extremos por década sobre el territorio guatemalteco, periodo 1864 - 2007</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_Toc347841236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37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37" w:history="1">
        <w:r w:rsidRPr="005F3A11">
          <w:rPr>
            <w:rStyle w:val="Hipervnculo"/>
            <w:rFonts w:asciiTheme="minorHAnsi" w:eastAsia="Calibri" w:hAnsiTheme="minorHAnsi" w:cstheme="minorHAnsi"/>
            <w:noProof/>
            <w:sz w:val="22"/>
            <w:szCs w:val="22"/>
            <w:lang w:val="es-GT"/>
          </w:rPr>
          <w:t>Figura 14. Percepción de los impactos asociados al clima, en el altiplano de Huehuetenango</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_Toc347841237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38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38" w:history="1">
        <w:r w:rsidRPr="005F3A11">
          <w:rPr>
            <w:rStyle w:val="Hipervnculo"/>
            <w:rFonts w:asciiTheme="minorHAnsi" w:eastAsia="Calibri" w:hAnsiTheme="minorHAnsi" w:cstheme="minorHAnsi"/>
            <w:noProof/>
            <w:sz w:val="22"/>
            <w:szCs w:val="22"/>
            <w:lang w:val="es-GT"/>
          </w:rPr>
          <w:t>Figura 15. Indicadores-señal que explican la problemática del cambio climático</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_Toc347841238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41</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39" w:history="1">
        <w:r w:rsidRPr="005F3A11">
          <w:rPr>
            <w:rStyle w:val="Hipervnculo"/>
            <w:rFonts w:asciiTheme="minorHAnsi" w:eastAsia="Calibri" w:hAnsiTheme="minorHAnsi" w:cstheme="minorHAnsi"/>
            <w:noProof/>
            <w:sz w:val="22"/>
            <w:szCs w:val="22"/>
            <w:lang w:val="es-GT"/>
          </w:rPr>
          <w:t>Figura 16. Indicadores-señal de distintas acciones necesarias para enfrentar el cambio climático en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_Toc347841239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43</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40" w:history="1">
        <w:r w:rsidRPr="005F3A11">
          <w:rPr>
            <w:rStyle w:val="Hipervnculo"/>
            <w:rFonts w:asciiTheme="minorHAnsi" w:eastAsia="Calibri" w:hAnsiTheme="minorHAnsi" w:cstheme="minorHAnsi"/>
            <w:noProof/>
            <w:sz w:val="22"/>
            <w:szCs w:val="22"/>
            <w:lang w:val="es-GT"/>
          </w:rPr>
          <w:t>Figura 17. Mapa de densidad poblacional en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_Toc347841240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45</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41" w:history="1">
        <w:r w:rsidRPr="005F3A11">
          <w:rPr>
            <w:rStyle w:val="Hipervnculo"/>
            <w:rFonts w:asciiTheme="minorHAnsi" w:eastAsia="Calibri" w:hAnsiTheme="minorHAnsi" w:cstheme="minorHAnsi"/>
            <w:noProof/>
            <w:sz w:val="22"/>
            <w:szCs w:val="22"/>
            <w:lang w:val="es-GT"/>
          </w:rPr>
          <w:t>Figura 18. Tendencia en la distribución de fincas por categoría de tamaño (%). Periodo 1950-2003</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_Toc347841241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53</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42" w:history="1">
        <w:r w:rsidRPr="005F3A11">
          <w:rPr>
            <w:rStyle w:val="Hipervnculo"/>
            <w:rFonts w:asciiTheme="minorHAnsi" w:eastAsia="Calibri" w:hAnsiTheme="minorHAnsi" w:cstheme="minorHAnsi"/>
            <w:noProof/>
            <w:sz w:val="22"/>
            <w:szCs w:val="22"/>
            <w:lang w:val="es-GT"/>
          </w:rPr>
          <w:t>Figura 19. Distribución geográfica de las fincas familiares y subfamiliares, 2003</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_Toc347841242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54</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43" w:history="1">
        <w:r w:rsidRPr="005F3A11">
          <w:rPr>
            <w:rStyle w:val="Hipervnculo"/>
            <w:rFonts w:asciiTheme="minorHAnsi" w:eastAsia="Calibri" w:hAnsiTheme="minorHAnsi" w:cstheme="minorHAnsi"/>
            <w:noProof/>
            <w:sz w:val="22"/>
            <w:szCs w:val="22"/>
            <w:lang w:val="es-GT"/>
          </w:rPr>
          <w:t>Figura 20. Desempeño sistémico pobre y desbalanceado</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_Toc347841243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65</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44" w:history="1">
        <w:r w:rsidRPr="005F3A11">
          <w:rPr>
            <w:rStyle w:val="Hipervnculo"/>
            <w:rFonts w:asciiTheme="minorHAnsi" w:eastAsia="Calibri" w:hAnsiTheme="minorHAnsi" w:cstheme="minorHAnsi"/>
            <w:noProof/>
            <w:sz w:val="22"/>
            <w:szCs w:val="22"/>
            <w:lang w:val="es-GT"/>
          </w:rPr>
          <w:t>Figura 21. Relación entre el crecimiento del PIB y la extracción de bienes naturales</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_Toc347841244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68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45" w:history="1">
        <w:r w:rsidRPr="005F3A11">
          <w:rPr>
            <w:rStyle w:val="Hipervnculo"/>
            <w:rFonts w:asciiTheme="minorHAnsi" w:eastAsia="Calibri" w:hAnsiTheme="minorHAnsi" w:cstheme="minorHAnsi"/>
            <w:noProof/>
            <w:sz w:val="22"/>
            <w:szCs w:val="22"/>
            <w:lang w:val="es-GT"/>
          </w:rPr>
          <w:t>Figura 22. Relación entre el crecimiento del PIB y la producción de contaminantes</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_Toc347841245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69</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46" w:history="1">
        <w:r w:rsidRPr="005F3A11">
          <w:rPr>
            <w:rStyle w:val="Hipervnculo"/>
            <w:rFonts w:asciiTheme="minorHAnsi" w:eastAsia="Calibri" w:hAnsiTheme="minorHAnsi" w:cstheme="minorHAnsi"/>
            <w:noProof/>
            <w:sz w:val="22"/>
            <w:szCs w:val="22"/>
            <w:lang w:val="es-GT"/>
          </w:rPr>
          <w:t>Figura 23. Relación espacial entre intensidad de uso de la tierra y pobreza general</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_Toc347841246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70</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47" w:history="1">
        <w:r w:rsidRPr="005F3A11">
          <w:rPr>
            <w:rStyle w:val="Hipervnculo"/>
            <w:rFonts w:asciiTheme="minorHAnsi" w:eastAsia="Calibri" w:hAnsiTheme="minorHAnsi" w:cstheme="minorHAnsi"/>
            <w:noProof/>
            <w:sz w:val="22"/>
            <w:szCs w:val="22"/>
            <w:lang w:val="es-GT"/>
          </w:rPr>
          <w:t>Figura 24. Relación espacial entre deforestación y pobreza general</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_Toc347841247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71</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48" w:history="1">
        <w:r w:rsidRPr="005F3A11">
          <w:rPr>
            <w:rStyle w:val="Hipervnculo"/>
            <w:rFonts w:asciiTheme="minorHAnsi" w:eastAsia="Calibri" w:hAnsiTheme="minorHAnsi" w:cstheme="minorHAnsi"/>
            <w:noProof/>
            <w:sz w:val="22"/>
            <w:szCs w:val="22"/>
            <w:lang w:val="es-GT"/>
          </w:rPr>
          <w:t>Figura 25. Pactos y ejes del Plan de Gobierno, relacionados con el desarrollo rural integral</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_Toc347841248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90</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49" w:history="1">
        <w:r w:rsidRPr="005F3A11">
          <w:rPr>
            <w:rStyle w:val="Hipervnculo"/>
            <w:rFonts w:asciiTheme="minorHAnsi" w:eastAsia="Calibri" w:hAnsiTheme="minorHAnsi" w:cstheme="minorHAnsi"/>
            <w:noProof/>
            <w:sz w:val="22"/>
            <w:szCs w:val="22"/>
            <w:lang w:val="es-GT"/>
          </w:rPr>
          <w:t>Figura 26. Políticas públicas transectoriales y sectoriales relacionadas con el desarrollo rural integral</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_Toc347841249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92</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50" w:history="1">
        <w:r w:rsidRPr="005F3A11">
          <w:rPr>
            <w:rStyle w:val="Hipervnculo"/>
            <w:rFonts w:asciiTheme="minorHAnsi" w:eastAsia="Calibri" w:hAnsiTheme="minorHAnsi" w:cstheme="minorHAnsi"/>
            <w:noProof/>
            <w:sz w:val="22"/>
            <w:szCs w:val="22"/>
            <w:lang w:val="es-GT"/>
          </w:rPr>
          <w:t>Figura 27. Tendencia histórica de la distribución de los bosques. Periodo 1991-2010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_Toc347841250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157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51" w:history="1">
        <w:r w:rsidRPr="005F3A11">
          <w:rPr>
            <w:rStyle w:val="Hipervnculo"/>
            <w:rFonts w:asciiTheme="minorHAnsi" w:eastAsia="Calibri" w:hAnsiTheme="minorHAnsi" w:cstheme="minorHAnsi"/>
            <w:noProof/>
            <w:sz w:val="22"/>
            <w:szCs w:val="22"/>
            <w:lang w:val="es-GT"/>
          </w:rPr>
          <w:t>Figura 28. Frentes de deforestación en Guatemala. Periodo 1991-2010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_Toc347841251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161</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52" w:history="1">
        <w:r w:rsidRPr="005F3A11">
          <w:rPr>
            <w:rStyle w:val="Hipervnculo"/>
            <w:rFonts w:asciiTheme="minorHAnsi" w:eastAsia="Calibri" w:hAnsiTheme="minorHAnsi" w:cstheme="minorHAnsi"/>
            <w:noProof/>
            <w:sz w:val="22"/>
            <w:szCs w:val="22"/>
            <w:lang w:val="es-GT"/>
          </w:rPr>
          <w:t>Figura 29. Tierras de muy alta, alta y media captación y regulación hidrológica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_Toc347841252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165</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53" w:history="1">
        <w:r w:rsidRPr="005F3A11">
          <w:rPr>
            <w:rStyle w:val="Hipervnculo"/>
            <w:rFonts w:asciiTheme="minorHAnsi" w:eastAsia="Calibri" w:hAnsiTheme="minorHAnsi" w:cstheme="minorHAnsi"/>
            <w:noProof/>
            <w:sz w:val="22"/>
            <w:szCs w:val="22"/>
            <w:lang w:val="es-GT"/>
          </w:rPr>
          <w:t>Figura 30. Intensidad de uso en las tierras de muy alta, alta y media captación y regulación hidrológica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_Toc347841253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167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54" w:history="1">
        <w:r w:rsidRPr="005F3A11">
          <w:rPr>
            <w:rStyle w:val="Hipervnculo"/>
            <w:rFonts w:asciiTheme="minorHAnsi" w:eastAsia="Calibri" w:hAnsiTheme="minorHAnsi" w:cstheme="minorHAnsi"/>
            <w:noProof/>
            <w:sz w:val="22"/>
            <w:szCs w:val="22"/>
            <w:lang w:val="es-GT"/>
          </w:rPr>
          <w:t>Figura 31. Escasez hídrica anual, época lluviosa y época seca, año 2005</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_Toc347841254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169</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55" w:history="1">
        <w:r w:rsidRPr="005F3A11">
          <w:rPr>
            <w:rStyle w:val="Hipervnculo"/>
            <w:rFonts w:asciiTheme="minorHAnsi" w:eastAsia="Calibri" w:hAnsiTheme="minorHAnsi" w:cstheme="minorHAnsi"/>
            <w:noProof/>
            <w:sz w:val="22"/>
            <w:szCs w:val="22"/>
            <w:lang w:val="es-GT"/>
          </w:rPr>
          <w:t>Figura 32. Intensidad de uso de la tierra. Año 2003</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_Toc347841255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178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56" w:history="1">
        <w:r w:rsidRPr="005F3A11">
          <w:rPr>
            <w:rStyle w:val="Hipervnculo"/>
            <w:rFonts w:asciiTheme="minorHAnsi" w:eastAsia="Calibri" w:hAnsiTheme="minorHAnsi" w:cstheme="minorHAnsi"/>
            <w:noProof/>
            <w:sz w:val="22"/>
            <w:szCs w:val="22"/>
            <w:lang w:val="es-GT"/>
          </w:rPr>
          <w:t>Figura 33. Erosión potencial en áreas con sobreuso de Guatemala (t/ha/año )</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_Toc347841256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181</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57" w:history="1">
        <w:r w:rsidRPr="005F3A11">
          <w:rPr>
            <w:rStyle w:val="Hipervnculo"/>
            <w:rFonts w:asciiTheme="minorHAnsi" w:eastAsia="Calibri" w:hAnsiTheme="minorHAnsi" w:cstheme="minorHAnsi"/>
            <w:noProof/>
            <w:sz w:val="22"/>
            <w:szCs w:val="22"/>
            <w:lang w:val="es-GT"/>
          </w:rPr>
          <w:t>Figura 34. Áreas con potencial de producción hortícola en el altiplano de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_Toc347841257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190</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58" w:history="1">
        <w:r w:rsidRPr="005F3A11">
          <w:rPr>
            <w:rStyle w:val="Hipervnculo"/>
            <w:rFonts w:asciiTheme="minorHAnsi" w:eastAsia="Calibri" w:hAnsiTheme="minorHAnsi" w:cstheme="minorHAnsi"/>
            <w:noProof/>
            <w:sz w:val="22"/>
            <w:szCs w:val="22"/>
            <w:lang w:val="es-GT"/>
          </w:rPr>
          <w:t>Figura 35. Áreas y tramos propuestos para inversión en infraestructura vial en el altiplano de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_Toc347841258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192</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59" w:history="1">
        <w:r w:rsidRPr="005F3A11">
          <w:rPr>
            <w:rStyle w:val="Hipervnculo"/>
            <w:rFonts w:asciiTheme="minorHAnsi" w:eastAsia="Calibri" w:hAnsiTheme="minorHAnsi" w:cstheme="minorHAnsi"/>
            <w:noProof/>
            <w:sz w:val="22"/>
            <w:szCs w:val="22"/>
            <w:lang w:val="es-GT"/>
          </w:rPr>
          <w:t>Figura 36. Distribución de las áreas actualmente regadas y con potencial de riego, en los departamentos del corredor seco de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_Toc347841259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198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60" w:history="1">
        <w:r w:rsidRPr="005F3A11">
          <w:rPr>
            <w:rStyle w:val="Hipervnculo"/>
            <w:rFonts w:asciiTheme="minorHAnsi" w:eastAsia="Calibri" w:hAnsiTheme="minorHAnsi" w:cstheme="minorHAnsi"/>
            <w:noProof/>
            <w:sz w:val="22"/>
            <w:szCs w:val="22"/>
            <w:lang w:val="es-GT"/>
          </w:rPr>
          <w:t>Figura 37. Tasas de mortalidad del periodo 2002-2007, en informe de desnutrición en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_Toc347841260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205</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61" w:history="1">
        <w:r w:rsidRPr="005F3A11">
          <w:rPr>
            <w:rStyle w:val="Hipervnculo"/>
            <w:rFonts w:asciiTheme="minorHAnsi" w:eastAsia="Calibri" w:hAnsiTheme="minorHAnsi" w:cstheme="minorHAnsi"/>
            <w:noProof/>
            <w:sz w:val="22"/>
            <w:szCs w:val="22"/>
            <w:lang w:val="es-GT"/>
          </w:rPr>
          <w:t>Figura 38. Cambios en baja talla para edad de niños y niñas menores de cinco años de Guatemala, en total y por regiones. Patrones de crecimiento OMS. Periodo 1966–2008.</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_Toc347841261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206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62" w:history="1">
        <w:r w:rsidRPr="005F3A11">
          <w:rPr>
            <w:rStyle w:val="Hipervnculo"/>
            <w:rFonts w:asciiTheme="minorHAnsi" w:eastAsia="Calibri" w:hAnsiTheme="minorHAnsi" w:cstheme="minorHAnsi"/>
            <w:noProof/>
            <w:sz w:val="22"/>
            <w:szCs w:val="22"/>
            <w:lang w:val="es-GT"/>
          </w:rPr>
          <w:t>Figura 39. Tasas de baja talla para la edad de niños y niñas menores de cinco años, según características familiares. Patrones de crecimiento OMS. Periodo 1966–2008.</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_Toc347841262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207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63" w:history="1">
        <w:r w:rsidRPr="005F3A11">
          <w:rPr>
            <w:rStyle w:val="Hipervnculo"/>
            <w:rFonts w:asciiTheme="minorHAnsi" w:eastAsia="Calibri" w:hAnsiTheme="minorHAnsi" w:cstheme="minorHAnsi"/>
            <w:noProof/>
            <w:sz w:val="22"/>
            <w:szCs w:val="22"/>
            <w:lang w:val="es-GT"/>
          </w:rPr>
          <w:t>Figura 40. Reservas de maíz y frijol en la región oriente. Periodo 2008-2010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_Toc347841263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209</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64" w:history="1">
        <w:r w:rsidRPr="005F3A11">
          <w:rPr>
            <w:rStyle w:val="Hipervnculo"/>
            <w:rFonts w:asciiTheme="minorHAnsi" w:eastAsia="Calibri" w:hAnsiTheme="minorHAnsi" w:cstheme="minorHAnsi"/>
            <w:noProof/>
            <w:sz w:val="22"/>
            <w:szCs w:val="22"/>
            <w:lang w:val="es-GT"/>
          </w:rPr>
          <w:t>Figura 41. Reservas de maíz y frijol en la región occidente. Periodo 2008-2010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_Toc347841264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211</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65" w:history="1">
        <w:r w:rsidRPr="005F3A11">
          <w:rPr>
            <w:rStyle w:val="Hipervnculo"/>
            <w:rFonts w:asciiTheme="minorHAnsi" w:eastAsia="Calibri" w:hAnsiTheme="minorHAnsi" w:cstheme="minorHAnsi"/>
            <w:noProof/>
            <w:sz w:val="22"/>
            <w:szCs w:val="22"/>
            <w:lang w:val="es-GT"/>
          </w:rPr>
          <w:t>Figura 42. Grado de dependencia de arroz, frijol y maíz en Guatemala. Periodo del 1980-2008</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_Toc347841265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212</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66" w:history="1">
        <w:r w:rsidRPr="005F3A11">
          <w:rPr>
            <w:rStyle w:val="Hipervnculo"/>
            <w:rFonts w:asciiTheme="minorHAnsi" w:eastAsia="Calibri" w:hAnsiTheme="minorHAnsi" w:cstheme="minorHAnsi"/>
            <w:noProof/>
            <w:sz w:val="22"/>
            <w:szCs w:val="22"/>
            <w:lang w:val="es-GT"/>
          </w:rPr>
          <w:t>Figura 43. Superficie cosechada de los principales cultivos en Guatemala. Periodo 1980-2008</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_Toc347841266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213</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67" w:history="1">
        <w:r w:rsidRPr="005F3A11">
          <w:rPr>
            <w:rStyle w:val="Hipervnculo"/>
            <w:rFonts w:asciiTheme="minorHAnsi" w:eastAsia="Calibri" w:hAnsiTheme="minorHAnsi" w:cstheme="minorHAnsi"/>
            <w:noProof/>
            <w:sz w:val="22"/>
            <w:szCs w:val="22"/>
            <w:lang w:val="es-GT"/>
          </w:rPr>
          <w:t>Figura 44. Perfiles de medios de vida y fuentes de granos básicos para los dos grupos socioeconómicos más pobres de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_Toc347841267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214</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68" w:history="1">
        <w:r w:rsidRPr="005F3A11">
          <w:rPr>
            <w:rStyle w:val="Hipervnculo"/>
            <w:rFonts w:asciiTheme="minorHAnsi" w:eastAsia="Calibri" w:hAnsiTheme="minorHAnsi" w:cstheme="minorHAnsi"/>
            <w:noProof/>
            <w:sz w:val="22"/>
            <w:szCs w:val="22"/>
            <w:lang w:val="es-GT"/>
          </w:rPr>
          <w:t>Figura 45. Habitantes en condiciones de pobreza extrema. Año 2009</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_Toc347841268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217</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69" w:history="1">
        <w:r w:rsidRPr="005F3A11">
          <w:rPr>
            <w:rStyle w:val="Hipervnculo"/>
            <w:rFonts w:asciiTheme="minorHAnsi" w:eastAsia="Calibri" w:hAnsiTheme="minorHAnsi" w:cstheme="minorHAnsi"/>
            <w:noProof/>
            <w:sz w:val="22"/>
            <w:szCs w:val="22"/>
            <w:lang w:val="es-GT"/>
          </w:rPr>
          <w:t>Figura 46. Niveles de pobreza en porcentaje. Año 2006</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_Toc347841269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218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70" w:history="1">
        <w:r w:rsidRPr="005F3A11">
          <w:rPr>
            <w:rStyle w:val="Hipervnculo"/>
            <w:rFonts w:asciiTheme="minorHAnsi" w:eastAsia="Calibri" w:hAnsiTheme="minorHAnsi" w:cstheme="minorHAnsi"/>
            <w:noProof/>
            <w:sz w:val="22"/>
            <w:szCs w:val="22"/>
            <w:lang w:val="es-GT"/>
          </w:rPr>
          <w:t>Figura 47. Índice de influencia humana en los ecosistemas terrestres de Guatemala. Año 2005</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_Toc347841270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224</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71" w:history="1">
        <w:r w:rsidRPr="005F3A11">
          <w:rPr>
            <w:rStyle w:val="Hipervnculo"/>
            <w:rFonts w:asciiTheme="minorHAnsi" w:eastAsia="Calibri" w:hAnsiTheme="minorHAnsi" w:cstheme="minorHAnsi"/>
            <w:noProof/>
            <w:sz w:val="22"/>
            <w:szCs w:val="22"/>
            <w:lang w:val="es-GT"/>
          </w:rPr>
          <w:t>Figura 48. Amenazas inducidas por el cambio climático en Guatemala. Año 2005</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_Toc347841271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226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72" w:history="1">
        <w:r w:rsidRPr="005F3A11">
          <w:rPr>
            <w:rStyle w:val="Hipervnculo"/>
            <w:rFonts w:asciiTheme="minorHAnsi" w:eastAsia="Calibri" w:hAnsiTheme="minorHAnsi" w:cstheme="minorHAnsi"/>
            <w:noProof/>
            <w:sz w:val="22"/>
            <w:szCs w:val="22"/>
            <w:lang w:val="es-GT"/>
          </w:rPr>
          <w:t>Figura 49. Temperatura media anual, escenarios A2 y B2. Años 2020, 2050 y 2080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_Toc347841272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231</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73" w:history="1">
        <w:r w:rsidRPr="005F3A11">
          <w:rPr>
            <w:rStyle w:val="Hipervnculo"/>
            <w:rFonts w:asciiTheme="minorHAnsi" w:eastAsia="Calibri" w:hAnsiTheme="minorHAnsi" w:cstheme="minorHAnsi"/>
            <w:noProof/>
            <w:sz w:val="22"/>
            <w:szCs w:val="22"/>
            <w:lang w:val="es-GT"/>
          </w:rPr>
          <w:t>Figura 50. Precipitación anual, escenarios A2 y B2. Años 2020, 2050 y 2080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_Toc347841273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232</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74" w:history="1">
        <w:r w:rsidRPr="005F3A11">
          <w:rPr>
            <w:rStyle w:val="Hipervnculo"/>
            <w:rFonts w:asciiTheme="minorHAnsi" w:eastAsia="Calibri" w:hAnsiTheme="minorHAnsi" w:cstheme="minorHAnsi"/>
            <w:noProof/>
            <w:sz w:val="22"/>
            <w:szCs w:val="22"/>
            <w:lang w:val="es-GT"/>
          </w:rPr>
          <w:t>Figura 51. Mapa actual de zonas de vida (basado en el Sistema Holdrigde), y distribución al año 2050, de acuerdo con los escenarios A2 y B2</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_Toc347841274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234</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75" w:history="1">
        <w:r w:rsidRPr="005F3A11">
          <w:rPr>
            <w:rStyle w:val="Hipervnculo"/>
            <w:rFonts w:asciiTheme="minorHAnsi" w:eastAsia="Calibri" w:hAnsiTheme="minorHAnsi" w:cstheme="minorHAnsi"/>
            <w:noProof/>
            <w:sz w:val="22"/>
            <w:szCs w:val="22"/>
            <w:lang w:val="es-GT"/>
          </w:rPr>
          <w:t>Figura 52. Gasto público social dentro del presupuesto general de gastos de la Nación</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_Toc347841275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243</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76" w:history="1">
        <w:r w:rsidRPr="005F3A11">
          <w:rPr>
            <w:rStyle w:val="Hipervnculo"/>
            <w:rFonts w:asciiTheme="minorHAnsi" w:eastAsia="Calibri" w:hAnsiTheme="minorHAnsi" w:cstheme="minorHAnsi"/>
            <w:noProof/>
            <w:sz w:val="22"/>
            <w:szCs w:val="22"/>
            <w:lang w:val="es-GT"/>
          </w:rPr>
          <w:t>Figura 53. Gasto público ambiental con relación al presupuesto público total en Guatemala</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_Toc347841276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245</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77" w:history="1">
        <w:r w:rsidRPr="005F3A11">
          <w:rPr>
            <w:rStyle w:val="Hipervnculo"/>
            <w:rFonts w:asciiTheme="minorHAnsi" w:eastAsia="Calibri" w:hAnsiTheme="minorHAnsi" w:cstheme="minorHAnsi"/>
            <w:noProof/>
            <w:sz w:val="22"/>
            <w:szCs w:val="22"/>
            <w:lang w:val="es-GT"/>
          </w:rPr>
          <w:t>Figura 54. Presupuesto del CONAP. Periodo 2004 – 2009 (millones de quetzales)</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_Toc347841277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246</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78" w:history="1">
        <w:r w:rsidRPr="005F3A11">
          <w:rPr>
            <w:rStyle w:val="Hipervnculo"/>
            <w:rFonts w:asciiTheme="minorHAnsi" w:eastAsia="Calibri" w:hAnsiTheme="minorHAnsi" w:cstheme="minorHAnsi"/>
            <w:noProof/>
            <w:sz w:val="22"/>
            <w:szCs w:val="22"/>
            <w:lang w:val="es-GT"/>
          </w:rPr>
          <w:t>Figura 55. Índice de gestión municipal. Año 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_Toc347841278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248</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79" w:history="1">
        <w:r w:rsidRPr="005F3A11">
          <w:rPr>
            <w:rStyle w:val="Hipervnculo"/>
            <w:rFonts w:asciiTheme="minorHAnsi" w:eastAsia="Calibri" w:hAnsiTheme="minorHAnsi" w:cstheme="minorHAnsi"/>
            <w:noProof/>
            <w:sz w:val="22"/>
            <w:szCs w:val="22"/>
            <w:lang w:val="es-GT"/>
          </w:rPr>
          <w:t>Figura 56. Cumplimiento del plan de desarrollo articulado a las políticas nacionales. Año 2010</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_Toc347841279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250</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80" w:history="1">
        <w:r w:rsidRPr="005F3A11">
          <w:rPr>
            <w:rStyle w:val="Hipervnculo"/>
            <w:rFonts w:asciiTheme="minorHAnsi" w:eastAsia="Calibri" w:hAnsiTheme="minorHAnsi" w:cstheme="minorHAnsi"/>
            <w:noProof/>
            <w:sz w:val="22"/>
            <w:szCs w:val="22"/>
            <w:lang w:val="es-GT"/>
          </w:rPr>
          <w:t>Figura 57. Índice ambiental nacional</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_Toc347841280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251</w:t>
        </w:r>
        <w:r w:rsidRPr="005F3A11">
          <w:rPr>
            <w:rFonts w:asciiTheme="minorHAnsi" w:hAnsiTheme="minorHAnsi" w:cstheme="minorHAnsi"/>
            <w:noProof/>
            <w:webHidden/>
            <w:sz w:val="22"/>
            <w:szCs w:val="22"/>
          </w:rPr>
          <w:fldChar w:fldCharType="end"/>
        </w:r>
      </w:hyperlink>
    </w:p>
    <w:p w:rsidR="005F3A11" w:rsidRPr="005F3A11" w:rsidRDefault="005F3A11">
      <w:pPr>
        <w:pStyle w:val="Tabladeilustraciones"/>
        <w:tabs>
          <w:tab w:val="right" w:leader="dot" w:pos="9638"/>
        </w:tabs>
        <w:rPr>
          <w:rFonts w:asciiTheme="minorHAnsi" w:eastAsiaTheme="minorEastAsia" w:hAnsiTheme="minorHAnsi" w:cstheme="minorHAnsi"/>
          <w:noProof/>
          <w:sz w:val="22"/>
          <w:szCs w:val="22"/>
          <w:lang w:val="es-GT" w:eastAsia="es-GT"/>
        </w:rPr>
      </w:pPr>
      <w:hyperlink w:anchor="_Toc347841281" w:history="1">
        <w:r w:rsidRPr="005F3A11">
          <w:rPr>
            <w:rStyle w:val="Hipervnculo"/>
            <w:rFonts w:asciiTheme="minorHAnsi" w:eastAsia="Calibri" w:hAnsiTheme="minorHAnsi" w:cstheme="minorHAnsi"/>
            <w:noProof/>
            <w:sz w:val="22"/>
            <w:szCs w:val="22"/>
            <w:lang w:val="es-GT"/>
          </w:rPr>
          <w:t>Figura 58. Índice y gasto ambiental municipal</w:t>
        </w:r>
        <w:r w:rsidRPr="005F3A11">
          <w:rPr>
            <w:rFonts w:asciiTheme="minorHAnsi" w:hAnsiTheme="minorHAnsi" w:cstheme="minorHAnsi"/>
            <w:noProof/>
            <w:webHidden/>
            <w:sz w:val="22"/>
            <w:szCs w:val="22"/>
          </w:rPr>
          <w:tab/>
        </w:r>
        <w:r w:rsidRPr="005F3A11">
          <w:rPr>
            <w:rFonts w:asciiTheme="minorHAnsi" w:hAnsiTheme="minorHAnsi" w:cstheme="minorHAnsi"/>
            <w:noProof/>
            <w:webHidden/>
            <w:sz w:val="22"/>
            <w:szCs w:val="22"/>
          </w:rPr>
          <w:fldChar w:fldCharType="begin"/>
        </w:r>
        <w:r w:rsidRPr="005F3A11">
          <w:rPr>
            <w:rFonts w:asciiTheme="minorHAnsi" w:hAnsiTheme="minorHAnsi" w:cstheme="minorHAnsi"/>
            <w:noProof/>
            <w:webHidden/>
            <w:sz w:val="22"/>
            <w:szCs w:val="22"/>
          </w:rPr>
          <w:instrText xml:space="preserve"> PAGEREF _Toc347841281 \h </w:instrText>
        </w:r>
        <w:r w:rsidRPr="005F3A11">
          <w:rPr>
            <w:rFonts w:asciiTheme="minorHAnsi" w:hAnsiTheme="minorHAnsi" w:cstheme="minorHAnsi"/>
            <w:noProof/>
            <w:webHidden/>
            <w:sz w:val="22"/>
            <w:szCs w:val="22"/>
          </w:rPr>
        </w:r>
        <w:r w:rsidRPr="005F3A11">
          <w:rPr>
            <w:rFonts w:asciiTheme="minorHAnsi" w:hAnsiTheme="minorHAnsi" w:cstheme="minorHAnsi"/>
            <w:noProof/>
            <w:webHidden/>
            <w:sz w:val="22"/>
            <w:szCs w:val="22"/>
          </w:rPr>
          <w:fldChar w:fldCharType="separate"/>
        </w:r>
        <w:r w:rsidRPr="005F3A11">
          <w:rPr>
            <w:rFonts w:asciiTheme="minorHAnsi" w:hAnsiTheme="minorHAnsi" w:cstheme="minorHAnsi"/>
            <w:noProof/>
            <w:webHidden/>
            <w:sz w:val="22"/>
            <w:szCs w:val="22"/>
          </w:rPr>
          <w:t>251</w:t>
        </w:r>
        <w:r w:rsidRPr="005F3A11">
          <w:rPr>
            <w:rFonts w:asciiTheme="minorHAnsi" w:hAnsiTheme="minorHAnsi" w:cstheme="minorHAnsi"/>
            <w:noProof/>
            <w:webHidden/>
            <w:sz w:val="22"/>
            <w:szCs w:val="22"/>
          </w:rPr>
          <w:fldChar w:fldCharType="end"/>
        </w:r>
      </w:hyperlink>
    </w:p>
    <w:p w:rsidR="00825FB2" w:rsidRPr="005265B8" w:rsidRDefault="004D1F6A" w:rsidP="00074C2B">
      <w:pPr>
        <w:pStyle w:val="Prrafodelista"/>
        <w:pBdr>
          <w:bottom w:val="single" w:sz="4" w:space="1" w:color="auto"/>
        </w:pBdr>
        <w:autoSpaceDE w:val="0"/>
        <w:autoSpaceDN w:val="0"/>
        <w:adjustRightInd w:val="0"/>
        <w:spacing w:after="20" w:line="240" w:lineRule="auto"/>
        <w:ind w:left="0"/>
        <w:jc w:val="both"/>
        <w:outlineLvl w:val="0"/>
        <w:rPr>
          <w:rFonts w:cs="Calibri"/>
          <w:b/>
          <w:color w:val="365F91"/>
          <w:sz w:val="36"/>
          <w:lang w:eastAsia="es-GT"/>
        </w:rPr>
      </w:pPr>
      <w:r w:rsidRPr="005F3A11">
        <w:rPr>
          <w:rFonts w:asciiTheme="minorHAnsi" w:hAnsiTheme="minorHAnsi" w:cstheme="minorHAnsi"/>
        </w:rPr>
        <w:fldChar w:fldCharType="end"/>
      </w:r>
      <w:r w:rsidR="00E24B2F" w:rsidRPr="001A01AB">
        <w:br w:type="page"/>
      </w:r>
      <w:bookmarkStart w:id="1" w:name="_Toc347841282"/>
      <w:r w:rsidR="00E55C79" w:rsidRPr="005265B8">
        <w:rPr>
          <w:rFonts w:cs="Calibri"/>
          <w:b/>
          <w:color w:val="365F91"/>
          <w:sz w:val="36"/>
          <w:lang w:eastAsia="es-GT"/>
        </w:rPr>
        <w:lastRenderedPageBreak/>
        <w:t>A</w:t>
      </w:r>
      <w:r w:rsidR="00A66A11" w:rsidRPr="005265B8">
        <w:rPr>
          <w:rFonts w:cs="Calibri"/>
          <w:b/>
          <w:color w:val="365F91"/>
          <w:sz w:val="36"/>
          <w:lang w:eastAsia="es-GT"/>
        </w:rPr>
        <w:t>crónimos</w:t>
      </w:r>
      <w:bookmarkEnd w:id="1"/>
    </w:p>
    <w:p w:rsidR="00E24B2F" w:rsidRPr="001A01AB" w:rsidRDefault="00E24B2F" w:rsidP="00FC14C5">
      <w:pPr>
        <w:jc w:val="both"/>
        <w:rPr>
          <w:rFonts w:ascii="Calibri" w:hAnsi="Calibri" w:cs="Calibri"/>
          <w:lang w:val="es-GT"/>
        </w:rPr>
      </w:pPr>
    </w:p>
    <w:tbl>
      <w:tblPr>
        <w:tblW w:w="9462" w:type="dxa"/>
        <w:jc w:val="center"/>
        <w:tblCellMar>
          <w:left w:w="70" w:type="dxa"/>
          <w:right w:w="70" w:type="dxa"/>
        </w:tblCellMar>
        <w:tblLook w:val="00A0" w:firstRow="1" w:lastRow="0" w:firstColumn="1" w:lastColumn="0" w:noHBand="0" w:noVBand="0"/>
      </w:tblPr>
      <w:tblGrid>
        <w:gridCol w:w="1632"/>
        <w:gridCol w:w="7830"/>
      </w:tblGrid>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AGEXPORT</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Asociación Guatemalteca de Exportadores</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ANACAF</w:t>
            </w:r>
            <w:r w:rsidR="000156F9">
              <w:rPr>
                <w:rFonts w:ascii="Calibri" w:hAnsi="Calibri" w:cs="Calibri"/>
                <w:color w:val="000000"/>
                <w:sz w:val="22"/>
                <w:szCs w:val="22"/>
                <w:lang w:val="es-GT" w:eastAsia="es-GT"/>
              </w:rPr>
              <w:t>É</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Asociación Nacional del Café</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Aspectos Socio-Ambientales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ASOCUCH</w:t>
            </w:r>
          </w:p>
        </w:tc>
        <w:tc>
          <w:tcPr>
            <w:tcW w:w="7830" w:type="dxa"/>
            <w:noWrap/>
          </w:tcPr>
          <w:p w:rsidR="00E55C79" w:rsidRPr="00690536" w:rsidRDefault="00E55C79" w:rsidP="00E04367">
            <w:pPr>
              <w:tabs>
                <w:tab w:val="center" w:pos="5700"/>
              </w:tabs>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Asociación de Organizaciones de Los Cuchumatanes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CACIF</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Comité de Asociaciones Agrícolas, Comerciales, Industriales y Financieras</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CAMAGRO</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Cámara del Agro</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CE</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Cuestiones Estratégicas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CEPAL</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Comisión Económica para América Latina y el Caribe</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CICA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Consejo </w:t>
            </w:r>
            <w:r w:rsidRPr="00445FE8">
              <w:rPr>
                <w:rFonts w:ascii="Calibri" w:hAnsi="Calibri" w:cs="Calibri"/>
                <w:color w:val="000000"/>
                <w:sz w:val="22"/>
                <w:szCs w:val="22"/>
                <w:lang w:val="es-GT" w:eastAsia="es-GT"/>
              </w:rPr>
              <w:t>Indígena</w:t>
            </w:r>
            <w:r w:rsidRPr="00690536">
              <w:rPr>
                <w:rFonts w:ascii="Calibri" w:hAnsi="Calibri" w:cs="Calibri"/>
                <w:color w:val="000000"/>
                <w:sz w:val="22"/>
                <w:szCs w:val="22"/>
                <w:lang w:val="es-GT" w:eastAsia="es-GT"/>
              </w:rPr>
              <w:t xml:space="preserve"> de </w:t>
            </w:r>
            <w:r w:rsidRPr="00445FE8">
              <w:rPr>
                <w:rFonts w:ascii="Calibri" w:hAnsi="Calibri" w:cs="Calibri"/>
                <w:color w:val="000000"/>
                <w:sz w:val="22"/>
                <w:szCs w:val="22"/>
                <w:lang w:val="es-GT" w:eastAsia="es-GT"/>
              </w:rPr>
              <w:t>Centroamérica</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CODEDE</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Consejos Departamentales de Desarrollo</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CONAP</w:t>
            </w:r>
          </w:p>
        </w:tc>
        <w:tc>
          <w:tcPr>
            <w:tcW w:w="7830"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Consejo Nacional de Áreas Protegidas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COSOP-BR</w:t>
            </w:r>
          </w:p>
        </w:tc>
        <w:tc>
          <w:tcPr>
            <w:tcW w:w="7830" w:type="dxa"/>
          </w:tcPr>
          <w:p w:rsidR="00E55C79" w:rsidRPr="00690536" w:rsidRDefault="00E55C79" w:rsidP="00E04367">
            <w:pPr>
              <w:spacing w:before="20" w:after="20"/>
              <w:rPr>
                <w:rFonts w:ascii="Calibri" w:hAnsi="Calibri" w:cs="Calibri"/>
                <w:color w:val="000000"/>
                <w:lang w:val="es-GT" w:eastAsia="es-GT"/>
              </w:rPr>
            </w:pPr>
            <w:r w:rsidRPr="000156F9">
              <w:rPr>
                <w:rFonts w:ascii="Calibri" w:hAnsi="Calibri" w:cs="Calibri"/>
                <w:i/>
                <w:color w:val="000000"/>
                <w:sz w:val="22"/>
                <w:szCs w:val="22"/>
                <w:lang w:val="es-GT" w:eastAsia="es-GT"/>
              </w:rPr>
              <w:t>Result-based Country Strategic Opportunities</w:t>
            </w:r>
            <w:r w:rsidRPr="00690536">
              <w:rPr>
                <w:rFonts w:ascii="Calibri" w:hAnsi="Calibri" w:cs="Calibri"/>
                <w:color w:val="000000"/>
                <w:sz w:val="22"/>
                <w:szCs w:val="22"/>
                <w:lang w:val="es-GT" w:eastAsia="es-GT"/>
              </w:rPr>
              <w:t xml:space="preserve"> - Programa sobre Oportunidades Estratégicas Nacionales basado en los resultados</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CUC</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Comité de Unidad Campesina</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DANINA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Agencia Danesa de Desarrollo Internacional</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DR-CAFTA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Tratado de Libre Comercio entre República Dominicana, Centroamérica y Estados Unidos de América</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EAE</w:t>
            </w:r>
          </w:p>
        </w:tc>
        <w:tc>
          <w:tcPr>
            <w:tcW w:w="7830"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Evaluación Ambiental Estratégica</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EIA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Estudios de Impacto Ambiental</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EIAS</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Evaluaciones de Impactos Ambientales y Sociales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ENCOVI</w:t>
            </w:r>
          </w:p>
        </w:tc>
        <w:tc>
          <w:tcPr>
            <w:tcW w:w="7830"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Encuesta Nacional de Condiciones de Vida</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ENSO</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El Niño Oscilación del Sur</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FAO</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Organización de las Naciones Unidas para la Alimentación y la Agricultura</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FCD</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Factores Críticos para la Decisión</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FIDA</w:t>
            </w:r>
          </w:p>
        </w:tc>
        <w:tc>
          <w:tcPr>
            <w:tcW w:w="7830"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Fondo Internacional de Desarrollo Agrícola</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FODA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fortalezas, oportunidades, debilidades y amenazas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FONAGRO</w:t>
            </w:r>
          </w:p>
        </w:tc>
        <w:tc>
          <w:tcPr>
            <w:tcW w:w="7830" w:type="dxa"/>
            <w:noWrap/>
          </w:tcPr>
          <w:p w:rsidR="00E55C79" w:rsidRPr="00690536" w:rsidRDefault="00E55C79" w:rsidP="00E04367">
            <w:pPr>
              <w:spacing w:before="20" w:after="20"/>
              <w:rPr>
                <w:rFonts w:ascii="Calibri" w:hAnsi="Calibri" w:cs="Calibri"/>
                <w:color w:val="000000"/>
                <w:lang w:val="es-GT" w:eastAsia="es-GT"/>
              </w:rPr>
            </w:pPr>
            <w:r>
              <w:rPr>
                <w:rFonts w:ascii="Calibri" w:hAnsi="Calibri" w:cs="Calibri"/>
                <w:color w:val="000000"/>
                <w:sz w:val="22"/>
                <w:szCs w:val="22"/>
                <w:lang w:val="es-GT" w:eastAsia="es-GT"/>
              </w:rPr>
              <w:t>Fondo Nacional para la Reac</w:t>
            </w:r>
            <w:r w:rsidR="00E04367">
              <w:rPr>
                <w:rFonts w:ascii="Calibri" w:hAnsi="Calibri" w:cs="Calibri"/>
                <w:color w:val="000000"/>
                <w:sz w:val="22"/>
                <w:szCs w:val="22"/>
                <w:lang w:val="es-GT" w:eastAsia="es-GT"/>
              </w:rPr>
              <w:t>tivación y Modernización de la A</w:t>
            </w:r>
            <w:r>
              <w:rPr>
                <w:rFonts w:ascii="Calibri" w:hAnsi="Calibri" w:cs="Calibri"/>
                <w:color w:val="000000"/>
                <w:sz w:val="22"/>
                <w:szCs w:val="22"/>
                <w:lang w:val="es-GT" w:eastAsia="es-GT"/>
              </w:rPr>
              <w:t>ctividad Agropecuaria</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FONTIERRA</w:t>
            </w:r>
          </w:p>
        </w:tc>
        <w:tc>
          <w:tcPr>
            <w:tcW w:w="7830"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Fondo de Tierras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FUNDESA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Fundación para el Desarrollo de Guatemala</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GEI</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Gases de Efecto Invernadero</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GIZ</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Agencia Alemana de </w:t>
            </w:r>
            <w:r w:rsidRPr="00445FE8">
              <w:rPr>
                <w:rFonts w:ascii="Calibri" w:hAnsi="Calibri" w:cs="Calibri"/>
                <w:color w:val="000000"/>
                <w:sz w:val="22"/>
                <w:szCs w:val="22"/>
                <w:lang w:val="es-GT" w:eastAsia="es-GT"/>
              </w:rPr>
              <w:t>Cooperación</w:t>
            </w:r>
            <w:r w:rsidRPr="00690536">
              <w:rPr>
                <w:rFonts w:ascii="Calibri" w:hAnsi="Calibri" w:cs="Calibri"/>
                <w:color w:val="000000"/>
                <w:sz w:val="22"/>
                <w:szCs w:val="22"/>
                <w:lang w:val="es-GT" w:eastAsia="es-GT"/>
              </w:rPr>
              <w:t xml:space="preserve"> </w:t>
            </w:r>
            <w:r w:rsidRPr="00445FE8">
              <w:rPr>
                <w:rFonts w:ascii="Calibri" w:hAnsi="Calibri" w:cs="Calibri"/>
                <w:color w:val="000000"/>
                <w:sz w:val="22"/>
                <w:szCs w:val="22"/>
                <w:lang w:val="es-GT" w:eastAsia="es-GT"/>
              </w:rPr>
              <w:t>Técnica</w:t>
            </w:r>
            <w:r w:rsidRPr="00690536">
              <w:rPr>
                <w:rFonts w:ascii="Calibri" w:hAnsi="Calibri" w:cs="Calibri"/>
                <w:color w:val="000000"/>
                <w:sz w:val="22"/>
                <w:szCs w:val="22"/>
                <w:lang w:val="es-GT" w:eastAsia="es-GT"/>
              </w:rPr>
              <w:t xml:space="preserve"> </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IARNA-URL</w:t>
            </w:r>
          </w:p>
        </w:tc>
        <w:tc>
          <w:tcPr>
            <w:tcW w:w="7830"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Instituto de Agricultura, Recursos Naturales y Ambiente de la Universidad Rafael Landívar</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ICTA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Instituto de Ciencia y </w:t>
            </w:r>
            <w:r w:rsidRPr="00445FE8">
              <w:rPr>
                <w:rFonts w:ascii="Calibri" w:hAnsi="Calibri" w:cs="Calibri"/>
                <w:color w:val="000000"/>
                <w:sz w:val="22"/>
                <w:szCs w:val="22"/>
                <w:lang w:val="es-GT" w:eastAsia="es-GT"/>
              </w:rPr>
              <w:t>Tecnol</w:t>
            </w:r>
            <w:r w:rsidR="00E04367">
              <w:rPr>
                <w:rFonts w:ascii="Calibri" w:hAnsi="Calibri" w:cs="Calibri"/>
                <w:color w:val="000000"/>
                <w:sz w:val="22"/>
                <w:szCs w:val="22"/>
                <w:lang w:val="es-GT" w:eastAsia="es-GT"/>
              </w:rPr>
              <w:t>ogía</w:t>
            </w:r>
            <w:r w:rsidRPr="00690536">
              <w:rPr>
                <w:rFonts w:ascii="Calibri" w:hAnsi="Calibri" w:cs="Calibri"/>
                <w:color w:val="000000"/>
                <w:sz w:val="22"/>
                <w:szCs w:val="22"/>
                <w:lang w:val="es-GT" w:eastAsia="es-GT"/>
              </w:rPr>
              <w:t xml:space="preserve"> </w:t>
            </w:r>
            <w:r w:rsidRPr="00445FE8">
              <w:rPr>
                <w:rFonts w:ascii="Calibri" w:hAnsi="Calibri" w:cs="Calibri"/>
                <w:color w:val="000000"/>
                <w:sz w:val="22"/>
                <w:szCs w:val="22"/>
                <w:lang w:val="es-GT" w:eastAsia="es-GT"/>
              </w:rPr>
              <w:t>Agrícola</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INAB</w:t>
            </w:r>
          </w:p>
        </w:tc>
        <w:tc>
          <w:tcPr>
            <w:tcW w:w="7830"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Instituto Nacional de Bosques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IPCC</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Panel Intergubernamental de Cambio </w:t>
            </w:r>
            <w:r w:rsidRPr="00445FE8">
              <w:rPr>
                <w:rFonts w:ascii="Calibri" w:hAnsi="Calibri" w:cs="Calibri"/>
                <w:color w:val="000000"/>
                <w:sz w:val="22"/>
                <w:szCs w:val="22"/>
                <w:lang w:val="es-GT" w:eastAsia="es-GT"/>
              </w:rPr>
              <w:t>Climático</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JICA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Agencia Japonesa de Cooperación Internacional</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LEA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List</w:t>
            </w:r>
            <w:r w:rsidR="00E04367">
              <w:rPr>
                <w:rFonts w:ascii="Calibri" w:hAnsi="Calibri" w:cs="Calibri"/>
                <w:color w:val="000000"/>
                <w:sz w:val="22"/>
                <w:szCs w:val="22"/>
                <w:lang w:val="es-GT" w:eastAsia="es-GT"/>
              </w:rPr>
              <w:t>a de e</w:t>
            </w:r>
            <w:r w:rsidRPr="00690536">
              <w:rPr>
                <w:rFonts w:ascii="Calibri" w:hAnsi="Calibri" w:cs="Calibri"/>
                <w:color w:val="000000"/>
                <w:sz w:val="22"/>
                <w:szCs w:val="22"/>
                <w:lang w:val="es-GT" w:eastAsia="es-GT"/>
              </w:rPr>
              <w:t xml:space="preserve">species </w:t>
            </w:r>
            <w:r w:rsidR="00E04367">
              <w:rPr>
                <w:rFonts w:ascii="Calibri" w:hAnsi="Calibri" w:cs="Calibri"/>
                <w:color w:val="000000"/>
                <w:sz w:val="22"/>
                <w:szCs w:val="22"/>
                <w:lang w:val="es-GT" w:eastAsia="es-GT"/>
              </w:rPr>
              <w:t>a</w:t>
            </w:r>
            <w:r w:rsidRPr="00690536">
              <w:rPr>
                <w:rFonts w:ascii="Calibri" w:hAnsi="Calibri" w:cs="Calibri"/>
                <w:color w:val="000000"/>
                <w:sz w:val="22"/>
                <w:szCs w:val="22"/>
                <w:lang w:val="es-GT" w:eastAsia="es-GT"/>
              </w:rPr>
              <w:t>menazadas</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M&amp;E</w:t>
            </w:r>
          </w:p>
        </w:tc>
        <w:tc>
          <w:tcPr>
            <w:tcW w:w="7830" w:type="dxa"/>
            <w:noWrap/>
          </w:tcPr>
          <w:p w:rsidR="00E55C79" w:rsidRPr="00690536" w:rsidRDefault="00E04367" w:rsidP="00E04367">
            <w:pPr>
              <w:spacing w:before="20" w:after="20"/>
              <w:rPr>
                <w:rFonts w:ascii="Calibri" w:hAnsi="Calibri" w:cs="Calibri"/>
                <w:color w:val="000000"/>
                <w:lang w:val="es-GT" w:eastAsia="es-GT"/>
              </w:rPr>
            </w:pPr>
            <w:r>
              <w:rPr>
                <w:rFonts w:ascii="Calibri" w:hAnsi="Calibri" w:cs="Calibri"/>
                <w:color w:val="000000"/>
                <w:sz w:val="22"/>
                <w:szCs w:val="22"/>
                <w:lang w:val="es-GT" w:eastAsia="es-GT"/>
              </w:rPr>
              <w:t>monitoreo y e</w:t>
            </w:r>
            <w:r w:rsidR="00E55C79" w:rsidRPr="00690536">
              <w:rPr>
                <w:rFonts w:ascii="Calibri" w:hAnsi="Calibri" w:cs="Calibri"/>
                <w:color w:val="000000"/>
                <w:sz w:val="22"/>
                <w:szCs w:val="22"/>
                <w:lang w:val="es-GT" w:eastAsia="es-GT"/>
              </w:rPr>
              <w:t>valuación</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lastRenderedPageBreak/>
              <w:t>MAGA</w:t>
            </w:r>
          </w:p>
        </w:tc>
        <w:tc>
          <w:tcPr>
            <w:tcW w:w="7830"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Ministerio de Agricultura, Ganadería y Alimentación</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MARN</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Ministerio de Ambiente y Recursos Naturales</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MRE</w:t>
            </w:r>
          </w:p>
        </w:tc>
        <w:tc>
          <w:tcPr>
            <w:tcW w:w="7830" w:type="dxa"/>
            <w:noWrap/>
          </w:tcPr>
          <w:p w:rsidR="00E55C79" w:rsidRPr="00690536" w:rsidRDefault="00E04367" w:rsidP="00E04367">
            <w:pPr>
              <w:spacing w:before="20" w:after="20"/>
              <w:rPr>
                <w:rFonts w:ascii="Calibri" w:hAnsi="Calibri" w:cs="Calibri"/>
                <w:color w:val="000000"/>
                <w:lang w:val="es-GT" w:eastAsia="es-GT"/>
              </w:rPr>
            </w:pPr>
            <w:r>
              <w:rPr>
                <w:rFonts w:ascii="Calibri" w:hAnsi="Calibri" w:cs="Calibri"/>
                <w:color w:val="000000"/>
                <w:sz w:val="22"/>
                <w:szCs w:val="22"/>
                <w:lang w:val="es-GT" w:eastAsia="es-GT"/>
              </w:rPr>
              <w:t>Marco de referencia e</w:t>
            </w:r>
            <w:r w:rsidR="00E55C79" w:rsidRPr="00690536">
              <w:rPr>
                <w:rFonts w:ascii="Calibri" w:hAnsi="Calibri" w:cs="Calibri"/>
                <w:color w:val="000000"/>
                <w:sz w:val="22"/>
                <w:szCs w:val="22"/>
                <w:lang w:val="es-GT" w:eastAsia="es-GT"/>
              </w:rPr>
              <w:t>stratégico</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MSPAS</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Ministerio de Salud Pública y Asistencia Social</w:t>
            </w:r>
          </w:p>
        </w:tc>
      </w:tr>
      <w:tr w:rsidR="00E55C79" w:rsidRPr="000364C9" w:rsidTr="00E04367">
        <w:trPr>
          <w:trHeight w:val="20"/>
          <w:jc w:val="center"/>
        </w:trPr>
        <w:tc>
          <w:tcPr>
            <w:tcW w:w="1632"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M</w:t>
            </w:r>
            <w:r w:rsidRPr="00445FE8">
              <w:rPr>
                <w:rFonts w:ascii="Calibri" w:hAnsi="Calibri" w:cs="Calibri"/>
                <w:color w:val="000000"/>
                <w:sz w:val="22"/>
                <w:szCs w:val="22"/>
                <w:lang w:val="es-GT" w:eastAsia="es-GT"/>
              </w:rPr>
              <w:t>I</w:t>
            </w:r>
            <w:r w:rsidRPr="00690536">
              <w:rPr>
                <w:rFonts w:ascii="Calibri" w:hAnsi="Calibri" w:cs="Calibri"/>
                <w:color w:val="000000"/>
                <w:sz w:val="22"/>
                <w:szCs w:val="22"/>
                <w:lang w:val="es-GT" w:eastAsia="es-GT"/>
              </w:rPr>
              <w:t>P</w:t>
            </w:r>
            <w:r w:rsidRPr="00445FE8">
              <w:rPr>
                <w:rFonts w:ascii="Calibri" w:hAnsi="Calibri" w:cs="Calibri"/>
                <w:color w:val="000000"/>
                <w:sz w:val="22"/>
                <w:szCs w:val="22"/>
                <w:lang w:val="es-GT" w:eastAsia="es-GT"/>
              </w:rPr>
              <w:t>Y</w:t>
            </w:r>
            <w:r w:rsidRPr="00690536">
              <w:rPr>
                <w:rFonts w:ascii="Calibri" w:hAnsi="Calibri" w:cs="Calibri"/>
                <w:color w:val="000000"/>
                <w:sz w:val="22"/>
                <w:szCs w:val="22"/>
                <w:lang w:val="es-GT" w:eastAsia="es-GT"/>
              </w:rPr>
              <w:t>MES</w:t>
            </w:r>
          </w:p>
        </w:tc>
        <w:tc>
          <w:tcPr>
            <w:tcW w:w="7830" w:type="dxa"/>
            <w:noWrap/>
          </w:tcPr>
          <w:p w:rsidR="00E55C79" w:rsidRPr="00690536" w:rsidRDefault="00E04367" w:rsidP="00E04367">
            <w:pPr>
              <w:spacing w:before="20" w:after="20"/>
              <w:rPr>
                <w:rFonts w:ascii="Calibri" w:hAnsi="Calibri" w:cs="Calibri"/>
                <w:color w:val="000000"/>
                <w:lang w:val="es-GT" w:eastAsia="es-GT"/>
              </w:rPr>
            </w:pPr>
            <w:r>
              <w:rPr>
                <w:rFonts w:ascii="Calibri" w:hAnsi="Calibri" w:cs="Calibri"/>
                <w:color w:val="000000"/>
                <w:sz w:val="22"/>
                <w:szCs w:val="22"/>
                <w:lang w:val="es-GT" w:eastAsia="es-GT"/>
              </w:rPr>
              <w:t>Micro, pequeñas y medianas e</w:t>
            </w:r>
            <w:r w:rsidR="00E55C79" w:rsidRPr="00445FE8">
              <w:rPr>
                <w:rFonts w:ascii="Calibri" w:hAnsi="Calibri" w:cs="Calibri"/>
                <w:color w:val="000000"/>
                <w:sz w:val="22"/>
                <w:szCs w:val="22"/>
                <w:lang w:val="es-GT" w:eastAsia="es-GT"/>
              </w:rPr>
              <w:t>mpresas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OCDE</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Organización para la Cooperación y el Desarrollo Económico</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ODM</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Objetivos de Desarrollo del Milenio</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OE</w:t>
            </w:r>
          </w:p>
        </w:tc>
        <w:tc>
          <w:tcPr>
            <w:tcW w:w="7830" w:type="dxa"/>
          </w:tcPr>
          <w:p w:rsidR="00E55C79" w:rsidRPr="00690536" w:rsidRDefault="00E04367" w:rsidP="00E04367">
            <w:pPr>
              <w:spacing w:before="20" w:after="20"/>
              <w:rPr>
                <w:rFonts w:ascii="Calibri" w:hAnsi="Calibri" w:cs="Calibri"/>
                <w:color w:val="000000"/>
                <w:lang w:val="es-GT" w:eastAsia="es-GT"/>
              </w:rPr>
            </w:pPr>
            <w:r>
              <w:rPr>
                <w:rFonts w:ascii="Calibri" w:hAnsi="Calibri" w:cs="Calibri"/>
                <w:color w:val="000000"/>
                <w:sz w:val="22"/>
                <w:szCs w:val="22"/>
                <w:lang w:val="es-GT" w:eastAsia="es-GT"/>
              </w:rPr>
              <w:t>Objetivos e</w:t>
            </w:r>
            <w:r w:rsidR="00E55C79" w:rsidRPr="00690536">
              <w:rPr>
                <w:rFonts w:ascii="Calibri" w:hAnsi="Calibri" w:cs="Calibri"/>
                <w:color w:val="000000"/>
                <w:sz w:val="22"/>
                <w:szCs w:val="22"/>
                <w:lang w:val="es-GT" w:eastAsia="es-GT"/>
              </w:rPr>
              <w:t>stratégicos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OIM</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445FE8">
              <w:rPr>
                <w:rFonts w:ascii="Calibri" w:hAnsi="Calibri" w:cs="Calibri"/>
                <w:color w:val="000000"/>
                <w:sz w:val="22"/>
                <w:szCs w:val="22"/>
                <w:lang w:val="es-GT" w:eastAsia="es-GT"/>
              </w:rPr>
              <w:t>Organización</w:t>
            </w:r>
            <w:r w:rsidRPr="00690536">
              <w:rPr>
                <w:rFonts w:ascii="Calibri" w:hAnsi="Calibri" w:cs="Calibri"/>
                <w:color w:val="000000"/>
                <w:sz w:val="22"/>
                <w:szCs w:val="22"/>
                <w:lang w:val="es-GT" w:eastAsia="es-GT"/>
              </w:rPr>
              <w:t xml:space="preserve"> Internacional para las Migraciones</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Plataforma Agraria</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PEA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445FE8">
              <w:rPr>
                <w:rFonts w:ascii="Calibri" w:hAnsi="Calibri" w:cs="Calibri"/>
                <w:color w:val="000000"/>
                <w:sz w:val="22"/>
                <w:szCs w:val="22"/>
                <w:lang w:val="es-GT" w:eastAsia="es-GT"/>
              </w:rPr>
              <w:t>Población</w:t>
            </w:r>
            <w:r w:rsidRPr="00690536">
              <w:rPr>
                <w:rFonts w:ascii="Calibri" w:hAnsi="Calibri" w:cs="Calibri"/>
                <w:color w:val="000000"/>
                <w:sz w:val="22"/>
                <w:szCs w:val="22"/>
                <w:lang w:val="es-GT" w:eastAsia="es-GT"/>
              </w:rPr>
              <w:t xml:space="preserve"> </w:t>
            </w:r>
            <w:r w:rsidR="00E04367">
              <w:rPr>
                <w:rFonts w:ascii="Calibri" w:hAnsi="Calibri" w:cs="Calibri"/>
                <w:color w:val="000000"/>
                <w:sz w:val="22"/>
                <w:szCs w:val="22"/>
                <w:lang w:val="es-GT" w:eastAsia="es-GT"/>
              </w:rPr>
              <w:t>e</w:t>
            </w:r>
            <w:r w:rsidRPr="00445FE8">
              <w:rPr>
                <w:rFonts w:ascii="Calibri" w:hAnsi="Calibri" w:cs="Calibri"/>
                <w:color w:val="000000"/>
                <w:sz w:val="22"/>
                <w:szCs w:val="22"/>
                <w:lang w:val="es-GT" w:eastAsia="es-GT"/>
              </w:rPr>
              <w:t>conómicamente</w:t>
            </w:r>
            <w:r w:rsidR="00E04367">
              <w:rPr>
                <w:rFonts w:ascii="Calibri" w:hAnsi="Calibri" w:cs="Calibri"/>
                <w:color w:val="000000"/>
                <w:sz w:val="22"/>
                <w:szCs w:val="22"/>
                <w:lang w:val="es-GT" w:eastAsia="es-GT"/>
              </w:rPr>
              <w:t xml:space="preserve"> a</w:t>
            </w:r>
            <w:r w:rsidRPr="00690536">
              <w:rPr>
                <w:rFonts w:ascii="Calibri" w:hAnsi="Calibri" w:cs="Calibri"/>
                <w:color w:val="000000"/>
                <w:sz w:val="22"/>
                <w:szCs w:val="22"/>
                <w:lang w:val="es-GT" w:eastAsia="es-GT"/>
              </w:rPr>
              <w:t>ctiva</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PERFAM</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Perfil Ambiental de Guatemala</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PIB</w:t>
            </w:r>
          </w:p>
        </w:tc>
        <w:tc>
          <w:tcPr>
            <w:tcW w:w="7830"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Producto Interno Bruto</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PINFOR</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Programa de Incentivos Forestales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PINPEP</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Programa de Incentivos Forestales para Poseedores de Pequeñas Extensiones de Tierra de Vocación Forestal o Agroforestal</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PMA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Programa Mundial de Alimentos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PNDRI</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445FE8">
              <w:rPr>
                <w:rFonts w:ascii="Calibri" w:hAnsi="Calibri" w:cs="Calibri"/>
                <w:color w:val="000000"/>
                <w:sz w:val="22"/>
                <w:szCs w:val="22"/>
                <w:lang w:val="es-GT" w:eastAsia="es-GT"/>
              </w:rPr>
              <w:t>Política</w:t>
            </w:r>
            <w:r w:rsidRPr="00690536">
              <w:rPr>
                <w:rFonts w:ascii="Calibri" w:hAnsi="Calibri" w:cs="Calibri"/>
                <w:color w:val="000000"/>
                <w:sz w:val="22"/>
                <w:szCs w:val="22"/>
                <w:lang w:val="es-GT" w:eastAsia="es-GT"/>
              </w:rPr>
              <w:t xml:space="preserve"> Nacional de Desarrollo Rural Integral</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PNUD</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Programa de las Naciones Unidas para el Desarrollo</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PNUMA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Programa de las Naciones Unidas sobre Medio Ambiente</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PPP</w:t>
            </w:r>
          </w:p>
        </w:tc>
        <w:tc>
          <w:tcPr>
            <w:tcW w:w="7830" w:type="dxa"/>
            <w:noWrap/>
          </w:tcPr>
          <w:p w:rsidR="00E55C79" w:rsidRPr="00690536" w:rsidRDefault="00E04367" w:rsidP="00E04367">
            <w:pPr>
              <w:spacing w:before="20" w:after="20"/>
              <w:rPr>
                <w:rFonts w:ascii="Calibri" w:hAnsi="Calibri" w:cs="Calibri"/>
                <w:color w:val="000000"/>
                <w:lang w:val="es-GT" w:eastAsia="es-GT"/>
              </w:rPr>
            </w:pPr>
            <w:r>
              <w:rPr>
                <w:rFonts w:ascii="Calibri" w:hAnsi="Calibri" w:cs="Calibri"/>
                <w:color w:val="000000"/>
                <w:sz w:val="22"/>
                <w:szCs w:val="22"/>
                <w:lang w:val="es-GT" w:eastAsia="es-GT"/>
              </w:rPr>
              <w:t>Planes, políticas y p</w:t>
            </w:r>
            <w:r w:rsidR="00E55C79" w:rsidRPr="00690536">
              <w:rPr>
                <w:rFonts w:ascii="Calibri" w:hAnsi="Calibri" w:cs="Calibri"/>
                <w:color w:val="000000"/>
                <w:sz w:val="22"/>
                <w:szCs w:val="22"/>
                <w:lang w:val="es-GT" w:eastAsia="es-GT"/>
              </w:rPr>
              <w:t>rogramas</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PYMES</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445FE8">
              <w:rPr>
                <w:rFonts w:ascii="Calibri" w:hAnsi="Calibri" w:cs="Calibri"/>
                <w:color w:val="000000"/>
                <w:sz w:val="22"/>
                <w:szCs w:val="22"/>
                <w:lang w:val="es-GT" w:eastAsia="es-GT"/>
              </w:rPr>
              <w:t>Pequeñas</w:t>
            </w:r>
            <w:r w:rsidRPr="00690536">
              <w:rPr>
                <w:rFonts w:ascii="Calibri" w:hAnsi="Calibri" w:cs="Calibri"/>
                <w:color w:val="000000"/>
                <w:sz w:val="22"/>
                <w:szCs w:val="22"/>
                <w:lang w:val="es-GT" w:eastAsia="es-GT"/>
              </w:rPr>
              <w:t xml:space="preserve"> y medianas empresas</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SAN</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Seguridad Alimentaria y Nutricional</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SCAEI</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Sistema de Contabilidad Ambiental y Económica Integrada</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SEGEPLAN</w:t>
            </w:r>
          </w:p>
        </w:tc>
        <w:tc>
          <w:tcPr>
            <w:tcW w:w="7830" w:type="dxa"/>
          </w:tcPr>
          <w:p w:rsidR="00E55C79" w:rsidRPr="00690536" w:rsidRDefault="005C6B90" w:rsidP="00E04367">
            <w:pPr>
              <w:spacing w:before="20" w:after="20"/>
              <w:rPr>
                <w:rFonts w:ascii="Calibri" w:hAnsi="Calibri" w:cs="Calibri"/>
                <w:color w:val="000000"/>
                <w:lang w:val="es-GT" w:eastAsia="es-GT"/>
              </w:rPr>
            </w:pPr>
            <w:r>
              <w:rPr>
                <w:rFonts w:ascii="Calibri" w:hAnsi="Calibri" w:cs="Calibri"/>
                <w:color w:val="000000"/>
                <w:sz w:val="22"/>
                <w:szCs w:val="22"/>
                <w:lang w:val="es-GT" w:eastAsia="es-GT"/>
              </w:rPr>
              <w:t>Secretarí</w:t>
            </w:r>
            <w:r w:rsidR="00E55C79" w:rsidRPr="00690536">
              <w:rPr>
                <w:rFonts w:ascii="Calibri" w:hAnsi="Calibri" w:cs="Calibri"/>
                <w:color w:val="000000"/>
                <w:sz w:val="22"/>
                <w:szCs w:val="22"/>
                <w:lang w:val="es-GT" w:eastAsia="es-GT"/>
              </w:rPr>
              <w:t>a de Planificación y Programación de la Presidencia</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SICA</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Sistema de </w:t>
            </w:r>
            <w:r w:rsidRPr="00445FE8">
              <w:rPr>
                <w:rFonts w:ascii="Calibri" w:hAnsi="Calibri" w:cs="Calibri"/>
                <w:color w:val="000000"/>
                <w:sz w:val="22"/>
                <w:szCs w:val="22"/>
                <w:lang w:val="es-GT" w:eastAsia="es-GT"/>
              </w:rPr>
              <w:t>Integración</w:t>
            </w:r>
            <w:r w:rsidRPr="00690536">
              <w:rPr>
                <w:rFonts w:ascii="Calibri" w:hAnsi="Calibri" w:cs="Calibri"/>
                <w:color w:val="000000"/>
                <w:sz w:val="22"/>
                <w:szCs w:val="22"/>
                <w:lang w:val="es-GT" w:eastAsia="es-GT"/>
              </w:rPr>
              <w:t xml:space="preserve"> Centroamericana</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SIGAP</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 xml:space="preserve">Sistema Guatemalteco de </w:t>
            </w:r>
            <w:r w:rsidRPr="00445FE8">
              <w:rPr>
                <w:rFonts w:ascii="Calibri" w:hAnsi="Calibri" w:cs="Calibri"/>
                <w:color w:val="000000"/>
                <w:sz w:val="22"/>
                <w:szCs w:val="22"/>
                <w:lang w:val="es-GT" w:eastAsia="es-GT"/>
              </w:rPr>
              <w:t>Áreas</w:t>
            </w:r>
            <w:r w:rsidRPr="00690536">
              <w:rPr>
                <w:rFonts w:ascii="Calibri" w:hAnsi="Calibri" w:cs="Calibri"/>
                <w:color w:val="000000"/>
                <w:sz w:val="22"/>
                <w:szCs w:val="22"/>
                <w:lang w:val="es-GT" w:eastAsia="es-GT"/>
              </w:rPr>
              <w:t xml:space="preserve"> Protegidas</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SIGSA-MSPAS</w:t>
            </w:r>
          </w:p>
        </w:tc>
        <w:tc>
          <w:tcPr>
            <w:tcW w:w="7830"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Sistema de Información Gerencial en Salud del Ministerio de Salud Pública y Asistencia Social</w:t>
            </w:r>
          </w:p>
        </w:tc>
      </w:tr>
      <w:tr w:rsidR="00E55C79" w:rsidRPr="00690536"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UE</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Unión Europea</w:t>
            </w:r>
          </w:p>
        </w:tc>
      </w:tr>
      <w:tr w:rsidR="00E55C79" w:rsidRPr="000364C9" w:rsidTr="00E04367">
        <w:trPr>
          <w:trHeight w:val="20"/>
          <w:jc w:val="center"/>
        </w:trPr>
        <w:tc>
          <w:tcPr>
            <w:tcW w:w="1632" w:type="dxa"/>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USAID</w:t>
            </w:r>
          </w:p>
        </w:tc>
        <w:tc>
          <w:tcPr>
            <w:tcW w:w="7830" w:type="dxa"/>
            <w:noWrap/>
          </w:tcPr>
          <w:p w:rsidR="00E55C79" w:rsidRPr="00690536" w:rsidRDefault="00E55C79" w:rsidP="00E04367">
            <w:pPr>
              <w:spacing w:before="20" w:after="20"/>
              <w:rPr>
                <w:rFonts w:ascii="Calibri" w:hAnsi="Calibri" w:cs="Calibri"/>
                <w:color w:val="000000"/>
                <w:lang w:val="es-GT" w:eastAsia="es-GT"/>
              </w:rPr>
            </w:pPr>
            <w:r w:rsidRPr="00690536">
              <w:rPr>
                <w:rFonts w:ascii="Calibri" w:hAnsi="Calibri" w:cs="Calibri"/>
                <w:color w:val="000000"/>
                <w:sz w:val="22"/>
                <w:szCs w:val="22"/>
                <w:lang w:val="es-GT" w:eastAsia="es-GT"/>
              </w:rPr>
              <w:t>Agencia de los Estados Unidos para el Desarrollo Internacional</w:t>
            </w:r>
          </w:p>
        </w:tc>
      </w:tr>
    </w:tbl>
    <w:p w:rsidR="00E55C79" w:rsidRPr="00D32FF1" w:rsidRDefault="00E55C79" w:rsidP="00E55C79">
      <w:pPr>
        <w:jc w:val="both"/>
        <w:rPr>
          <w:rFonts w:ascii="Calibri" w:hAnsi="Calibri" w:cs="Calibri"/>
          <w:lang w:val="es-GT"/>
        </w:rPr>
      </w:pPr>
    </w:p>
    <w:p w:rsidR="00E55C79" w:rsidRPr="001A01AB" w:rsidRDefault="00E55C79" w:rsidP="00FC14C5">
      <w:pPr>
        <w:jc w:val="both"/>
        <w:rPr>
          <w:rFonts w:ascii="Calibri" w:hAnsi="Calibri" w:cs="Calibri"/>
          <w:lang w:val="es-GT"/>
        </w:rPr>
      </w:pPr>
    </w:p>
    <w:p w:rsidR="00360C27" w:rsidRPr="001A01AB" w:rsidRDefault="00360C27" w:rsidP="00FC14C5">
      <w:pPr>
        <w:jc w:val="both"/>
        <w:rPr>
          <w:rFonts w:ascii="Calibri" w:hAnsi="Calibri" w:cs="Calibri"/>
          <w:lang w:val="es-GT"/>
        </w:rPr>
      </w:pPr>
    </w:p>
    <w:p w:rsidR="00360C27" w:rsidRPr="001A01AB" w:rsidRDefault="00360C27" w:rsidP="00FC14C5">
      <w:pPr>
        <w:jc w:val="both"/>
        <w:rPr>
          <w:rFonts w:ascii="Calibri" w:hAnsi="Calibri" w:cs="Calibri"/>
          <w:lang w:val="es-GT"/>
        </w:rPr>
      </w:pPr>
    </w:p>
    <w:p w:rsidR="00360C27" w:rsidRPr="001A01AB" w:rsidRDefault="00360C27" w:rsidP="00FC14C5">
      <w:pPr>
        <w:jc w:val="both"/>
        <w:rPr>
          <w:rFonts w:ascii="Calibri" w:hAnsi="Calibri" w:cs="Calibri"/>
          <w:lang w:val="es-GT"/>
        </w:rPr>
      </w:pPr>
    </w:p>
    <w:p w:rsidR="00360C27" w:rsidRDefault="00360C27" w:rsidP="00FC14C5">
      <w:pPr>
        <w:jc w:val="both"/>
        <w:rPr>
          <w:rFonts w:ascii="Calibri" w:hAnsi="Calibri" w:cs="Calibri"/>
          <w:lang w:val="es-GT"/>
        </w:rPr>
      </w:pPr>
    </w:p>
    <w:p w:rsidR="00DE23E1" w:rsidRPr="001A01AB" w:rsidRDefault="00DE23E1" w:rsidP="00FC14C5">
      <w:pPr>
        <w:jc w:val="both"/>
        <w:rPr>
          <w:rFonts w:ascii="Calibri" w:hAnsi="Calibri" w:cs="Calibri"/>
          <w:lang w:val="es-GT"/>
        </w:rPr>
      </w:pPr>
    </w:p>
    <w:p w:rsidR="00360C27" w:rsidRPr="001A01AB" w:rsidRDefault="00360C27" w:rsidP="00FC14C5">
      <w:pPr>
        <w:jc w:val="both"/>
        <w:rPr>
          <w:rFonts w:ascii="Calibri" w:hAnsi="Calibri" w:cs="Calibri"/>
          <w:lang w:val="es-GT"/>
        </w:rPr>
      </w:pPr>
    </w:p>
    <w:p w:rsidR="00360C27" w:rsidRPr="001A01AB" w:rsidRDefault="00360C27" w:rsidP="00FC14C5">
      <w:pPr>
        <w:jc w:val="both"/>
        <w:rPr>
          <w:rFonts w:ascii="Calibri" w:hAnsi="Calibri" w:cs="Calibri"/>
          <w:lang w:val="es-GT"/>
        </w:rPr>
      </w:pPr>
    </w:p>
    <w:p w:rsidR="00360C27" w:rsidRPr="001A01AB" w:rsidRDefault="00360C27" w:rsidP="00FC14C5">
      <w:pPr>
        <w:jc w:val="both"/>
        <w:rPr>
          <w:rFonts w:ascii="Calibri" w:hAnsi="Calibri" w:cs="Calibri"/>
          <w:lang w:val="es-GT"/>
        </w:rPr>
      </w:pPr>
    </w:p>
    <w:p w:rsidR="00360C27" w:rsidRPr="001A01AB" w:rsidRDefault="00360C27" w:rsidP="00FC14C5">
      <w:pPr>
        <w:jc w:val="both"/>
        <w:rPr>
          <w:rFonts w:ascii="Calibri" w:hAnsi="Calibri" w:cs="Calibri"/>
          <w:lang w:val="es-GT"/>
        </w:rPr>
      </w:pPr>
    </w:p>
    <w:p w:rsidR="00360C27" w:rsidRPr="005265B8" w:rsidRDefault="00360C27" w:rsidP="005265B8">
      <w:pPr>
        <w:pStyle w:val="Prrafodelista"/>
        <w:pBdr>
          <w:bottom w:val="single" w:sz="12" w:space="1" w:color="365F91"/>
        </w:pBdr>
        <w:autoSpaceDE w:val="0"/>
        <w:autoSpaceDN w:val="0"/>
        <w:adjustRightInd w:val="0"/>
        <w:spacing w:after="120" w:line="264" w:lineRule="auto"/>
        <w:ind w:left="0"/>
        <w:jc w:val="both"/>
        <w:outlineLvl w:val="0"/>
        <w:rPr>
          <w:rFonts w:cs="Calibri"/>
          <w:b/>
          <w:color w:val="365F91"/>
          <w:sz w:val="36"/>
          <w:lang w:eastAsia="es-GT"/>
        </w:rPr>
      </w:pPr>
      <w:bookmarkStart w:id="2" w:name="_Toc347841283"/>
      <w:r w:rsidRPr="005265B8">
        <w:rPr>
          <w:rFonts w:cs="Calibri"/>
          <w:b/>
          <w:color w:val="365F91"/>
          <w:sz w:val="36"/>
          <w:lang w:eastAsia="es-GT"/>
        </w:rPr>
        <w:lastRenderedPageBreak/>
        <w:t>Nota aclaratoria</w:t>
      </w:r>
      <w:bookmarkEnd w:id="2"/>
    </w:p>
    <w:p w:rsidR="00360C27" w:rsidRPr="001A01AB" w:rsidRDefault="00360C27" w:rsidP="00FC14C5">
      <w:pPr>
        <w:jc w:val="both"/>
        <w:rPr>
          <w:rFonts w:ascii="Calibri" w:hAnsi="Calibri" w:cs="Calibri"/>
          <w:lang w:val="es-GT"/>
        </w:rPr>
      </w:pPr>
    </w:p>
    <w:p w:rsidR="00700144" w:rsidRPr="001A01AB" w:rsidRDefault="00700144" w:rsidP="00700144">
      <w:pPr>
        <w:jc w:val="both"/>
        <w:rPr>
          <w:rFonts w:ascii="Calibri" w:hAnsi="Calibri" w:cs="Calibri"/>
          <w:lang w:val="es-GT"/>
        </w:rPr>
      </w:pPr>
      <w:r w:rsidRPr="001A01AB">
        <w:rPr>
          <w:rFonts w:ascii="Calibri" w:hAnsi="Calibri" w:cs="Calibri"/>
          <w:lang w:val="es-GT"/>
        </w:rPr>
        <w:t>Tal como se señala en la introducción</w:t>
      </w:r>
      <w:r w:rsidR="00924C3B">
        <w:rPr>
          <w:rFonts w:ascii="Calibri" w:hAnsi="Calibri" w:cs="Calibri"/>
          <w:lang w:val="es-GT"/>
        </w:rPr>
        <w:t xml:space="preserve"> de este documento</w:t>
      </w:r>
      <w:r w:rsidRPr="001A01AB">
        <w:rPr>
          <w:rFonts w:ascii="Calibri" w:hAnsi="Calibri" w:cs="Calibri"/>
          <w:lang w:val="es-GT"/>
        </w:rPr>
        <w:t>, la presente Evaluac</w:t>
      </w:r>
      <w:r w:rsidR="00E04367">
        <w:rPr>
          <w:rFonts w:ascii="Calibri" w:hAnsi="Calibri" w:cs="Calibri"/>
          <w:lang w:val="es-GT"/>
        </w:rPr>
        <w:t>ión Ambiental Estratégica (EAE)</w:t>
      </w:r>
      <w:r w:rsidRPr="001A01AB">
        <w:rPr>
          <w:rFonts w:ascii="Calibri" w:hAnsi="Calibri" w:cs="Calibri"/>
          <w:lang w:val="es-GT"/>
        </w:rPr>
        <w:t xml:space="preserve"> se ha formulado atendiendo a su espíritu central, es decir, el de garantizar de manera preventiva, la consideración de equilibrios, al menos, en las dimensiones ambiental, económica, social e institucional para apoyar de manera sostenida el desarrollo rural integral </w:t>
      </w:r>
      <w:r w:rsidR="00B07D69">
        <w:rPr>
          <w:rFonts w:ascii="Calibri" w:hAnsi="Calibri" w:cs="Calibri"/>
          <w:lang w:val="es-GT"/>
        </w:rPr>
        <w:t>d</w:t>
      </w:r>
      <w:r w:rsidRPr="001A01AB">
        <w:rPr>
          <w:rFonts w:ascii="Calibri" w:hAnsi="Calibri" w:cs="Calibri"/>
          <w:lang w:val="es-GT"/>
        </w:rPr>
        <w:t>e Guatemala.</w:t>
      </w:r>
    </w:p>
    <w:p w:rsidR="00700144" w:rsidRPr="001A01AB" w:rsidRDefault="00700144" w:rsidP="00700144">
      <w:pPr>
        <w:jc w:val="both"/>
        <w:rPr>
          <w:rFonts w:ascii="Calibri" w:hAnsi="Calibri" w:cs="Calibri"/>
          <w:lang w:val="es-GT"/>
        </w:rPr>
      </w:pPr>
    </w:p>
    <w:p w:rsidR="00700144" w:rsidRPr="001A01AB" w:rsidRDefault="00700144" w:rsidP="00700144">
      <w:pPr>
        <w:jc w:val="both"/>
        <w:rPr>
          <w:rFonts w:ascii="Calibri" w:hAnsi="Calibri" w:cs="Calibri"/>
          <w:lang w:val="es-GT" w:eastAsia="es-GT"/>
        </w:rPr>
      </w:pPr>
      <w:r w:rsidRPr="001A01AB">
        <w:rPr>
          <w:rFonts w:ascii="Calibri" w:hAnsi="Calibri" w:cs="Calibri"/>
          <w:lang w:val="es-GT"/>
        </w:rPr>
        <w:t xml:space="preserve">La evaluación se ha </w:t>
      </w:r>
      <w:r w:rsidR="00E04367">
        <w:rPr>
          <w:rFonts w:ascii="Calibri" w:hAnsi="Calibri" w:cs="Calibri"/>
          <w:lang w:val="es-GT"/>
        </w:rPr>
        <w:t>elaborado</w:t>
      </w:r>
      <w:r w:rsidRPr="001A01AB">
        <w:rPr>
          <w:rFonts w:ascii="Calibri" w:hAnsi="Calibri" w:cs="Calibri"/>
          <w:lang w:val="es-GT"/>
        </w:rPr>
        <w:t xml:space="preserve"> de manera paralela al proceso de formulación del </w:t>
      </w:r>
      <w:r w:rsidRPr="001A01AB">
        <w:rPr>
          <w:rFonts w:ascii="Calibri" w:hAnsi="Calibri" w:cs="Calibri"/>
          <w:lang w:val="es-GT" w:eastAsia="es-GT"/>
        </w:rPr>
        <w:t xml:space="preserve">Programa sobre Oportunidades Estratégicas Nacionales basado en resultados (COSOP-BR) del </w:t>
      </w:r>
      <w:r w:rsidRPr="001A01AB">
        <w:rPr>
          <w:rFonts w:ascii="Calibri" w:hAnsi="Calibri" w:cs="Calibri"/>
          <w:color w:val="000000"/>
          <w:lang w:val="es-GT" w:eastAsia="es-GT"/>
        </w:rPr>
        <w:t>Fondo Internacional de Desarrollo Agrícola</w:t>
      </w:r>
      <w:r w:rsidRPr="001A01AB">
        <w:rPr>
          <w:rFonts w:ascii="Calibri" w:hAnsi="Calibri" w:cs="Calibri"/>
          <w:lang w:val="es-GT" w:eastAsia="es-GT"/>
        </w:rPr>
        <w:t xml:space="preserve"> (FIDA). En ese sentido</w:t>
      </w:r>
      <w:r w:rsidR="00E04367">
        <w:rPr>
          <w:rFonts w:ascii="Calibri" w:hAnsi="Calibri" w:cs="Calibri"/>
          <w:lang w:val="es-GT" w:eastAsia="es-GT"/>
        </w:rPr>
        <w:t>,</w:t>
      </w:r>
      <w:r w:rsidRPr="001A01AB">
        <w:rPr>
          <w:rFonts w:ascii="Calibri" w:hAnsi="Calibri" w:cs="Calibri"/>
          <w:lang w:val="es-GT" w:eastAsia="es-GT"/>
        </w:rPr>
        <w:t xml:space="preserve"> la EAE no analiza estrictamente las líneas de intervención de</w:t>
      </w:r>
      <w:r w:rsidR="00E04367">
        <w:rPr>
          <w:rFonts w:ascii="Calibri" w:hAnsi="Calibri" w:cs="Calibri"/>
          <w:lang w:val="es-GT" w:eastAsia="es-GT"/>
        </w:rPr>
        <w:t>l</w:t>
      </w:r>
      <w:r w:rsidRPr="001A01AB">
        <w:rPr>
          <w:rFonts w:ascii="Calibri" w:hAnsi="Calibri" w:cs="Calibri"/>
          <w:lang w:val="es-GT" w:eastAsia="es-GT"/>
        </w:rPr>
        <w:t xml:space="preserve"> FIDA para Guatemala, </w:t>
      </w:r>
      <w:r w:rsidR="00E04367">
        <w:rPr>
          <w:rFonts w:ascii="Calibri" w:hAnsi="Calibri" w:cs="Calibri"/>
          <w:lang w:val="es-GT" w:eastAsia="es-GT"/>
        </w:rPr>
        <w:t>sino que</w:t>
      </w:r>
      <w:r w:rsidRPr="001A01AB">
        <w:rPr>
          <w:rFonts w:ascii="Calibri" w:hAnsi="Calibri" w:cs="Calibri"/>
          <w:lang w:val="es-GT" w:eastAsia="es-GT"/>
        </w:rPr>
        <w:t xml:space="preserve"> revisa, de manera exhaustiva</w:t>
      </w:r>
      <w:r w:rsidR="00544A9F">
        <w:rPr>
          <w:rFonts w:ascii="Calibri" w:hAnsi="Calibri" w:cs="Calibri"/>
          <w:lang w:val="es-GT" w:eastAsia="es-GT"/>
        </w:rPr>
        <w:t>,</w:t>
      </w:r>
      <w:r w:rsidRPr="001A01AB">
        <w:rPr>
          <w:rFonts w:ascii="Calibri" w:hAnsi="Calibri" w:cs="Calibri"/>
          <w:lang w:val="es-GT" w:eastAsia="es-GT"/>
        </w:rPr>
        <w:t xml:space="preserve"> las diferentes opciones para el desarrollo rural que figuran en la </w:t>
      </w:r>
      <w:r w:rsidR="00544A9F" w:rsidRPr="001A01AB">
        <w:rPr>
          <w:rFonts w:ascii="Calibri" w:hAnsi="Calibri" w:cs="Calibri"/>
          <w:lang w:val="es-GT" w:eastAsia="es-GT"/>
        </w:rPr>
        <w:t xml:space="preserve">política pública </w:t>
      </w:r>
      <w:r w:rsidRPr="001A01AB">
        <w:rPr>
          <w:rFonts w:ascii="Calibri" w:hAnsi="Calibri" w:cs="Calibri"/>
          <w:lang w:val="es-GT" w:eastAsia="es-GT"/>
        </w:rPr>
        <w:t>o en propuestas de otros sectores.</w:t>
      </w:r>
      <w:r w:rsidR="00141A70">
        <w:rPr>
          <w:rFonts w:ascii="Calibri" w:hAnsi="Calibri" w:cs="Calibri"/>
          <w:lang w:val="es-GT" w:eastAsia="es-GT"/>
        </w:rPr>
        <w:t xml:space="preserve"> </w:t>
      </w:r>
      <w:r w:rsidRPr="001A01AB">
        <w:rPr>
          <w:rFonts w:ascii="Calibri" w:hAnsi="Calibri" w:cs="Calibri"/>
          <w:lang w:val="es-GT" w:eastAsia="es-GT"/>
        </w:rPr>
        <w:t>Todos estos planteamientos han sido validados bajo consultas específicas con actores clave.</w:t>
      </w:r>
    </w:p>
    <w:p w:rsidR="00700144" w:rsidRPr="001A01AB" w:rsidRDefault="00700144" w:rsidP="00700144">
      <w:pPr>
        <w:jc w:val="both"/>
        <w:rPr>
          <w:rFonts w:ascii="Calibri" w:hAnsi="Calibri" w:cs="Calibri"/>
          <w:lang w:val="es-GT" w:eastAsia="es-GT"/>
        </w:rPr>
      </w:pPr>
    </w:p>
    <w:p w:rsidR="00700144" w:rsidRPr="001A01AB" w:rsidRDefault="00700144" w:rsidP="00700144">
      <w:pPr>
        <w:jc w:val="both"/>
        <w:rPr>
          <w:rFonts w:ascii="Calibri" w:hAnsi="Calibri" w:cs="Calibri"/>
          <w:lang w:val="es-GT" w:eastAsia="es-GT"/>
        </w:rPr>
      </w:pPr>
      <w:r w:rsidRPr="001A01AB">
        <w:rPr>
          <w:rFonts w:ascii="Calibri" w:hAnsi="Calibri" w:cs="Calibri"/>
          <w:lang w:val="es-GT" w:eastAsia="es-GT"/>
        </w:rPr>
        <w:t xml:space="preserve">Finalmente, es importante indicar que la EAE no es un procedimiento para evaluar intervenciones previas. Tampoco </w:t>
      </w:r>
      <w:r w:rsidR="000156F9">
        <w:rPr>
          <w:rFonts w:ascii="Calibri" w:hAnsi="Calibri" w:cs="Calibri"/>
          <w:lang w:val="es-GT" w:eastAsia="es-GT"/>
        </w:rPr>
        <w:t>está</w:t>
      </w:r>
      <w:r w:rsidRPr="001A01AB">
        <w:rPr>
          <w:rFonts w:ascii="Calibri" w:hAnsi="Calibri" w:cs="Calibri"/>
          <w:lang w:val="es-GT" w:eastAsia="es-GT"/>
        </w:rPr>
        <w:t xml:space="preserve"> destinado a evaluar la viabilidad de intervenciones específicas </w:t>
      </w:r>
      <w:r w:rsidR="00544A9F">
        <w:rPr>
          <w:rFonts w:ascii="Calibri" w:hAnsi="Calibri" w:cs="Calibri"/>
          <w:lang w:val="es-GT" w:eastAsia="es-GT"/>
        </w:rPr>
        <w:t>o</w:t>
      </w:r>
      <w:r w:rsidRPr="001A01AB">
        <w:rPr>
          <w:rFonts w:ascii="Calibri" w:hAnsi="Calibri" w:cs="Calibri"/>
          <w:lang w:val="es-GT" w:eastAsia="es-GT"/>
        </w:rPr>
        <w:t xml:space="preserve"> a hacer un análisis comparativo entre éstas.</w:t>
      </w:r>
      <w:r w:rsidR="00141A70">
        <w:rPr>
          <w:rFonts w:ascii="Calibri" w:hAnsi="Calibri" w:cs="Calibri"/>
          <w:lang w:val="es-GT" w:eastAsia="es-GT"/>
        </w:rPr>
        <w:t xml:space="preserve"> </w:t>
      </w:r>
      <w:r w:rsidRPr="001A01AB">
        <w:rPr>
          <w:rFonts w:ascii="Calibri" w:hAnsi="Calibri" w:cs="Calibri"/>
          <w:lang w:val="es-GT" w:eastAsia="es-GT"/>
        </w:rPr>
        <w:t>Estos procesos, respectivamente, son propios de las evaluaciones de resultados o impactos de las intervenciones y de los procesos de planificación estratégica y operativa.</w:t>
      </w:r>
    </w:p>
    <w:p w:rsidR="00700144" w:rsidRPr="001A01AB" w:rsidRDefault="00700144" w:rsidP="00700144">
      <w:pPr>
        <w:jc w:val="both"/>
        <w:rPr>
          <w:rFonts w:ascii="Calibri" w:hAnsi="Calibri" w:cs="Calibri"/>
          <w:lang w:val="es-GT" w:eastAsia="es-GT"/>
        </w:rPr>
      </w:pPr>
    </w:p>
    <w:p w:rsidR="00700144" w:rsidRPr="001A01AB" w:rsidRDefault="00700144" w:rsidP="00700144">
      <w:pPr>
        <w:jc w:val="both"/>
        <w:rPr>
          <w:rFonts w:ascii="Calibri" w:hAnsi="Calibri" w:cs="Calibri"/>
          <w:lang w:val="es-GT" w:eastAsia="es-GT"/>
        </w:rPr>
      </w:pPr>
      <w:r w:rsidRPr="001A01AB">
        <w:rPr>
          <w:rFonts w:ascii="Calibri" w:hAnsi="Calibri" w:cs="Calibri"/>
          <w:lang w:val="es-GT" w:eastAsia="es-GT"/>
        </w:rPr>
        <w:t>Lo que provee esta evaluación, entonces, es un marco para la plani</w:t>
      </w:r>
      <w:r w:rsidR="00B07D69">
        <w:rPr>
          <w:rFonts w:ascii="Calibri" w:hAnsi="Calibri" w:cs="Calibri"/>
          <w:lang w:val="es-GT" w:eastAsia="es-GT"/>
        </w:rPr>
        <w:t>ficación y la acción específica</w:t>
      </w:r>
      <w:r w:rsidRPr="001A01AB">
        <w:rPr>
          <w:rFonts w:ascii="Calibri" w:hAnsi="Calibri" w:cs="Calibri"/>
          <w:lang w:val="es-GT" w:eastAsia="es-GT"/>
        </w:rPr>
        <w:t>, con las advertencias necesarias acerca de aquellos factores que</w:t>
      </w:r>
      <w:r w:rsidR="00544A9F">
        <w:rPr>
          <w:rFonts w:ascii="Calibri" w:hAnsi="Calibri" w:cs="Calibri"/>
          <w:lang w:val="es-GT" w:eastAsia="es-GT"/>
        </w:rPr>
        <w:t>,</w:t>
      </w:r>
      <w:r w:rsidRPr="001A01AB">
        <w:rPr>
          <w:rFonts w:ascii="Calibri" w:hAnsi="Calibri" w:cs="Calibri"/>
          <w:lang w:val="es-GT" w:eastAsia="es-GT"/>
        </w:rPr>
        <w:t xml:space="preserve"> siendo críticos, pueden afectar positiva o negativamente, según se consideren o no, en el momento de la acción territorial.</w:t>
      </w:r>
    </w:p>
    <w:p w:rsidR="00700144" w:rsidRDefault="00700144"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Pr="005265B8" w:rsidRDefault="005265B8" w:rsidP="005265B8">
      <w:pPr>
        <w:pStyle w:val="Prrafodelista"/>
        <w:pBdr>
          <w:bottom w:val="single" w:sz="12" w:space="1" w:color="365F91"/>
        </w:pBdr>
        <w:autoSpaceDE w:val="0"/>
        <w:autoSpaceDN w:val="0"/>
        <w:adjustRightInd w:val="0"/>
        <w:spacing w:after="120" w:line="264" w:lineRule="auto"/>
        <w:ind w:left="0"/>
        <w:jc w:val="both"/>
        <w:outlineLvl w:val="0"/>
        <w:rPr>
          <w:rFonts w:cs="Calibri"/>
          <w:b/>
          <w:color w:val="365F91"/>
          <w:sz w:val="36"/>
          <w:lang w:eastAsia="es-GT"/>
        </w:rPr>
      </w:pPr>
      <w:bookmarkStart w:id="3" w:name="_Toc347841284"/>
      <w:r w:rsidRPr="005265B8">
        <w:rPr>
          <w:rFonts w:cs="Calibri"/>
          <w:b/>
          <w:color w:val="365F91"/>
          <w:sz w:val="36"/>
          <w:lang w:eastAsia="es-GT"/>
        </w:rPr>
        <w:lastRenderedPageBreak/>
        <w:t>Resumen ejecutivo</w:t>
      </w:r>
      <w:bookmarkEnd w:id="3"/>
    </w:p>
    <w:p w:rsidR="005265B8" w:rsidRDefault="005265B8" w:rsidP="005265B8">
      <w:pPr>
        <w:jc w:val="both"/>
        <w:rPr>
          <w:rFonts w:ascii="Calibri" w:hAnsi="Calibri" w:cs="Calibri"/>
          <w:lang w:val="es-GT"/>
        </w:rPr>
      </w:pPr>
    </w:p>
    <w:p w:rsidR="005265B8" w:rsidRPr="00ED0B3F" w:rsidRDefault="005265B8" w:rsidP="005265B8">
      <w:pPr>
        <w:jc w:val="both"/>
        <w:rPr>
          <w:rFonts w:ascii="Calibri" w:hAnsi="Calibri" w:cs="Calibri"/>
          <w:lang w:val="es-GT" w:eastAsia="es-GT"/>
        </w:rPr>
      </w:pPr>
      <w:r w:rsidRPr="00ED0B3F">
        <w:rPr>
          <w:rFonts w:ascii="Calibri" w:hAnsi="Calibri" w:cs="Calibri"/>
          <w:lang w:val="es-GT"/>
        </w:rPr>
        <w:t xml:space="preserve">La presente Evaluación Ambiental Estratégica (EAE) se ha formulado con el propósito de garantizar, de forma preventiva, el equilibrio entre las dimensiones ambiental, económica, social e institucional, a fin de apoyar de manera sostenida, el desarrollo rural integral de Guatemala. Esta evaluación se ha </w:t>
      </w:r>
      <w:r>
        <w:rPr>
          <w:rFonts w:ascii="Calibri" w:hAnsi="Calibri" w:cs="Calibri"/>
          <w:lang w:val="es-GT"/>
        </w:rPr>
        <w:t>elaborado</w:t>
      </w:r>
      <w:r w:rsidRPr="00ED0B3F">
        <w:rPr>
          <w:rFonts w:ascii="Calibri" w:hAnsi="Calibri" w:cs="Calibri"/>
          <w:lang w:val="es-GT"/>
        </w:rPr>
        <w:t xml:space="preserve"> paralelamente a la formulación del </w:t>
      </w:r>
      <w:r w:rsidRPr="00ED0B3F">
        <w:rPr>
          <w:rFonts w:ascii="Calibri" w:hAnsi="Calibri" w:cs="Calibri"/>
          <w:lang w:val="es-GT" w:eastAsia="es-GT"/>
        </w:rPr>
        <w:t xml:space="preserve">Programa sobre Oportunidades Estratégicas Nacionales basado en resultados (COSOP-BR) del Fondo Internacional de Desarrollo Agrícola (FIDA) para Guatemala. En ese sentido, la EAE no analiza estrictamente las líneas de intervención de FIDA para Guatemala, </w:t>
      </w:r>
      <w:r>
        <w:rPr>
          <w:rFonts w:ascii="Calibri" w:hAnsi="Calibri" w:cs="Calibri"/>
          <w:lang w:val="es-GT" w:eastAsia="es-GT"/>
        </w:rPr>
        <w:t>sino que</w:t>
      </w:r>
      <w:r w:rsidRPr="00ED0B3F">
        <w:rPr>
          <w:rFonts w:ascii="Calibri" w:hAnsi="Calibri" w:cs="Calibri"/>
          <w:lang w:val="es-GT" w:eastAsia="es-GT"/>
        </w:rPr>
        <w:t xml:space="preserve"> revisa, de manera exhaustiva, las diferentes opciones para el desarrollo rural integral que figuran en la </w:t>
      </w:r>
      <w:r w:rsidR="00604684" w:rsidRPr="00ED0B3F">
        <w:rPr>
          <w:rFonts w:ascii="Calibri" w:hAnsi="Calibri" w:cs="Calibri"/>
          <w:lang w:val="es-GT" w:eastAsia="es-GT"/>
        </w:rPr>
        <w:t xml:space="preserve">política pública </w:t>
      </w:r>
      <w:r w:rsidRPr="00ED0B3F">
        <w:rPr>
          <w:rFonts w:ascii="Calibri" w:hAnsi="Calibri" w:cs="Calibri"/>
          <w:lang w:val="es-GT" w:eastAsia="es-GT"/>
        </w:rPr>
        <w:t>o en las propuestas de otros sectores.</w:t>
      </w:r>
      <w:r>
        <w:rPr>
          <w:rFonts w:ascii="Calibri" w:hAnsi="Calibri" w:cs="Calibri"/>
          <w:lang w:val="es-GT" w:eastAsia="es-GT"/>
        </w:rPr>
        <w:t xml:space="preserve"> E</w:t>
      </w:r>
      <w:r w:rsidRPr="00ED0B3F">
        <w:rPr>
          <w:rFonts w:ascii="Calibri" w:hAnsi="Calibri" w:cs="Calibri"/>
          <w:lang w:val="es-GT" w:eastAsia="es-GT"/>
        </w:rPr>
        <w:t>stos planteamientos han sido validados bajo consultas con actores clave.</w:t>
      </w:r>
    </w:p>
    <w:p w:rsidR="005265B8" w:rsidRPr="00ED0B3F" w:rsidRDefault="005265B8" w:rsidP="005265B8">
      <w:pPr>
        <w:jc w:val="both"/>
        <w:rPr>
          <w:rFonts w:ascii="Calibri" w:hAnsi="Calibri" w:cs="Calibri"/>
          <w:lang w:val="es-GT" w:eastAsia="es-GT"/>
        </w:rPr>
      </w:pPr>
    </w:p>
    <w:p w:rsidR="005265B8" w:rsidRPr="00ED0B3F" w:rsidRDefault="005265B8" w:rsidP="005265B8">
      <w:pPr>
        <w:jc w:val="both"/>
        <w:rPr>
          <w:rFonts w:ascii="Calibri" w:hAnsi="Calibri" w:cs="Calibri"/>
          <w:lang w:val="es-GT" w:eastAsia="es-GT"/>
        </w:rPr>
      </w:pPr>
      <w:r w:rsidRPr="00ED0B3F">
        <w:rPr>
          <w:rFonts w:ascii="Calibri" w:hAnsi="Calibri" w:cs="Calibri"/>
          <w:lang w:val="es-GT" w:eastAsia="es-GT"/>
        </w:rPr>
        <w:t xml:space="preserve">La EAE no es un procedimiento </w:t>
      </w:r>
      <w:r w:rsidR="00604684">
        <w:rPr>
          <w:rFonts w:ascii="Calibri" w:hAnsi="Calibri" w:cs="Calibri"/>
          <w:lang w:val="es-GT" w:eastAsia="es-GT"/>
        </w:rPr>
        <w:t>de evaluación de</w:t>
      </w:r>
      <w:r w:rsidRPr="00ED0B3F">
        <w:rPr>
          <w:rFonts w:ascii="Calibri" w:hAnsi="Calibri" w:cs="Calibri"/>
          <w:lang w:val="es-GT" w:eastAsia="es-GT"/>
        </w:rPr>
        <w:t xml:space="preserve"> intervenciones previas, ni la viabilidad de intervenciones específicas</w:t>
      </w:r>
      <w:r>
        <w:rPr>
          <w:rFonts w:ascii="Calibri" w:hAnsi="Calibri" w:cs="Calibri"/>
          <w:lang w:val="es-GT" w:eastAsia="es-GT"/>
        </w:rPr>
        <w:t xml:space="preserve">, o para </w:t>
      </w:r>
      <w:r w:rsidRPr="00ED0B3F">
        <w:rPr>
          <w:rFonts w:ascii="Calibri" w:hAnsi="Calibri" w:cs="Calibri"/>
          <w:lang w:val="es-GT" w:eastAsia="es-GT"/>
        </w:rPr>
        <w:t>hacer un análisis comparativo entre éstas</w:t>
      </w:r>
      <w:r>
        <w:rPr>
          <w:rFonts w:ascii="Calibri" w:hAnsi="Calibri" w:cs="Calibri"/>
          <w:lang w:val="es-GT" w:eastAsia="es-GT"/>
        </w:rPr>
        <w:t>; sino que</w:t>
      </w:r>
      <w:r w:rsidRPr="00ED0B3F">
        <w:rPr>
          <w:rFonts w:ascii="Calibri" w:hAnsi="Calibri" w:cs="Calibri"/>
          <w:lang w:val="es-GT" w:eastAsia="es-GT"/>
        </w:rPr>
        <w:t xml:space="preserve"> provee un marco para la planificación y la acción específica, con las advertencias necesarias de aquellos factores que</w:t>
      </w:r>
      <w:r>
        <w:rPr>
          <w:rFonts w:ascii="Calibri" w:hAnsi="Calibri" w:cs="Calibri"/>
          <w:lang w:val="es-GT" w:eastAsia="es-GT"/>
        </w:rPr>
        <w:t>,</w:t>
      </w:r>
      <w:r w:rsidRPr="00ED0B3F">
        <w:rPr>
          <w:rFonts w:ascii="Calibri" w:hAnsi="Calibri" w:cs="Calibri"/>
          <w:lang w:val="es-GT" w:eastAsia="es-GT"/>
        </w:rPr>
        <w:t xml:space="preserve"> siendo críticos, pueden afectar positiva o negativamente, según se consideren o no,</w:t>
      </w:r>
      <w:r>
        <w:rPr>
          <w:rFonts w:ascii="Calibri" w:hAnsi="Calibri" w:cs="Calibri"/>
          <w:lang w:val="es-GT" w:eastAsia="es-GT"/>
        </w:rPr>
        <w:t xml:space="preserve"> a </w:t>
      </w:r>
      <w:r w:rsidRPr="00ED0B3F">
        <w:rPr>
          <w:rFonts w:ascii="Calibri" w:hAnsi="Calibri" w:cs="Calibri"/>
          <w:lang w:val="es-GT" w:eastAsia="es-GT"/>
        </w:rPr>
        <w:t>la acción en el territorio.</w:t>
      </w:r>
      <w:r>
        <w:rPr>
          <w:rFonts w:ascii="Calibri" w:hAnsi="Calibri" w:cs="Calibri"/>
          <w:lang w:val="es-GT" w:eastAsia="es-GT"/>
        </w:rPr>
        <w:t xml:space="preserve"> </w:t>
      </w:r>
      <w:r w:rsidRPr="00ED0B3F">
        <w:rPr>
          <w:rFonts w:ascii="Calibri" w:hAnsi="Calibri" w:cs="Calibri"/>
          <w:lang w:val="es-GT" w:eastAsia="es-GT"/>
        </w:rPr>
        <w:t>El proceso metodológico para el desarrollo de la EAE se estructuró en tres etapas: i) caract</w:t>
      </w:r>
      <w:r>
        <w:rPr>
          <w:rFonts w:ascii="Calibri" w:hAnsi="Calibri" w:cs="Calibri"/>
          <w:lang w:val="es-GT" w:eastAsia="es-GT"/>
        </w:rPr>
        <w:t>erización del contexto nacional,</w:t>
      </w:r>
      <w:r w:rsidRPr="00ED0B3F">
        <w:rPr>
          <w:rFonts w:ascii="Calibri" w:hAnsi="Calibri" w:cs="Calibri"/>
          <w:lang w:val="es-GT" w:eastAsia="es-GT"/>
        </w:rPr>
        <w:t xml:space="preserve"> ii) análisis estratégico, y iii) formulación de directrices de sostenibilidad ambiental.</w:t>
      </w:r>
    </w:p>
    <w:p w:rsidR="005265B8" w:rsidRPr="00ED0B3F" w:rsidRDefault="005265B8" w:rsidP="005265B8">
      <w:pPr>
        <w:jc w:val="both"/>
        <w:rPr>
          <w:rFonts w:ascii="Calibri" w:hAnsi="Calibri" w:cs="Calibri"/>
          <w:lang w:val="es-GT" w:eastAsia="es-GT"/>
        </w:rPr>
      </w:pPr>
    </w:p>
    <w:p w:rsidR="005265B8" w:rsidRPr="00FF33C1" w:rsidRDefault="005265B8" w:rsidP="005265B8">
      <w:pPr>
        <w:jc w:val="both"/>
        <w:rPr>
          <w:rFonts w:ascii="Calibri" w:hAnsi="Calibri" w:cs="Calibri"/>
          <w:b/>
          <w:i/>
          <w:color w:val="365F91"/>
          <w:lang w:val="es-GT" w:eastAsia="es-GT"/>
        </w:rPr>
      </w:pPr>
      <w:r w:rsidRPr="00FF33C1">
        <w:rPr>
          <w:rFonts w:ascii="Calibri" w:hAnsi="Calibri" w:cs="Calibri"/>
          <w:b/>
          <w:i/>
          <w:color w:val="365F91"/>
          <w:lang w:val="es-GT" w:eastAsia="es-GT"/>
        </w:rPr>
        <w:t>Caracterización del contexto nacional</w:t>
      </w:r>
    </w:p>
    <w:p w:rsidR="005265B8" w:rsidRDefault="005265B8" w:rsidP="005265B8">
      <w:pPr>
        <w:jc w:val="both"/>
        <w:rPr>
          <w:rFonts w:ascii="Calibri" w:hAnsi="Calibri" w:cs="Calibri"/>
          <w:lang w:val="es-GT" w:eastAsia="es-GT"/>
        </w:rPr>
      </w:pPr>
    </w:p>
    <w:p w:rsidR="005265B8" w:rsidRDefault="005265B8" w:rsidP="005265B8">
      <w:pPr>
        <w:jc w:val="both"/>
        <w:rPr>
          <w:rFonts w:ascii="Calibri" w:hAnsi="Calibri" w:cs="Calibri"/>
          <w:lang w:val="es-GT"/>
        </w:rPr>
      </w:pPr>
      <w:r>
        <w:rPr>
          <w:rFonts w:ascii="Calibri" w:hAnsi="Calibri" w:cs="Calibri"/>
          <w:lang w:val="es-GT" w:eastAsia="es-GT"/>
        </w:rPr>
        <w:t xml:space="preserve">Para desarrollar la evaluación se utilizó el marco analítico denominado “sistema socioecológico”, el cual </w:t>
      </w:r>
      <w:r>
        <w:rPr>
          <w:rFonts w:ascii="Calibri" w:hAnsi="Calibri" w:cs="Calibri"/>
          <w:lang w:val="es-GT"/>
        </w:rPr>
        <w:t>propone un enfoque sistémico útil para analizar los estados de situación e identificar necesidades de intervención en busca de equilibrios. Utiliza conjuntos de “indicadores señal” para caracterizar los subsistemas natural, social, económico e institucional, así como los flujos entre los mismos, las intensidades y eficiencias del sistema.</w:t>
      </w:r>
    </w:p>
    <w:p w:rsidR="005265B8" w:rsidRDefault="005265B8" w:rsidP="005265B8">
      <w:pPr>
        <w:jc w:val="both"/>
        <w:rPr>
          <w:rFonts w:ascii="Calibri" w:hAnsi="Calibri" w:cs="Calibri"/>
          <w:lang w:val="es-GT"/>
        </w:rPr>
      </w:pPr>
    </w:p>
    <w:p w:rsidR="005265B8" w:rsidRDefault="005265B8" w:rsidP="005265B8">
      <w:pPr>
        <w:jc w:val="both"/>
        <w:rPr>
          <w:rFonts w:ascii="Calibri" w:hAnsi="Calibri" w:cs="Calibri"/>
          <w:lang w:val="es-GT"/>
        </w:rPr>
      </w:pPr>
      <w:r>
        <w:rPr>
          <w:rFonts w:ascii="Calibri" w:hAnsi="Calibri" w:cs="Calibri"/>
          <w:lang w:val="es-GT"/>
        </w:rPr>
        <w:t>El referido análisis permitió identificar alg</w:t>
      </w:r>
      <w:r w:rsidRPr="00B651B2">
        <w:rPr>
          <w:rFonts w:ascii="Calibri" w:hAnsi="Calibri" w:cs="Calibri"/>
          <w:lang w:val="es-GT"/>
        </w:rPr>
        <w:t xml:space="preserve">unos desbalances </w:t>
      </w:r>
      <w:r>
        <w:rPr>
          <w:rFonts w:ascii="Calibri" w:hAnsi="Calibri" w:cs="Calibri"/>
          <w:lang w:val="es-GT"/>
        </w:rPr>
        <w:t xml:space="preserve">y condiciones </w:t>
      </w:r>
      <w:r w:rsidRPr="00B651B2">
        <w:rPr>
          <w:rFonts w:ascii="Calibri" w:hAnsi="Calibri" w:cs="Calibri"/>
          <w:lang w:val="es-GT"/>
        </w:rPr>
        <w:t>en materia de desarrollo, siendo los principales:</w:t>
      </w:r>
    </w:p>
    <w:p w:rsidR="005265B8" w:rsidRPr="00B651B2" w:rsidRDefault="005265B8" w:rsidP="005265B8">
      <w:pPr>
        <w:jc w:val="both"/>
        <w:rPr>
          <w:rFonts w:ascii="Calibri" w:hAnsi="Calibri" w:cs="Calibri"/>
          <w:lang w:val="es-GT"/>
        </w:rPr>
      </w:pPr>
    </w:p>
    <w:p w:rsidR="005265B8" w:rsidRPr="001F44D1" w:rsidRDefault="0025465A" w:rsidP="005265B8">
      <w:pPr>
        <w:numPr>
          <w:ilvl w:val="0"/>
          <w:numId w:val="23"/>
        </w:numPr>
        <w:tabs>
          <w:tab w:val="clear" w:pos="720"/>
          <w:tab w:val="num" w:pos="360"/>
        </w:tabs>
        <w:autoSpaceDE w:val="0"/>
        <w:autoSpaceDN w:val="0"/>
        <w:adjustRightInd w:val="0"/>
        <w:spacing w:after="60"/>
        <w:ind w:left="360"/>
        <w:jc w:val="both"/>
        <w:rPr>
          <w:rFonts w:ascii="Calibri" w:hAnsi="Calibri" w:cs="Calibri"/>
          <w:lang w:val="es-GT"/>
        </w:rPr>
      </w:pPr>
      <w:r>
        <w:rPr>
          <w:rFonts w:ascii="Calibri" w:hAnsi="Calibri" w:cs="Calibri"/>
          <w:lang w:val="es-GT"/>
        </w:rPr>
        <w:t>E</w:t>
      </w:r>
      <w:r w:rsidR="005265B8" w:rsidRPr="00241B9C">
        <w:rPr>
          <w:rFonts w:ascii="Calibri" w:hAnsi="Calibri" w:cs="Calibri"/>
          <w:lang w:val="es-GT"/>
        </w:rPr>
        <w:t>levados flujos de materiales y energía que van del subsistema natural al subsiste</w:t>
      </w:r>
      <w:r w:rsidR="005265B8" w:rsidRPr="001F44D1">
        <w:rPr>
          <w:rFonts w:ascii="Calibri" w:hAnsi="Calibri" w:cs="Calibri"/>
          <w:lang w:val="es-GT"/>
        </w:rPr>
        <w:t>ma económico, excediendo la capacidad de recuperación de la naturaleza: deforestación anual bruta de 132,000 ha; extracción de 31.6 millones de m</w:t>
      </w:r>
      <w:r w:rsidR="005265B8" w:rsidRPr="001F44D1">
        <w:rPr>
          <w:rFonts w:ascii="Calibri" w:hAnsi="Calibri" w:cs="Calibri"/>
          <w:vertAlign w:val="superscript"/>
          <w:lang w:val="es-GT"/>
        </w:rPr>
        <w:t>3</w:t>
      </w:r>
      <w:r w:rsidR="005265B8" w:rsidRPr="001F44D1">
        <w:rPr>
          <w:rFonts w:ascii="Calibri" w:hAnsi="Calibri" w:cs="Calibri"/>
          <w:lang w:val="es-GT"/>
        </w:rPr>
        <w:t xml:space="preserve"> de madera, de los cuales un 95% fluye de manera ilegal; uso dominantemente extractivo de 20,000 millones de m</w:t>
      </w:r>
      <w:r w:rsidR="005265B8" w:rsidRPr="001F44D1">
        <w:rPr>
          <w:rFonts w:ascii="Calibri" w:hAnsi="Calibri" w:cs="Calibri"/>
          <w:vertAlign w:val="superscript"/>
          <w:lang w:val="es-GT"/>
        </w:rPr>
        <w:t>3</w:t>
      </w:r>
      <w:r w:rsidR="005265B8" w:rsidRPr="001F44D1">
        <w:rPr>
          <w:rFonts w:ascii="Calibri" w:hAnsi="Calibri" w:cs="Calibri"/>
          <w:lang w:val="es-GT"/>
        </w:rPr>
        <w:t xml:space="preserve"> de agua; </w:t>
      </w:r>
      <w:r w:rsidR="005265B8">
        <w:rPr>
          <w:rFonts w:ascii="Calibri" w:hAnsi="Calibri" w:cs="Calibri"/>
          <w:lang w:val="es-GT"/>
        </w:rPr>
        <w:t xml:space="preserve">y </w:t>
      </w:r>
      <w:r w:rsidR="005265B8" w:rsidRPr="001F44D1">
        <w:rPr>
          <w:rFonts w:ascii="Calibri" w:hAnsi="Calibri" w:cs="Calibri"/>
          <w:lang w:val="es-GT"/>
        </w:rPr>
        <w:t xml:space="preserve">la extracción de 40 millones de toneladas de recursos del subsuelo. </w:t>
      </w:r>
    </w:p>
    <w:p w:rsidR="005265B8" w:rsidRPr="001F44D1" w:rsidRDefault="005265B8" w:rsidP="005265B8">
      <w:pPr>
        <w:numPr>
          <w:ilvl w:val="0"/>
          <w:numId w:val="23"/>
        </w:numPr>
        <w:tabs>
          <w:tab w:val="clear" w:pos="720"/>
          <w:tab w:val="num" w:pos="360"/>
        </w:tabs>
        <w:autoSpaceDE w:val="0"/>
        <w:autoSpaceDN w:val="0"/>
        <w:adjustRightInd w:val="0"/>
        <w:spacing w:after="60"/>
        <w:ind w:left="360"/>
        <w:jc w:val="both"/>
        <w:rPr>
          <w:rFonts w:ascii="Calibri" w:hAnsi="Calibri" w:cs="Calibri"/>
          <w:lang w:val="es-GT"/>
        </w:rPr>
      </w:pPr>
      <w:r w:rsidRPr="001F44D1">
        <w:rPr>
          <w:rFonts w:ascii="Calibri" w:hAnsi="Calibri" w:cs="Calibri"/>
          <w:lang w:val="es-GT"/>
        </w:rPr>
        <w:t>Elevado flujo de contaminantes que va del subsistema económico al subsistema natural, produciendo degradación y contaminación, por ejemplo, la generación anual de: 116 millones d</w:t>
      </w:r>
      <w:r w:rsidR="0025465A">
        <w:rPr>
          <w:rFonts w:ascii="Calibri" w:hAnsi="Calibri" w:cs="Calibri"/>
          <w:lang w:val="es-GT"/>
        </w:rPr>
        <w:t>e toneladas de desechos sólidos,</w:t>
      </w:r>
      <w:r w:rsidRPr="001F44D1">
        <w:rPr>
          <w:rFonts w:ascii="Calibri" w:hAnsi="Calibri" w:cs="Calibri"/>
          <w:lang w:val="es-GT"/>
        </w:rPr>
        <w:t xml:space="preserve"> 10,000 millones de m</w:t>
      </w:r>
      <w:r w:rsidRPr="001F44D1">
        <w:rPr>
          <w:rFonts w:ascii="Calibri" w:hAnsi="Calibri" w:cs="Calibri"/>
          <w:vertAlign w:val="superscript"/>
          <w:lang w:val="es-GT"/>
        </w:rPr>
        <w:t>3</w:t>
      </w:r>
      <w:r w:rsidRPr="001F44D1">
        <w:rPr>
          <w:rFonts w:ascii="Calibri" w:hAnsi="Calibri" w:cs="Calibri"/>
          <w:lang w:val="es-GT"/>
        </w:rPr>
        <w:t xml:space="preserve"> de aguas residuales y 48 millones de toneladas de CO</w:t>
      </w:r>
      <w:r w:rsidRPr="001F44D1">
        <w:rPr>
          <w:rFonts w:ascii="Calibri" w:hAnsi="Calibri" w:cs="Calibri"/>
          <w:vertAlign w:val="subscript"/>
          <w:lang w:val="es-GT"/>
        </w:rPr>
        <w:t>2</w:t>
      </w:r>
      <w:r>
        <w:rPr>
          <w:rFonts w:ascii="Calibri" w:hAnsi="Calibri" w:cs="Calibri"/>
          <w:lang w:val="es-GT"/>
        </w:rPr>
        <w:t xml:space="preserve"> </w:t>
      </w:r>
      <w:r w:rsidR="00B07D69" w:rsidRPr="00D17DF9">
        <w:rPr>
          <w:rFonts w:ascii="Calibri" w:hAnsi="Calibri" w:cs="Calibri"/>
          <w:lang w:val="es-GT"/>
        </w:rPr>
        <w:t>equivalente</w:t>
      </w:r>
      <w:r w:rsidRPr="00D17DF9">
        <w:rPr>
          <w:rFonts w:ascii="Calibri" w:hAnsi="Calibri" w:cs="Calibri"/>
          <w:lang w:val="es-GT"/>
        </w:rPr>
        <w:t>.</w:t>
      </w:r>
    </w:p>
    <w:p w:rsidR="005265B8" w:rsidRPr="001F44D1" w:rsidRDefault="005265B8" w:rsidP="005265B8">
      <w:pPr>
        <w:numPr>
          <w:ilvl w:val="0"/>
          <w:numId w:val="23"/>
        </w:numPr>
        <w:tabs>
          <w:tab w:val="clear" w:pos="720"/>
          <w:tab w:val="num" w:pos="360"/>
        </w:tabs>
        <w:autoSpaceDE w:val="0"/>
        <w:autoSpaceDN w:val="0"/>
        <w:adjustRightInd w:val="0"/>
        <w:spacing w:after="60"/>
        <w:ind w:left="360"/>
        <w:jc w:val="both"/>
        <w:rPr>
          <w:rFonts w:ascii="Calibri" w:hAnsi="Calibri" w:cs="Calibri"/>
          <w:lang w:val="es-GT"/>
        </w:rPr>
      </w:pPr>
      <w:r w:rsidRPr="001F44D1">
        <w:rPr>
          <w:rFonts w:ascii="Calibri" w:hAnsi="Calibri" w:cs="Calibri"/>
          <w:lang w:val="es-GT"/>
        </w:rPr>
        <w:lastRenderedPageBreak/>
        <w:t xml:space="preserve">15% del territorio nacional </w:t>
      </w:r>
      <w:r>
        <w:rPr>
          <w:rFonts w:ascii="Calibri" w:hAnsi="Calibri" w:cs="Calibri"/>
          <w:lang w:val="es-GT"/>
        </w:rPr>
        <w:t xml:space="preserve">se encuentra </w:t>
      </w:r>
      <w:r w:rsidRPr="001F44D1">
        <w:rPr>
          <w:rFonts w:ascii="Calibri" w:hAnsi="Calibri" w:cs="Calibri"/>
          <w:lang w:val="es-GT"/>
        </w:rPr>
        <w:t>en condiciones de sobre uso,</w:t>
      </w:r>
      <w:r>
        <w:rPr>
          <w:rFonts w:ascii="Calibri" w:hAnsi="Calibri" w:cs="Calibri"/>
          <w:lang w:val="es-GT"/>
        </w:rPr>
        <w:t xml:space="preserve"> existe una</w:t>
      </w:r>
      <w:r w:rsidRPr="001F44D1">
        <w:rPr>
          <w:rFonts w:ascii="Calibri" w:hAnsi="Calibri" w:cs="Calibri"/>
          <w:lang w:val="es-GT"/>
        </w:rPr>
        <w:t xml:space="preserve"> erosión anual de 148 millones de toneladas de suelo, </w:t>
      </w:r>
      <w:r>
        <w:rPr>
          <w:rFonts w:ascii="Calibri" w:hAnsi="Calibri" w:cs="Calibri"/>
          <w:lang w:val="es-GT"/>
        </w:rPr>
        <w:t xml:space="preserve">y la </w:t>
      </w:r>
      <w:r w:rsidRPr="001F44D1">
        <w:rPr>
          <w:rFonts w:ascii="Calibri" w:hAnsi="Calibri" w:cs="Calibri"/>
          <w:lang w:val="es-GT"/>
        </w:rPr>
        <w:t>efectividad en el manejo de áreas protegidas</w:t>
      </w:r>
      <w:r>
        <w:rPr>
          <w:rFonts w:ascii="Calibri" w:hAnsi="Calibri" w:cs="Calibri"/>
          <w:lang w:val="es-GT"/>
        </w:rPr>
        <w:t xml:space="preserve"> es </w:t>
      </w:r>
      <w:r w:rsidRPr="001F44D1">
        <w:rPr>
          <w:rFonts w:ascii="Calibri" w:hAnsi="Calibri" w:cs="Calibri"/>
          <w:lang w:val="es-GT"/>
        </w:rPr>
        <w:t>mediana.</w:t>
      </w:r>
    </w:p>
    <w:p w:rsidR="005265B8" w:rsidRPr="001F44D1" w:rsidRDefault="005265B8" w:rsidP="005265B8">
      <w:pPr>
        <w:numPr>
          <w:ilvl w:val="0"/>
          <w:numId w:val="23"/>
        </w:numPr>
        <w:tabs>
          <w:tab w:val="clear" w:pos="720"/>
          <w:tab w:val="num" w:pos="360"/>
        </w:tabs>
        <w:autoSpaceDE w:val="0"/>
        <w:autoSpaceDN w:val="0"/>
        <w:adjustRightInd w:val="0"/>
        <w:spacing w:after="60"/>
        <w:ind w:left="360"/>
        <w:jc w:val="both"/>
        <w:rPr>
          <w:rFonts w:ascii="Calibri" w:hAnsi="Calibri" w:cs="Calibri"/>
          <w:lang w:val="es-GT"/>
        </w:rPr>
      </w:pPr>
      <w:r w:rsidRPr="001F44D1">
        <w:rPr>
          <w:rFonts w:ascii="Calibri" w:hAnsi="Calibri" w:cs="Calibri"/>
          <w:lang w:val="es-GT"/>
        </w:rPr>
        <w:t>Las industrias manufactureras, en conjunto, ejercen los mayores niveles de presión ambiental. Son las principales demandantes de energía, las principales usuarias de los bienes del subsuelo y del bosque, y son el usuario más importante de agua (excluyendo el uso del agua de lluvia en la agricultura). Así mismo, ponen en evidencia los altos niveles de dependencia de la economía con respecto a la naturaleza.</w:t>
      </w:r>
      <w:r>
        <w:rPr>
          <w:rFonts w:ascii="Calibri" w:hAnsi="Calibri" w:cs="Calibri"/>
          <w:lang w:val="es-GT"/>
        </w:rPr>
        <w:t xml:space="preserve"> </w:t>
      </w:r>
    </w:p>
    <w:p w:rsidR="005265B8" w:rsidRDefault="005265B8" w:rsidP="005265B8">
      <w:pPr>
        <w:numPr>
          <w:ilvl w:val="0"/>
          <w:numId w:val="23"/>
        </w:numPr>
        <w:tabs>
          <w:tab w:val="clear" w:pos="720"/>
          <w:tab w:val="num" w:pos="360"/>
        </w:tabs>
        <w:autoSpaceDE w:val="0"/>
        <w:autoSpaceDN w:val="0"/>
        <w:adjustRightInd w:val="0"/>
        <w:spacing w:after="60"/>
        <w:ind w:left="360"/>
        <w:jc w:val="both"/>
        <w:rPr>
          <w:rFonts w:ascii="Calibri" w:hAnsi="Calibri" w:cs="Calibri"/>
          <w:color w:val="1A1A1A"/>
          <w:lang w:val="es-GT"/>
        </w:rPr>
      </w:pPr>
      <w:r w:rsidRPr="001F44D1">
        <w:rPr>
          <w:rFonts w:ascii="Calibri" w:hAnsi="Calibri" w:cs="Calibri"/>
          <w:lang w:val="es-GT"/>
        </w:rPr>
        <w:t>El subsistema económic</w:t>
      </w:r>
      <w:r>
        <w:rPr>
          <w:rFonts w:ascii="Calibri" w:hAnsi="Calibri" w:cs="Calibri"/>
          <w:color w:val="1A1A1A"/>
          <w:lang w:val="es-GT"/>
        </w:rPr>
        <w:t xml:space="preserve">o es altamente concentrador y excluyente. Los índices de Gini de </w:t>
      </w:r>
      <w:r w:rsidRPr="001A01AB">
        <w:rPr>
          <w:rFonts w:ascii="Calibri" w:hAnsi="Calibri" w:cs="Calibri"/>
          <w:color w:val="1A1A1A"/>
          <w:lang w:val="es-GT"/>
        </w:rPr>
        <w:t>distribución del in</w:t>
      </w:r>
      <w:r>
        <w:rPr>
          <w:rFonts w:ascii="Calibri" w:hAnsi="Calibri" w:cs="Calibri"/>
          <w:color w:val="1A1A1A"/>
          <w:lang w:val="es-GT"/>
        </w:rPr>
        <w:t xml:space="preserve">greso (0.54) y de </w:t>
      </w:r>
      <w:r w:rsidRPr="001A01AB">
        <w:rPr>
          <w:rFonts w:ascii="Calibri" w:hAnsi="Calibri" w:cs="Calibri"/>
          <w:color w:val="1A1A1A"/>
          <w:lang w:val="es-GT"/>
        </w:rPr>
        <w:t xml:space="preserve">concentración de la </w:t>
      </w:r>
      <w:r>
        <w:rPr>
          <w:rFonts w:ascii="Calibri" w:hAnsi="Calibri" w:cs="Calibri"/>
          <w:color w:val="1A1A1A"/>
          <w:lang w:val="es-GT"/>
        </w:rPr>
        <w:t>tierra (0.84), así como el Índice de D</w:t>
      </w:r>
      <w:r w:rsidRPr="001A01AB">
        <w:rPr>
          <w:rFonts w:ascii="Calibri" w:hAnsi="Calibri" w:cs="Calibri"/>
          <w:color w:val="1A1A1A"/>
          <w:lang w:val="es-GT"/>
        </w:rPr>
        <w:t xml:space="preserve">esarrollo </w:t>
      </w:r>
      <w:r>
        <w:rPr>
          <w:rFonts w:ascii="Calibri" w:hAnsi="Calibri" w:cs="Calibri"/>
          <w:color w:val="1A1A1A"/>
          <w:lang w:val="es-GT"/>
        </w:rPr>
        <w:t>Humano (0.54), son indicativos de esta condición.</w:t>
      </w:r>
    </w:p>
    <w:p w:rsidR="005265B8" w:rsidRPr="003C4532" w:rsidRDefault="005265B8" w:rsidP="005265B8">
      <w:pPr>
        <w:numPr>
          <w:ilvl w:val="0"/>
          <w:numId w:val="23"/>
        </w:numPr>
        <w:tabs>
          <w:tab w:val="clear" w:pos="720"/>
          <w:tab w:val="num" w:pos="360"/>
        </w:tabs>
        <w:autoSpaceDE w:val="0"/>
        <w:autoSpaceDN w:val="0"/>
        <w:adjustRightInd w:val="0"/>
        <w:spacing w:after="60"/>
        <w:ind w:left="360"/>
        <w:jc w:val="both"/>
        <w:rPr>
          <w:rFonts w:ascii="Calibri" w:hAnsi="Calibri" w:cs="Calibri"/>
          <w:color w:val="1A1A1A"/>
          <w:lang w:val="es-GT"/>
        </w:rPr>
      </w:pPr>
      <w:r w:rsidRPr="003C4532">
        <w:rPr>
          <w:rFonts w:ascii="Calibri" w:hAnsi="Calibri" w:cs="Calibri"/>
          <w:color w:val="1A1A1A"/>
          <w:lang w:val="es-GT"/>
        </w:rPr>
        <w:t xml:space="preserve">Existe una relación entre la pobreza y el deterioro ambiental, a través de una estructura de generación de ingreso. La inexistencia de alternativas de trabajo no-agrícola con frecuencia obliga a la población a ejercer actividades de ingresos bajos, como la transformación de áreas forestales </w:t>
      </w:r>
      <w:r w:rsidR="0025465A">
        <w:rPr>
          <w:rFonts w:ascii="Calibri" w:hAnsi="Calibri" w:cs="Calibri"/>
          <w:color w:val="1A1A1A"/>
          <w:lang w:val="es-GT"/>
        </w:rPr>
        <w:t>a</w:t>
      </w:r>
      <w:r w:rsidRPr="003C4532">
        <w:rPr>
          <w:rFonts w:ascii="Calibri" w:hAnsi="Calibri" w:cs="Calibri"/>
          <w:color w:val="1A1A1A"/>
          <w:lang w:val="es-GT"/>
        </w:rPr>
        <w:t xml:space="preserve"> agrícolas, incluso cuando éstas no son aptas para este tipo de uso.</w:t>
      </w:r>
      <w:r w:rsidR="0025465A">
        <w:rPr>
          <w:rFonts w:ascii="Calibri" w:hAnsi="Calibri" w:cs="Calibri"/>
          <w:color w:val="1A1A1A"/>
          <w:lang w:val="es-GT"/>
        </w:rPr>
        <w:t xml:space="preserve"> Dicha</w:t>
      </w:r>
      <w:r w:rsidRPr="003C4532">
        <w:rPr>
          <w:rFonts w:ascii="Calibri" w:hAnsi="Calibri" w:cs="Calibri"/>
          <w:color w:val="1A1A1A"/>
          <w:lang w:val="es-GT"/>
        </w:rPr>
        <w:t xml:space="preserve"> condición se ve agravada por bajos niveles de escolaridad y elevada inequidad social.</w:t>
      </w:r>
    </w:p>
    <w:p w:rsidR="005265B8" w:rsidRPr="003C4532" w:rsidRDefault="005265B8" w:rsidP="005265B8">
      <w:pPr>
        <w:autoSpaceDE w:val="0"/>
        <w:autoSpaceDN w:val="0"/>
        <w:adjustRightInd w:val="0"/>
        <w:spacing w:after="60"/>
        <w:jc w:val="both"/>
        <w:rPr>
          <w:rFonts w:ascii="Calibri" w:hAnsi="Calibri" w:cs="Calibri"/>
          <w:color w:val="1A1A1A"/>
          <w:lang w:val="es-GT"/>
        </w:rPr>
      </w:pPr>
    </w:p>
    <w:p w:rsidR="005265B8" w:rsidRPr="00B651B2" w:rsidRDefault="005265B8" w:rsidP="005265B8">
      <w:pPr>
        <w:autoSpaceDE w:val="0"/>
        <w:autoSpaceDN w:val="0"/>
        <w:adjustRightInd w:val="0"/>
        <w:spacing w:after="60"/>
        <w:jc w:val="both"/>
        <w:rPr>
          <w:rFonts w:ascii="Calibri" w:hAnsi="Calibri" w:cs="Calibri"/>
          <w:color w:val="1A1A1A"/>
          <w:lang w:val="es-GT"/>
        </w:rPr>
      </w:pPr>
      <w:r w:rsidRPr="003C4532">
        <w:rPr>
          <w:rFonts w:ascii="Calibri" w:hAnsi="Calibri" w:cs="Calibri"/>
          <w:color w:val="1A1A1A"/>
          <w:lang w:val="es-GT"/>
        </w:rPr>
        <w:t xml:space="preserve">Estos desbalances y condiciones hacen que el sistema sea insostenible, lo cual se evidencia con la reducción constante del capital natural, lo que a </w:t>
      </w:r>
      <w:r w:rsidR="0025465A">
        <w:rPr>
          <w:rFonts w:ascii="Calibri" w:hAnsi="Calibri" w:cs="Calibri"/>
          <w:color w:val="1A1A1A"/>
          <w:lang w:val="es-GT"/>
        </w:rPr>
        <w:t xml:space="preserve">su </w:t>
      </w:r>
      <w:r w:rsidRPr="003C4532">
        <w:rPr>
          <w:rFonts w:ascii="Calibri" w:hAnsi="Calibri" w:cs="Calibri"/>
          <w:color w:val="1A1A1A"/>
          <w:lang w:val="es-GT"/>
        </w:rPr>
        <w:t>vez contribuye a aumentar la vulnerabilidad del sistema país.</w:t>
      </w:r>
    </w:p>
    <w:p w:rsidR="005265B8" w:rsidRDefault="005265B8" w:rsidP="005265B8">
      <w:pPr>
        <w:jc w:val="both"/>
        <w:rPr>
          <w:rFonts w:ascii="Calibri" w:hAnsi="Calibri" w:cs="Calibri"/>
          <w:lang w:val="es-GT"/>
        </w:rPr>
      </w:pPr>
    </w:p>
    <w:p w:rsidR="005265B8" w:rsidRPr="00FF33C1" w:rsidRDefault="005265B8" w:rsidP="005265B8">
      <w:pPr>
        <w:jc w:val="both"/>
        <w:rPr>
          <w:rFonts w:ascii="Calibri" w:hAnsi="Calibri" w:cs="Calibri"/>
          <w:b/>
          <w:i/>
          <w:color w:val="365F91"/>
          <w:lang w:val="es-GT" w:eastAsia="es-GT"/>
        </w:rPr>
      </w:pPr>
      <w:r w:rsidRPr="00FF33C1">
        <w:rPr>
          <w:rFonts w:ascii="Calibri" w:hAnsi="Calibri" w:cs="Calibri"/>
          <w:b/>
          <w:i/>
          <w:color w:val="365F91"/>
          <w:lang w:val="es-GT" w:eastAsia="es-GT"/>
        </w:rPr>
        <w:t>Análisis estratégico</w:t>
      </w:r>
    </w:p>
    <w:p w:rsidR="005265B8" w:rsidRDefault="005265B8" w:rsidP="005265B8">
      <w:pPr>
        <w:jc w:val="both"/>
        <w:rPr>
          <w:rFonts w:ascii="Calibri" w:hAnsi="Calibri" w:cs="Calibri"/>
          <w:lang w:val="es-GT"/>
        </w:rPr>
      </w:pPr>
    </w:p>
    <w:p w:rsidR="005265B8" w:rsidRDefault="005265B8" w:rsidP="005265B8">
      <w:pPr>
        <w:jc w:val="both"/>
        <w:rPr>
          <w:rFonts w:ascii="Calibri" w:hAnsi="Calibri" w:cs="Calibri"/>
          <w:lang w:val="es-GT"/>
        </w:rPr>
      </w:pPr>
      <w:r w:rsidRPr="001A01AB">
        <w:rPr>
          <w:rFonts w:ascii="Calibri" w:hAnsi="Calibri" w:cs="Calibri"/>
          <w:lang w:val="es-GT"/>
        </w:rPr>
        <w:t xml:space="preserve">Esta fase constituye la parte medular de la EAE y se </w:t>
      </w:r>
      <w:r>
        <w:rPr>
          <w:rFonts w:ascii="Calibri" w:hAnsi="Calibri" w:cs="Calibri"/>
          <w:lang w:val="es-GT"/>
        </w:rPr>
        <w:t>centra</w:t>
      </w:r>
      <w:r w:rsidRPr="001A01AB">
        <w:rPr>
          <w:rFonts w:ascii="Calibri" w:hAnsi="Calibri" w:cs="Calibri"/>
          <w:lang w:val="es-GT"/>
        </w:rPr>
        <w:t xml:space="preserve"> en la aplicación de herramientas de análisis estratégico para </w:t>
      </w:r>
      <w:r w:rsidR="007A6739">
        <w:rPr>
          <w:rFonts w:ascii="Calibri" w:hAnsi="Calibri" w:cs="Calibri"/>
          <w:lang w:val="es-GT"/>
        </w:rPr>
        <w:t>orientar</w:t>
      </w:r>
      <w:r>
        <w:rPr>
          <w:rFonts w:ascii="Calibri" w:hAnsi="Calibri" w:cs="Calibri"/>
          <w:lang w:val="es-GT"/>
        </w:rPr>
        <w:t xml:space="preserve"> la toma de decisiones, e</w:t>
      </w:r>
      <w:r w:rsidRPr="001A01AB">
        <w:rPr>
          <w:rFonts w:ascii="Calibri" w:hAnsi="Calibri" w:cs="Calibri"/>
          <w:lang w:val="es-GT"/>
        </w:rPr>
        <w:t xml:space="preserve">n este caso, la incorporación de consideraciones ambientales en el diseño del </w:t>
      </w:r>
      <w:r>
        <w:rPr>
          <w:rFonts w:ascii="Calibri" w:hAnsi="Calibri" w:cs="Calibri"/>
          <w:lang w:val="es-GT"/>
        </w:rPr>
        <w:t>nuevo programa nacional del FIDA para Guatemala, cuyo objetivo</w:t>
      </w:r>
      <w:r w:rsidR="007A6739">
        <w:rPr>
          <w:rFonts w:ascii="Calibri" w:hAnsi="Calibri" w:cs="Calibri"/>
          <w:lang w:val="es-GT"/>
        </w:rPr>
        <w:t xml:space="preserve"> estratégico (OE) está enfocado</w:t>
      </w:r>
      <w:r>
        <w:rPr>
          <w:rFonts w:ascii="Calibri" w:hAnsi="Calibri" w:cs="Calibri"/>
          <w:lang w:val="es-GT"/>
        </w:rPr>
        <w:t xml:space="preserve"> a lograr el desarrollo rural integral</w:t>
      </w:r>
      <w:r w:rsidRPr="001A01AB">
        <w:rPr>
          <w:rFonts w:ascii="Calibri" w:hAnsi="Calibri" w:cs="Calibri"/>
          <w:lang w:val="es-GT"/>
        </w:rPr>
        <w:t>.</w:t>
      </w:r>
      <w:r>
        <w:rPr>
          <w:rFonts w:ascii="Calibri" w:hAnsi="Calibri" w:cs="Calibri"/>
          <w:lang w:val="es-GT"/>
        </w:rPr>
        <w:t xml:space="preserve"> Dentro de esta fase, se abordaron los siguientes aspectos:</w:t>
      </w:r>
    </w:p>
    <w:p w:rsidR="005265B8" w:rsidRDefault="005265B8" w:rsidP="005265B8">
      <w:pPr>
        <w:jc w:val="both"/>
        <w:rPr>
          <w:rFonts w:ascii="Calibri" w:hAnsi="Calibri" w:cs="Calibri"/>
          <w:lang w:val="es-GT"/>
        </w:rPr>
      </w:pPr>
    </w:p>
    <w:p w:rsidR="005265B8" w:rsidRDefault="005265B8" w:rsidP="005265B8">
      <w:pPr>
        <w:jc w:val="both"/>
        <w:rPr>
          <w:rFonts w:ascii="Calibri" w:hAnsi="Calibri" w:cs="Calibri"/>
          <w:lang w:val="es-GT"/>
        </w:rPr>
      </w:pPr>
      <w:r w:rsidRPr="005B1B5B">
        <w:rPr>
          <w:rFonts w:ascii="Calibri" w:hAnsi="Calibri" w:cs="Calibri"/>
          <w:u w:val="single"/>
          <w:lang w:val="es-GT"/>
        </w:rPr>
        <w:t>El Marco de Referencia Estratégico</w:t>
      </w:r>
      <w:r>
        <w:rPr>
          <w:rFonts w:ascii="Calibri" w:hAnsi="Calibri" w:cs="Calibri"/>
          <w:u w:val="single"/>
          <w:lang w:val="es-GT"/>
        </w:rPr>
        <w:t xml:space="preserve"> (MRE)</w:t>
      </w:r>
      <w:r w:rsidRPr="005B1B5B">
        <w:rPr>
          <w:rFonts w:ascii="Calibri" w:hAnsi="Calibri" w:cs="Calibri"/>
          <w:u w:val="single"/>
          <w:lang w:val="es-GT"/>
        </w:rPr>
        <w:t>:</w:t>
      </w:r>
      <w:r>
        <w:rPr>
          <w:rFonts w:ascii="Calibri" w:hAnsi="Calibri" w:cs="Calibri"/>
          <w:lang w:val="es-GT"/>
        </w:rPr>
        <w:t xml:space="preserve"> </w:t>
      </w:r>
      <w:r w:rsidRPr="005B1B5B">
        <w:rPr>
          <w:rFonts w:ascii="Calibri" w:hAnsi="Calibri" w:cs="Calibri"/>
          <w:lang w:val="es-GT"/>
        </w:rPr>
        <w:t xml:space="preserve">está compuesto por el </w:t>
      </w:r>
      <w:r>
        <w:rPr>
          <w:rFonts w:ascii="Calibri" w:hAnsi="Calibri" w:cs="Calibri"/>
          <w:lang w:val="es-GT"/>
        </w:rPr>
        <w:t>conjunto</w:t>
      </w:r>
      <w:r w:rsidRPr="005B1B5B">
        <w:rPr>
          <w:rFonts w:ascii="Calibri" w:hAnsi="Calibri" w:cs="Calibri"/>
          <w:lang w:val="es-GT"/>
        </w:rPr>
        <w:t xml:space="preserve"> de planes, políticas y programas (PPP) en el que est</w:t>
      </w:r>
      <w:r>
        <w:rPr>
          <w:rFonts w:ascii="Calibri" w:hAnsi="Calibri" w:cs="Calibri"/>
          <w:lang w:val="es-GT"/>
        </w:rPr>
        <w:t>ar</w:t>
      </w:r>
      <w:r w:rsidRPr="005B1B5B">
        <w:rPr>
          <w:rFonts w:ascii="Calibri" w:hAnsi="Calibri" w:cs="Calibri"/>
          <w:lang w:val="es-GT"/>
        </w:rPr>
        <w:t>á inserto y se desarrolla</w:t>
      </w:r>
      <w:r>
        <w:rPr>
          <w:rFonts w:ascii="Calibri" w:hAnsi="Calibri" w:cs="Calibri"/>
          <w:lang w:val="es-GT"/>
        </w:rPr>
        <w:t>rá</w:t>
      </w:r>
      <w:r w:rsidRPr="005B1B5B">
        <w:rPr>
          <w:rFonts w:ascii="Calibri" w:hAnsi="Calibri" w:cs="Calibri"/>
          <w:lang w:val="es-GT"/>
        </w:rPr>
        <w:t xml:space="preserve"> el </w:t>
      </w:r>
      <w:r>
        <w:rPr>
          <w:rFonts w:ascii="Calibri" w:hAnsi="Calibri" w:cs="Calibri"/>
          <w:lang w:val="es-GT"/>
        </w:rPr>
        <w:t>nuevo programa nacional de FIDA</w:t>
      </w:r>
      <w:r w:rsidRPr="005B1B5B">
        <w:rPr>
          <w:rFonts w:ascii="Calibri" w:hAnsi="Calibri" w:cs="Calibri"/>
          <w:lang w:val="es-GT"/>
        </w:rPr>
        <w:t xml:space="preserve">. El MRE se conforma por todas aquellas políticas nacionales, regionales y locales, requisitos legales, principios y compromisos institucionales relacionados con el </w:t>
      </w:r>
      <w:r>
        <w:rPr>
          <w:rFonts w:ascii="Calibri" w:hAnsi="Calibri" w:cs="Calibri"/>
          <w:lang w:val="es-GT"/>
        </w:rPr>
        <w:t>desarrollo rural integral</w:t>
      </w:r>
      <w:r w:rsidRPr="005B1B5B">
        <w:rPr>
          <w:rFonts w:ascii="Calibri" w:hAnsi="Calibri" w:cs="Calibri"/>
          <w:lang w:val="es-GT"/>
        </w:rPr>
        <w:t xml:space="preserve">. De igual manera, se revisaron otros programas y planes </w:t>
      </w:r>
      <w:r>
        <w:rPr>
          <w:rFonts w:ascii="Calibri" w:hAnsi="Calibri" w:cs="Calibri"/>
          <w:lang w:val="es-GT"/>
        </w:rPr>
        <w:t>afines</w:t>
      </w:r>
      <w:r w:rsidRPr="005B1B5B">
        <w:rPr>
          <w:rFonts w:ascii="Calibri" w:hAnsi="Calibri" w:cs="Calibri"/>
          <w:lang w:val="es-GT"/>
        </w:rPr>
        <w:t xml:space="preserve"> </w:t>
      </w:r>
      <w:r>
        <w:rPr>
          <w:rFonts w:ascii="Calibri" w:hAnsi="Calibri" w:cs="Calibri"/>
          <w:lang w:val="es-GT"/>
        </w:rPr>
        <w:t>a</w:t>
      </w:r>
      <w:r w:rsidRPr="005B1B5B">
        <w:rPr>
          <w:rFonts w:ascii="Calibri" w:hAnsi="Calibri" w:cs="Calibri"/>
          <w:lang w:val="es-GT"/>
        </w:rPr>
        <w:t xml:space="preserve">l objeto de evaluación de la EAE. </w:t>
      </w:r>
    </w:p>
    <w:p w:rsidR="005265B8" w:rsidRDefault="005265B8" w:rsidP="005265B8">
      <w:pPr>
        <w:jc w:val="both"/>
        <w:rPr>
          <w:rFonts w:ascii="Calibri" w:hAnsi="Calibri" w:cs="Calibri"/>
          <w:lang w:val="es-GT"/>
        </w:rPr>
      </w:pPr>
    </w:p>
    <w:p w:rsidR="005265B8" w:rsidRDefault="005265B8" w:rsidP="005265B8">
      <w:pPr>
        <w:jc w:val="both"/>
        <w:rPr>
          <w:rFonts w:ascii="Calibri" w:hAnsi="Calibri" w:cs="Calibri"/>
          <w:lang w:val="es-GT"/>
        </w:rPr>
      </w:pPr>
      <w:r w:rsidRPr="00BF59A9">
        <w:rPr>
          <w:rFonts w:ascii="Calibri" w:hAnsi="Calibri" w:cs="Calibri"/>
          <w:u w:val="single"/>
          <w:lang w:val="es-GT"/>
        </w:rPr>
        <w:t>Definición de las principales Cuestiones Estratégicas (CE):</w:t>
      </w:r>
      <w:r>
        <w:rPr>
          <w:rFonts w:ascii="Calibri" w:hAnsi="Calibri" w:cs="Calibri"/>
          <w:lang w:val="es-GT"/>
        </w:rPr>
        <w:t xml:space="preserve"> </w:t>
      </w:r>
      <w:r w:rsidRPr="00523BC1">
        <w:rPr>
          <w:rFonts w:ascii="Calibri" w:hAnsi="Calibri" w:cs="Calibri"/>
          <w:lang w:val="es-GT"/>
        </w:rPr>
        <w:t>corresponde a la identific</w:t>
      </w:r>
      <w:r>
        <w:rPr>
          <w:rFonts w:ascii="Calibri" w:hAnsi="Calibri" w:cs="Calibri"/>
          <w:lang w:val="es-GT"/>
        </w:rPr>
        <w:t>ación, discusión y análisis de los</w:t>
      </w:r>
      <w:r w:rsidRPr="00523BC1">
        <w:rPr>
          <w:rFonts w:ascii="Calibri" w:hAnsi="Calibri" w:cs="Calibri"/>
          <w:lang w:val="es-GT"/>
        </w:rPr>
        <w:t xml:space="preserve"> </w:t>
      </w:r>
      <w:r>
        <w:rPr>
          <w:rFonts w:ascii="Calibri" w:hAnsi="Calibri" w:cs="Calibri"/>
          <w:lang w:val="es-GT"/>
        </w:rPr>
        <w:t>temas</w:t>
      </w:r>
      <w:r w:rsidRPr="00523BC1">
        <w:rPr>
          <w:rFonts w:ascii="Calibri" w:hAnsi="Calibri" w:cs="Calibri"/>
          <w:lang w:val="es-GT"/>
        </w:rPr>
        <w:t xml:space="preserve"> clave para la consecución del O</w:t>
      </w:r>
      <w:r>
        <w:rPr>
          <w:rFonts w:ascii="Calibri" w:hAnsi="Calibri" w:cs="Calibri"/>
          <w:lang w:val="es-GT"/>
        </w:rPr>
        <w:t xml:space="preserve">bjetivo Estratégico identificado, </w:t>
      </w:r>
      <w:r w:rsidRPr="00523BC1">
        <w:rPr>
          <w:rFonts w:ascii="Calibri" w:hAnsi="Calibri" w:cs="Calibri"/>
          <w:lang w:val="es-GT"/>
        </w:rPr>
        <w:t xml:space="preserve">que en el caso de la intervención del FIDA en Guatemala, se encuentra íntimamente vinculado al </w:t>
      </w:r>
      <w:r>
        <w:rPr>
          <w:rFonts w:ascii="Calibri" w:hAnsi="Calibri" w:cs="Calibri"/>
          <w:lang w:val="es-GT"/>
        </w:rPr>
        <w:t>desarrollo rural integral</w:t>
      </w:r>
      <w:r w:rsidRPr="00523BC1">
        <w:rPr>
          <w:rFonts w:ascii="Calibri" w:hAnsi="Calibri" w:cs="Calibri"/>
          <w:lang w:val="es-GT"/>
        </w:rPr>
        <w:t xml:space="preserve">. </w:t>
      </w:r>
      <w:r>
        <w:rPr>
          <w:rFonts w:ascii="Calibri" w:hAnsi="Calibri" w:cs="Calibri"/>
          <w:lang w:val="es-GT"/>
        </w:rPr>
        <w:t>I</w:t>
      </w:r>
      <w:r w:rsidRPr="00523BC1">
        <w:rPr>
          <w:rFonts w:ascii="Calibri" w:hAnsi="Calibri" w:cs="Calibri"/>
          <w:lang w:val="es-GT"/>
        </w:rPr>
        <w:t>dentifica aquell</w:t>
      </w:r>
      <w:r>
        <w:rPr>
          <w:rFonts w:ascii="Calibri" w:hAnsi="Calibri" w:cs="Calibri"/>
          <w:lang w:val="es-GT"/>
        </w:rPr>
        <w:t>o</w:t>
      </w:r>
      <w:r w:rsidRPr="00523BC1">
        <w:rPr>
          <w:rFonts w:ascii="Calibri" w:hAnsi="Calibri" w:cs="Calibri"/>
          <w:lang w:val="es-GT"/>
        </w:rPr>
        <w:t xml:space="preserve">s </w:t>
      </w:r>
      <w:r>
        <w:rPr>
          <w:rFonts w:ascii="Calibri" w:hAnsi="Calibri" w:cs="Calibri"/>
          <w:lang w:val="es-GT"/>
        </w:rPr>
        <w:t xml:space="preserve">elementos que </w:t>
      </w:r>
      <w:r w:rsidRPr="00523BC1">
        <w:rPr>
          <w:rFonts w:ascii="Calibri" w:hAnsi="Calibri" w:cs="Calibri"/>
          <w:lang w:val="es-GT"/>
        </w:rPr>
        <w:t xml:space="preserve">deben </w:t>
      </w:r>
      <w:r>
        <w:rPr>
          <w:rFonts w:ascii="Calibri" w:hAnsi="Calibri" w:cs="Calibri"/>
          <w:lang w:val="es-GT"/>
        </w:rPr>
        <w:t>se</w:t>
      </w:r>
      <w:r w:rsidRPr="00523BC1">
        <w:rPr>
          <w:rFonts w:ascii="Calibri" w:hAnsi="Calibri" w:cs="Calibri"/>
          <w:lang w:val="es-GT"/>
        </w:rPr>
        <w:t>r plantead</w:t>
      </w:r>
      <w:r w:rsidR="000156F9">
        <w:rPr>
          <w:rFonts w:ascii="Calibri" w:hAnsi="Calibri" w:cs="Calibri"/>
          <w:lang w:val="es-GT"/>
        </w:rPr>
        <w:t>o</w:t>
      </w:r>
      <w:r w:rsidRPr="00523BC1">
        <w:rPr>
          <w:rFonts w:ascii="Calibri" w:hAnsi="Calibri" w:cs="Calibri"/>
          <w:lang w:val="es-GT"/>
        </w:rPr>
        <w:t>s necesariamente para asegurar el logro del Objetivo Estratégico</w:t>
      </w:r>
      <w:r>
        <w:rPr>
          <w:rFonts w:ascii="Calibri" w:hAnsi="Calibri" w:cs="Calibri"/>
          <w:lang w:val="es-GT"/>
        </w:rPr>
        <w:t>.</w:t>
      </w:r>
    </w:p>
    <w:p w:rsidR="005265B8" w:rsidRDefault="005265B8" w:rsidP="005265B8">
      <w:pPr>
        <w:jc w:val="both"/>
        <w:rPr>
          <w:rFonts w:ascii="Calibri" w:hAnsi="Calibri" w:cs="Calibri"/>
          <w:lang w:val="es-GT"/>
        </w:rPr>
      </w:pPr>
    </w:p>
    <w:p w:rsidR="005265B8" w:rsidRPr="00BF59A9" w:rsidRDefault="005265B8" w:rsidP="005265B8">
      <w:pPr>
        <w:jc w:val="both"/>
        <w:rPr>
          <w:rFonts w:ascii="Calibri" w:hAnsi="Calibri" w:cs="Calibri"/>
          <w:lang w:val="es-GT"/>
        </w:rPr>
      </w:pPr>
      <w:r>
        <w:rPr>
          <w:rFonts w:ascii="Calibri" w:hAnsi="Calibri" w:cs="Calibri"/>
          <w:lang w:val="es-GT"/>
        </w:rPr>
        <w:lastRenderedPageBreak/>
        <w:t>Las principales Cuestiones Estratégicas identificadas son: i)</w:t>
      </w:r>
      <w:r w:rsidRPr="00BF59A9">
        <w:rPr>
          <w:rFonts w:ascii="Calibri" w:hAnsi="Calibri" w:cs="Calibri"/>
          <w:lang w:val="es-GT"/>
        </w:rPr>
        <w:t xml:space="preserve"> Inversiones en infraestructura de desarrollo rural</w:t>
      </w:r>
      <w:r>
        <w:rPr>
          <w:rFonts w:ascii="Calibri" w:hAnsi="Calibri" w:cs="Calibri"/>
          <w:lang w:val="es-GT"/>
        </w:rPr>
        <w:t xml:space="preserve">, ii) </w:t>
      </w:r>
      <w:r w:rsidRPr="00BF59A9">
        <w:rPr>
          <w:rFonts w:ascii="Calibri" w:hAnsi="Calibri" w:cs="Calibri"/>
          <w:lang w:val="es-GT"/>
        </w:rPr>
        <w:t>Política social (atención a las poblaciones en situación de pobreza y extrema pobreza)</w:t>
      </w:r>
      <w:r>
        <w:rPr>
          <w:rFonts w:ascii="Calibri" w:hAnsi="Calibri" w:cs="Calibri"/>
          <w:lang w:val="es-GT"/>
        </w:rPr>
        <w:t xml:space="preserve">, iii) </w:t>
      </w:r>
      <w:r w:rsidRPr="00BF59A9">
        <w:rPr>
          <w:rFonts w:ascii="Calibri" w:hAnsi="Calibri" w:cs="Calibri"/>
          <w:lang w:val="es-GT"/>
        </w:rPr>
        <w:t>Fomento productivo-comercial</w:t>
      </w:r>
      <w:r>
        <w:rPr>
          <w:rFonts w:ascii="Calibri" w:hAnsi="Calibri" w:cs="Calibri"/>
          <w:lang w:val="es-GT"/>
        </w:rPr>
        <w:t xml:space="preserve">, iv) </w:t>
      </w:r>
      <w:r w:rsidRPr="00BF59A9">
        <w:rPr>
          <w:rFonts w:ascii="Calibri" w:hAnsi="Calibri" w:cs="Calibri"/>
          <w:lang w:val="es-GT"/>
        </w:rPr>
        <w:t>Atención al tema agrario</w:t>
      </w:r>
      <w:r>
        <w:rPr>
          <w:rFonts w:ascii="Calibri" w:hAnsi="Calibri" w:cs="Calibri"/>
          <w:lang w:val="es-GT"/>
        </w:rPr>
        <w:t xml:space="preserve">, y v) </w:t>
      </w:r>
      <w:r w:rsidRPr="00BF59A9">
        <w:rPr>
          <w:rFonts w:ascii="Calibri" w:hAnsi="Calibri" w:cs="Calibri"/>
          <w:lang w:val="es-GT"/>
        </w:rPr>
        <w:t>Asegurar la sostenibilidad ambiental.</w:t>
      </w:r>
    </w:p>
    <w:p w:rsidR="005265B8" w:rsidRDefault="005265B8" w:rsidP="005265B8">
      <w:pPr>
        <w:jc w:val="both"/>
        <w:rPr>
          <w:rFonts w:ascii="Calibri" w:hAnsi="Calibri" w:cs="Calibri"/>
          <w:lang w:val="es-GT"/>
        </w:rPr>
      </w:pPr>
    </w:p>
    <w:p w:rsidR="005265B8" w:rsidRPr="001F44D1" w:rsidRDefault="005265B8" w:rsidP="005265B8">
      <w:pPr>
        <w:jc w:val="both"/>
        <w:rPr>
          <w:rFonts w:ascii="Calibri" w:hAnsi="Calibri" w:cs="Calibri"/>
          <w:lang w:val="es-GT"/>
        </w:rPr>
      </w:pPr>
      <w:r w:rsidRPr="00BF59A9">
        <w:rPr>
          <w:rFonts w:ascii="Calibri" w:hAnsi="Calibri" w:cs="Calibri"/>
          <w:u w:val="single"/>
          <w:lang w:val="es-GT"/>
        </w:rPr>
        <w:t xml:space="preserve">Definición de los </w:t>
      </w:r>
      <w:r w:rsidRPr="001F44D1">
        <w:rPr>
          <w:rFonts w:ascii="Calibri" w:hAnsi="Calibri" w:cs="Calibri"/>
          <w:u w:val="single"/>
          <w:lang w:val="es-GT"/>
        </w:rPr>
        <w:t xml:space="preserve">principales Aspectos Socio-Ambientales (ASA): </w:t>
      </w:r>
      <w:r w:rsidRPr="001F44D1">
        <w:rPr>
          <w:rFonts w:ascii="Calibri" w:hAnsi="Calibri" w:cs="Calibri"/>
          <w:lang w:val="es-GT"/>
        </w:rPr>
        <w:t>A partir del análisis del contexto nacional actual</w:t>
      </w:r>
      <w:r>
        <w:rPr>
          <w:rFonts w:ascii="Calibri" w:hAnsi="Calibri" w:cs="Calibri"/>
          <w:lang w:val="es-GT"/>
        </w:rPr>
        <w:t>,</w:t>
      </w:r>
      <w:r w:rsidRPr="001F44D1">
        <w:rPr>
          <w:rFonts w:ascii="Calibri" w:hAnsi="Calibri" w:cs="Calibri"/>
          <w:lang w:val="es-GT"/>
        </w:rPr>
        <w:t xml:space="preserve"> y con base en el marco analítico del sistema socio-ecológico, se identificaron los principales aspectos de la problemática que caracteriza al ambiente natural de Guatemala. Se analizaron las actividades que directamente causan los problemas identificados, y cuáles son los actores responsables de estas actividades. Se </w:t>
      </w:r>
      <w:r>
        <w:rPr>
          <w:rFonts w:ascii="Calibri" w:hAnsi="Calibri" w:cs="Calibri"/>
          <w:lang w:val="es-GT"/>
        </w:rPr>
        <w:t>enfatiza en el</w:t>
      </w:r>
      <w:r w:rsidRPr="001F44D1">
        <w:rPr>
          <w:rFonts w:ascii="Calibri" w:hAnsi="Calibri" w:cs="Calibri"/>
          <w:lang w:val="es-GT"/>
        </w:rPr>
        <w:t xml:space="preserve"> nivel de los segmentos de pequeños productores agropecuarios en que se centra el Objetivo Estratégico. Esta es una e</w:t>
      </w:r>
      <w:r>
        <w:rPr>
          <w:rFonts w:ascii="Calibri" w:hAnsi="Calibri" w:cs="Calibri"/>
          <w:lang w:val="es-GT"/>
        </w:rPr>
        <w:t>tapa de alta importancia en el</w:t>
      </w:r>
      <w:r w:rsidRPr="001F44D1">
        <w:rPr>
          <w:rFonts w:ascii="Calibri" w:hAnsi="Calibri" w:cs="Calibri"/>
          <w:lang w:val="es-GT"/>
        </w:rPr>
        <w:t xml:space="preserve"> proceso de análisis estratégico</w:t>
      </w:r>
      <w:r>
        <w:rPr>
          <w:rFonts w:ascii="Calibri" w:hAnsi="Calibri" w:cs="Calibri"/>
          <w:lang w:val="es-GT"/>
        </w:rPr>
        <w:t xml:space="preserve"> pues, junto con el </w:t>
      </w:r>
      <w:r w:rsidRPr="001F44D1">
        <w:rPr>
          <w:rFonts w:ascii="Calibri" w:hAnsi="Calibri" w:cs="Calibri"/>
          <w:lang w:val="es-GT"/>
        </w:rPr>
        <w:t xml:space="preserve">MRE y </w:t>
      </w:r>
      <w:r>
        <w:rPr>
          <w:rFonts w:ascii="Calibri" w:hAnsi="Calibri" w:cs="Calibri"/>
          <w:lang w:val="es-GT"/>
        </w:rPr>
        <w:t xml:space="preserve">las </w:t>
      </w:r>
      <w:r w:rsidRPr="001F44D1">
        <w:rPr>
          <w:rFonts w:ascii="Calibri" w:hAnsi="Calibri" w:cs="Calibri"/>
          <w:lang w:val="es-GT"/>
        </w:rPr>
        <w:t>CE, constituyen la base para la identificación de los Factores Críticos para la Decisió</w:t>
      </w:r>
      <w:r w:rsidR="007A6739">
        <w:rPr>
          <w:rFonts w:ascii="Calibri" w:hAnsi="Calibri" w:cs="Calibri"/>
          <w:lang w:val="es-GT"/>
        </w:rPr>
        <w:t>n (FCD), a partir de los cuales</w:t>
      </w:r>
      <w:r w:rsidRPr="001F44D1">
        <w:rPr>
          <w:rFonts w:ascii="Calibri" w:hAnsi="Calibri" w:cs="Calibri"/>
          <w:lang w:val="es-GT"/>
        </w:rPr>
        <w:t xml:space="preserve"> se formulan recomendaciones para el diseño del objeto de evaluación. </w:t>
      </w:r>
    </w:p>
    <w:p w:rsidR="005265B8" w:rsidRPr="001F44D1" w:rsidRDefault="005265B8" w:rsidP="005265B8">
      <w:pPr>
        <w:jc w:val="both"/>
        <w:rPr>
          <w:rFonts w:ascii="Calibri" w:hAnsi="Calibri" w:cs="Calibri"/>
          <w:lang w:val="es-GT"/>
        </w:rPr>
      </w:pPr>
    </w:p>
    <w:p w:rsidR="005265B8" w:rsidRDefault="005265B8" w:rsidP="005265B8">
      <w:pPr>
        <w:jc w:val="both"/>
        <w:rPr>
          <w:rFonts w:ascii="Calibri" w:hAnsi="Calibri" w:cs="Calibri"/>
          <w:lang w:val="es-GT"/>
        </w:rPr>
      </w:pPr>
      <w:r w:rsidRPr="001F44D1">
        <w:rPr>
          <w:rFonts w:ascii="Calibri" w:hAnsi="Calibri" w:cs="Calibri"/>
          <w:u w:val="single"/>
          <w:lang w:val="es-GT"/>
        </w:rPr>
        <w:t xml:space="preserve">Identificación de los Factores Críticos </w:t>
      </w:r>
      <w:r w:rsidRPr="009E3776">
        <w:rPr>
          <w:rFonts w:ascii="Calibri" w:hAnsi="Calibri" w:cs="Calibri"/>
          <w:u w:val="single"/>
          <w:lang w:val="es-GT"/>
        </w:rPr>
        <w:t>para la Decisión (FCD)</w:t>
      </w:r>
      <w:r>
        <w:rPr>
          <w:rFonts w:ascii="Calibri" w:hAnsi="Calibri" w:cs="Calibri"/>
          <w:lang w:val="es-GT"/>
        </w:rPr>
        <w:t xml:space="preserve">: </w:t>
      </w:r>
      <w:r w:rsidRPr="009E3776">
        <w:rPr>
          <w:rFonts w:ascii="Calibri" w:hAnsi="Calibri" w:cs="Calibri"/>
          <w:lang w:val="es-GT"/>
        </w:rPr>
        <w:t xml:space="preserve">son temas integradores que se </w:t>
      </w:r>
      <w:r>
        <w:rPr>
          <w:rFonts w:ascii="Calibri" w:hAnsi="Calibri" w:cs="Calibri"/>
          <w:lang w:val="es-GT"/>
        </w:rPr>
        <w:t>identifican a partir de la relación entre</w:t>
      </w:r>
      <w:r w:rsidRPr="009E3776">
        <w:rPr>
          <w:rFonts w:ascii="Calibri" w:hAnsi="Calibri" w:cs="Calibri"/>
          <w:lang w:val="es-GT"/>
        </w:rPr>
        <w:t xml:space="preserve"> los lineamientos del Marco de Referencia Estratégico (MRE), las Cuestiones Estratégicas (CE) del objeto de evaluación y los Aspectos Socio-Ambientales (ASA). </w:t>
      </w:r>
      <w:r>
        <w:rPr>
          <w:rFonts w:ascii="Calibri" w:hAnsi="Calibri" w:cs="Calibri"/>
          <w:lang w:val="es-GT"/>
        </w:rPr>
        <w:t>S</w:t>
      </w:r>
      <w:r w:rsidRPr="009E3776">
        <w:rPr>
          <w:rFonts w:ascii="Calibri" w:hAnsi="Calibri" w:cs="Calibri"/>
          <w:lang w:val="es-GT"/>
        </w:rPr>
        <w:t>on el eje alrededor del cual se realizan los análisis de riesgos, impactos y oportunidades de las estrategias a ser incluidas en el objeto de evaluación.</w:t>
      </w:r>
      <w:r w:rsidR="00141A70">
        <w:rPr>
          <w:rFonts w:ascii="Calibri" w:hAnsi="Calibri" w:cs="Calibri"/>
          <w:lang w:val="es-GT"/>
        </w:rPr>
        <w:t xml:space="preserve"> </w:t>
      </w:r>
      <w:r>
        <w:rPr>
          <w:rFonts w:ascii="Calibri" w:hAnsi="Calibri" w:cs="Calibri"/>
          <w:lang w:val="es-GT"/>
        </w:rPr>
        <w:t>Los FCD identificados son: i) R</w:t>
      </w:r>
      <w:r w:rsidRPr="00A50CEE">
        <w:rPr>
          <w:rFonts w:ascii="Calibri" w:hAnsi="Calibri" w:cs="Calibri"/>
          <w:lang w:val="es-GT"/>
        </w:rPr>
        <w:t>ecursos naturales estr</w:t>
      </w:r>
      <w:r>
        <w:rPr>
          <w:rFonts w:ascii="Calibri" w:hAnsi="Calibri" w:cs="Calibri"/>
          <w:lang w:val="es-GT"/>
        </w:rPr>
        <w:t xml:space="preserve">atégicos (agua, suelo y bosque); ii) Productividad rural campesina; iii) </w:t>
      </w:r>
      <w:r w:rsidRPr="00A50CEE">
        <w:rPr>
          <w:rFonts w:ascii="Calibri" w:hAnsi="Calibri" w:cs="Calibri"/>
          <w:lang w:val="es-GT"/>
        </w:rPr>
        <w:t>Segu</w:t>
      </w:r>
      <w:r>
        <w:rPr>
          <w:rFonts w:ascii="Calibri" w:hAnsi="Calibri" w:cs="Calibri"/>
          <w:lang w:val="es-GT"/>
        </w:rPr>
        <w:t xml:space="preserve">ridad alimentaria y nutricional; iv) </w:t>
      </w:r>
      <w:r w:rsidRPr="00A50CEE">
        <w:rPr>
          <w:rFonts w:ascii="Calibri" w:hAnsi="Calibri" w:cs="Calibri"/>
          <w:lang w:val="es-GT"/>
        </w:rPr>
        <w:t>Vulnerabilid</w:t>
      </w:r>
      <w:r>
        <w:rPr>
          <w:rFonts w:ascii="Calibri" w:hAnsi="Calibri" w:cs="Calibri"/>
          <w:lang w:val="es-GT"/>
        </w:rPr>
        <w:t xml:space="preserve">ad sistémica y cambio climático; y v) </w:t>
      </w:r>
      <w:r w:rsidRPr="00A50CEE">
        <w:rPr>
          <w:rFonts w:ascii="Calibri" w:hAnsi="Calibri" w:cs="Calibri"/>
          <w:lang w:val="es-GT"/>
        </w:rPr>
        <w:t xml:space="preserve">Desarrollo </w:t>
      </w:r>
      <w:r>
        <w:rPr>
          <w:rFonts w:ascii="Calibri" w:hAnsi="Calibri" w:cs="Calibri"/>
          <w:lang w:val="es-GT"/>
        </w:rPr>
        <w:t>institucional.</w:t>
      </w:r>
    </w:p>
    <w:p w:rsidR="005265B8" w:rsidRDefault="005265B8" w:rsidP="005265B8">
      <w:pPr>
        <w:jc w:val="both"/>
        <w:rPr>
          <w:rFonts w:ascii="Calibri" w:hAnsi="Calibri" w:cs="Calibri"/>
          <w:lang w:val="es-GT"/>
        </w:rPr>
      </w:pPr>
    </w:p>
    <w:p w:rsidR="005265B8" w:rsidRPr="005E171D" w:rsidRDefault="005265B8" w:rsidP="005265B8">
      <w:pPr>
        <w:jc w:val="both"/>
        <w:rPr>
          <w:rFonts w:ascii="Calibri" w:hAnsi="Calibri" w:cs="Calibri"/>
          <w:u w:val="single"/>
          <w:lang w:val="es-GT"/>
        </w:rPr>
      </w:pPr>
      <w:r w:rsidRPr="005E171D">
        <w:rPr>
          <w:rFonts w:ascii="Calibri" w:hAnsi="Calibri" w:cs="Calibri"/>
          <w:u w:val="single"/>
          <w:lang w:val="es-GT"/>
        </w:rPr>
        <w:t>Identificación y evaluación de Opciones Estratégicas</w:t>
      </w:r>
      <w:r>
        <w:rPr>
          <w:rFonts w:ascii="Calibri" w:hAnsi="Calibri" w:cs="Calibri"/>
          <w:u w:val="single"/>
          <w:lang w:val="es-GT"/>
        </w:rPr>
        <w:t>:</w:t>
      </w:r>
      <w:r>
        <w:rPr>
          <w:rFonts w:ascii="Calibri" w:hAnsi="Calibri" w:cs="Calibri"/>
          <w:lang w:val="es-GT"/>
        </w:rPr>
        <w:t xml:space="preserve"> Estas</w:t>
      </w:r>
      <w:r w:rsidRPr="00EE5E00">
        <w:rPr>
          <w:rFonts w:ascii="Calibri" w:hAnsi="Calibri" w:cs="Calibri"/>
          <w:lang w:val="es-GT"/>
        </w:rPr>
        <w:t xml:space="preserve"> </w:t>
      </w:r>
      <w:r>
        <w:rPr>
          <w:rFonts w:ascii="Calibri" w:hAnsi="Calibri" w:cs="Calibri"/>
          <w:lang w:val="es-GT"/>
        </w:rPr>
        <w:t xml:space="preserve">se identifican y justifican en respuesta a los hallazgos que surgen de la evaluación de los FCD. Se refieren a medidas destinadas a prevenir y/o mitigar el efecto negativo o potenciar el efecto positivo de los FCD con relación al desarrollo rural integral. Esta se obtuvo </w:t>
      </w:r>
      <w:r w:rsidR="007A6739">
        <w:rPr>
          <w:rFonts w:ascii="Calibri" w:hAnsi="Calibri" w:cs="Calibri"/>
          <w:lang w:val="es-GT"/>
        </w:rPr>
        <w:t xml:space="preserve">a partir </w:t>
      </w:r>
      <w:r>
        <w:rPr>
          <w:rFonts w:ascii="Calibri" w:hAnsi="Calibri" w:cs="Calibri"/>
          <w:lang w:val="es-GT"/>
        </w:rPr>
        <w:t xml:space="preserve">de la confrontación de </w:t>
      </w:r>
      <w:r w:rsidRPr="00EE5E00">
        <w:rPr>
          <w:rFonts w:ascii="Calibri" w:hAnsi="Calibri" w:cs="Calibri"/>
          <w:lang w:val="es-GT"/>
        </w:rPr>
        <w:t>los indicadores de</w:t>
      </w:r>
      <w:r>
        <w:rPr>
          <w:rFonts w:ascii="Calibri" w:hAnsi="Calibri" w:cs="Calibri"/>
          <w:lang w:val="es-GT"/>
        </w:rPr>
        <w:t xml:space="preserve"> evaluación de</w:t>
      </w:r>
      <w:r w:rsidRPr="00EE5E00">
        <w:rPr>
          <w:rFonts w:ascii="Calibri" w:hAnsi="Calibri" w:cs="Calibri"/>
          <w:lang w:val="es-GT"/>
        </w:rPr>
        <w:t xml:space="preserve"> los FCD</w:t>
      </w:r>
      <w:r>
        <w:rPr>
          <w:rFonts w:ascii="Calibri" w:hAnsi="Calibri" w:cs="Calibri"/>
          <w:lang w:val="es-GT"/>
        </w:rPr>
        <w:t xml:space="preserve"> con las opciones propuestas. Las opciones estratégicas deben contribuir al cumplimiento de los </w:t>
      </w:r>
      <w:r w:rsidR="000156F9">
        <w:rPr>
          <w:rFonts w:ascii="Calibri" w:hAnsi="Calibri" w:cs="Calibri"/>
          <w:lang w:val="es-GT"/>
        </w:rPr>
        <w:t>Objetivos Estratégicos analizado</w:t>
      </w:r>
      <w:r>
        <w:rPr>
          <w:rFonts w:ascii="Calibri" w:hAnsi="Calibri" w:cs="Calibri"/>
          <w:lang w:val="es-GT"/>
        </w:rPr>
        <w:t>s, y son:</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Fomento del manejo forestal sostenible</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Promoción de la silvicultura de plantaciones</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Promoción de la eficiencia dendroenergética</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Restauración de las tierras de importancia para captación y regulación hídrica</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Construcción de plantas para el tratamiento de aguas residuales locales</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Promoción del uso de sistemas agroforestales</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Promoción de la conservación de suelos agrícolas</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Introducción y rehabilitación de caminos rurales</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Construcción de sistemas de riego rural</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Encadenamientos productivos y servicios de apoyo a la comercialización</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Investigación y desarrollo tecnológico agrícola</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Asistencia técnica y extensión agrícola</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lastRenderedPageBreak/>
        <w:t>Planes de gestión de riesgo local</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Generación de información climática local</w:t>
      </w:r>
      <w:r>
        <w:rPr>
          <w:rFonts w:ascii="Calibri" w:hAnsi="Calibri" w:cs="Calibri"/>
          <w:lang w:val="es-GT"/>
        </w:rPr>
        <w:t>,</w:t>
      </w:r>
    </w:p>
    <w:p w:rsidR="005265B8" w:rsidRPr="005E171D" w:rsidRDefault="005265B8" w:rsidP="00103F11">
      <w:pPr>
        <w:numPr>
          <w:ilvl w:val="0"/>
          <w:numId w:val="57"/>
        </w:numPr>
        <w:spacing w:before="20" w:after="20"/>
        <w:rPr>
          <w:rFonts w:ascii="Calibri" w:hAnsi="Calibri" w:cs="Calibri"/>
          <w:lang w:val="es-GT"/>
        </w:rPr>
      </w:pPr>
      <w:r w:rsidRPr="005E171D">
        <w:rPr>
          <w:rFonts w:ascii="Calibri" w:hAnsi="Calibri" w:cs="Calibri"/>
          <w:lang w:val="es-GT"/>
        </w:rPr>
        <w:t>Promoción de la asociación de los pequeños y medianos productores rurales</w:t>
      </w:r>
      <w:r w:rsidR="000156F9">
        <w:rPr>
          <w:rFonts w:ascii="Calibri" w:hAnsi="Calibri" w:cs="Calibri"/>
          <w:lang w:val="es-GT"/>
        </w:rPr>
        <w:t>, e</w:t>
      </w:r>
    </w:p>
    <w:p w:rsidR="005265B8" w:rsidRPr="005E171D" w:rsidRDefault="005265B8" w:rsidP="00103F11">
      <w:pPr>
        <w:numPr>
          <w:ilvl w:val="0"/>
          <w:numId w:val="57"/>
        </w:numPr>
        <w:spacing w:before="20" w:after="20"/>
        <w:rPr>
          <w:rFonts w:ascii="Calibri" w:hAnsi="Calibri" w:cs="Calibri"/>
          <w:lang w:val="es-GT"/>
        </w:rPr>
      </w:pPr>
      <w:r>
        <w:rPr>
          <w:rFonts w:ascii="Calibri" w:hAnsi="Calibri" w:cs="Calibri"/>
          <w:lang w:val="es-GT"/>
        </w:rPr>
        <w:t>Impulso al diá</w:t>
      </w:r>
      <w:r w:rsidRPr="005E171D">
        <w:rPr>
          <w:rFonts w:ascii="Calibri" w:hAnsi="Calibri" w:cs="Calibri"/>
          <w:lang w:val="es-GT"/>
        </w:rPr>
        <w:t>logo sectorial y de políticas de los recursos hídricos</w:t>
      </w:r>
      <w:r>
        <w:rPr>
          <w:rFonts w:ascii="Calibri" w:hAnsi="Calibri" w:cs="Calibri"/>
          <w:lang w:val="es-GT"/>
        </w:rPr>
        <w:t>.</w:t>
      </w:r>
    </w:p>
    <w:p w:rsidR="005265B8" w:rsidRDefault="005265B8" w:rsidP="005265B8">
      <w:pPr>
        <w:jc w:val="both"/>
        <w:rPr>
          <w:rFonts w:ascii="Calibri" w:hAnsi="Calibri" w:cs="Calibri"/>
          <w:lang w:val="es-GT"/>
        </w:rPr>
      </w:pPr>
    </w:p>
    <w:p w:rsidR="005265B8" w:rsidRDefault="005265B8" w:rsidP="005265B8">
      <w:pPr>
        <w:jc w:val="both"/>
        <w:rPr>
          <w:rFonts w:ascii="Calibri" w:hAnsi="Calibri" w:cs="Calibri"/>
          <w:lang w:val="es-GT"/>
        </w:rPr>
      </w:pPr>
      <w:r>
        <w:rPr>
          <w:rFonts w:ascii="Calibri" w:hAnsi="Calibri" w:cs="Calibri"/>
          <w:lang w:val="es-GT"/>
        </w:rPr>
        <w:t>Como parte del análisis de las opciones estratégicas se identificaron los potenciales riesgos e impactos para la implementación de cada una de ellas, así como de las oportunidades de contribución al logro del objetivo estratégico.</w:t>
      </w:r>
    </w:p>
    <w:p w:rsidR="005265B8" w:rsidRPr="009C75D4" w:rsidRDefault="005265B8" w:rsidP="005265B8">
      <w:pPr>
        <w:jc w:val="both"/>
        <w:rPr>
          <w:rFonts w:ascii="Lucida Sans Unicode" w:hAnsi="Lucida Sans Unicode" w:cs="Lucida Sans Unicode"/>
          <w:lang w:val="es-GT"/>
        </w:rPr>
      </w:pPr>
    </w:p>
    <w:p w:rsidR="005265B8" w:rsidRPr="00FF33C1" w:rsidRDefault="005265B8" w:rsidP="005265B8">
      <w:pPr>
        <w:jc w:val="both"/>
        <w:rPr>
          <w:rFonts w:ascii="Calibri" w:hAnsi="Calibri" w:cs="Calibri"/>
          <w:b/>
          <w:i/>
          <w:color w:val="365F91"/>
          <w:lang w:val="es-GT" w:eastAsia="es-GT"/>
        </w:rPr>
      </w:pPr>
      <w:r w:rsidRPr="00FF33C1">
        <w:rPr>
          <w:rFonts w:ascii="Calibri" w:hAnsi="Calibri" w:cs="Calibri"/>
          <w:b/>
          <w:i/>
          <w:color w:val="365F91"/>
          <w:lang w:val="es-GT" w:eastAsia="es-GT"/>
        </w:rPr>
        <w:t>Formulación de directrices de sostenibilidad ambiental</w:t>
      </w:r>
    </w:p>
    <w:p w:rsidR="005265B8" w:rsidRDefault="005265B8" w:rsidP="005265B8">
      <w:pPr>
        <w:jc w:val="both"/>
        <w:rPr>
          <w:rFonts w:ascii="Calibri" w:hAnsi="Calibri" w:cs="Calibri"/>
          <w:lang w:val="es-GT"/>
        </w:rPr>
      </w:pPr>
    </w:p>
    <w:p w:rsidR="005265B8" w:rsidRDefault="005265B8" w:rsidP="005265B8">
      <w:pPr>
        <w:jc w:val="both"/>
        <w:rPr>
          <w:rFonts w:ascii="Calibri" w:hAnsi="Calibri" w:cs="Calibri"/>
          <w:lang w:val="es-GT"/>
        </w:rPr>
      </w:pPr>
      <w:r>
        <w:rPr>
          <w:rFonts w:ascii="Calibri" w:hAnsi="Calibri" w:cs="Calibri"/>
          <w:lang w:val="es-GT"/>
        </w:rPr>
        <w:t>Ninguna</w:t>
      </w:r>
      <w:r w:rsidRPr="001A01AB">
        <w:rPr>
          <w:rFonts w:ascii="Calibri" w:hAnsi="Calibri" w:cs="Calibri"/>
          <w:lang w:val="es-GT"/>
        </w:rPr>
        <w:t xml:space="preserve"> inversión pública, privada o mixta en el territorio nacional </w:t>
      </w:r>
      <w:r>
        <w:rPr>
          <w:rFonts w:ascii="Calibri" w:hAnsi="Calibri" w:cs="Calibri"/>
          <w:lang w:val="es-GT"/>
        </w:rPr>
        <w:t>debe</w:t>
      </w:r>
      <w:r w:rsidRPr="001A01AB">
        <w:rPr>
          <w:rFonts w:ascii="Calibri" w:hAnsi="Calibri" w:cs="Calibri"/>
          <w:lang w:val="es-GT"/>
        </w:rPr>
        <w:t xml:space="preserve"> constituirse en impulsora de nuevos </w:t>
      </w:r>
      <w:r>
        <w:rPr>
          <w:rFonts w:ascii="Calibri" w:hAnsi="Calibri" w:cs="Calibri"/>
          <w:lang w:val="es-GT"/>
        </w:rPr>
        <w:t xml:space="preserve">o mayores </w:t>
      </w:r>
      <w:r w:rsidRPr="001A01AB">
        <w:rPr>
          <w:rFonts w:ascii="Calibri" w:hAnsi="Calibri" w:cs="Calibri"/>
          <w:lang w:val="es-GT"/>
        </w:rPr>
        <w:t xml:space="preserve">desbalances socioecológicos. En este sentido, </w:t>
      </w:r>
      <w:r>
        <w:rPr>
          <w:rFonts w:ascii="Calibri" w:hAnsi="Calibri" w:cs="Calibri"/>
          <w:lang w:val="es-GT"/>
        </w:rPr>
        <w:t xml:space="preserve">las inversiones de FIDA en Guatemala </w:t>
      </w:r>
      <w:r w:rsidRPr="001A01AB">
        <w:rPr>
          <w:rFonts w:ascii="Calibri" w:hAnsi="Calibri" w:cs="Calibri"/>
          <w:lang w:val="es-GT"/>
        </w:rPr>
        <w:t xml:space="preserve">deben estar sujetas a la observancia de </w:t>
      </w:r>
      <w:r w:rsidRPr="001A01AB">
        <w:rPr>
          <w:rFonts w:ascii="Calibri" w:hAnsi="Calibri" w:cs="Calibri"/>
          <w:b/>
          <w:bCs/>
          <w:i/>
          <w:iCs/>
          <w:lang w:val="es-GT"/>
        </w:rPr>
        <w:t xml:space="preserve">principios rectores </w:t>
      </w:r>
      <w:r w:rsidRPr="001A01AB">
        <w:rPr>
          <w:rFonts w:ascii="Calibri" w:hAnsi="Calibri" w:cs="Calibri"/>
          <w:lang w:val="es-GT"/>
        </w:rPr>
        <w:t xml:space="preserve">y </w:t>
      </w:r>
      <w:r w:rsidRPr="001A01AB">
        <w:rPr>
          <w:rFonts w:ascii="Calibri" w:hAnsi="Calibri" w:cs="Calibri"/>
          <w:b/>
          <w:bCs/>
          <w:i/>
          <w:iCs/>
          <w:lang w:val="es-GT"/>
        </w:rPr>
        <w:t xml:space="preserve">criterios operativos </w:t>
      </w:r>
      <w:r w:rsidRPr="001A01AB">
        <w:rPr>
          <w:rFonts w:ascii="Calibri" w:hAnsi="Calibri" w:cs="Calibri"/>
          <w:lang w:val="es-GT"/>
        </w:rPr>
        <w:t>en materia ambiental.</w:t>
      </w:r>
    </w:p>
    <w:p w:rsidR="005265B8" w:rsidRDefault="005265B8" w:rsidP="005265B8">
      <w:pPr>
        <w:jc w:val="both"/>
        <w:rPr>
          <w:rFonts w:ascii="Calibri" w:hAnsi="Calibri" w:cs="Calibri"/>
          <w:lang w:val="es-GT"/>
        </w:rPr>
      </w:pPr>
    </w:p>
    <w:p w:rsidR="005265B8" w:rsidRDefault="005265B8" w:rsidP="005265B8">
      <w:pPr>
        <w:jc w:val="both"/>
        <w:rPr>
          <w:rFonts w:ascii="Calibri" w:hAnsi="Calibri" w:cs="Calibri"/>
          <w:lang w:val="es-GT"/>
        </w:rPr>
      </w:pPr>
      <w:r>
        <w:rPr>
          <w:rFonts w:ascii="Calibri" w:hAnsi="Calibri" w:cs="Calibri"/>
          <w:lang w:val="es-GT"/>
        </w:rPr>
        <w:t>L</w:t>
      </w:r>
      <w:r w:rsidRPr="00AA746A">
        <w:rPr>
          <w:rFonts w:ascii="Calibri" w:hAnsi="Calibri" w:cs="Calibri"/>
          <w:lang w:val="es-GT"/>
        </w:rPr>
        <w:t xml:space="preserve">os </w:t>
      </w:r>
      <w:r w:rsidRPr="00AA746A">
        <w:rPr>
          <w:rFonts w:ascii="Calibri" w:hAnsi="Calibri" w:cs="Calibri"/>
          <w:b/>
          <w:i/>
          <w:lang w:val="es-GT"/>
        </w:rPr>
        <w:t>principios</w:t>
      </w:r>
      <w:r w:rsidRPr="00AA746A">
        <w:rPr>
          <w:rFonts w:ascii="Calibri" w:hAnsi="Calibri" w:cs="Calibri"/>
          <w:lang w:val="es-GT"/>
        </w:rPr>
        <w:t xml:space="preserve"> propuestos </w:t>
      </w:r>
      <w:r>
        <w:rPr>
          <w:rFonts w:ascii="Calibri" w:hAnsi="Calibri" w:cs="Calibri"/>
          <w:lang w:val="es-GT"/>
        </w:rPr>
        <w:t xml:space="preserve">para la presente EAE se basan en que: a) </w:t>
      </w:r>
      <w:r w:rsidRPr="001A01AB">
        <w:rPr>
          <w:rFonts w:ascii="Calibri" w:hAnsi="Calibri" w:cs="Calibri"/>
          <w:lang w:val="es-GT"/>
        </w:rPr>
        <w:t xml:space="preserve">Las tasas de captura, extracción o cosecha de bienes naturales deben ser menores a la tasa de </w:t>
      </w:r>
      <w:r>
        <w:rPr>
          <w:rFonts w:ascii="Calibri" w:hAnsi="Calibri" w:cs="Calibri"/>
          <w:lang w:val="es-GT"/>
        </w:rPr>
        <w:t xml:space="preserve">regeneración biológica de éstos; b) </w:t>
      </w:r>
      <w:r w:rsidRPr="001A01AB">
        <w:rPr>
          <w:rFonts w:ascii="Calibri" w:hAnsi="Calibri" w:cs="Calibri"/>
          <w:lang w:val="es-GT"/>
        </w:rPr>
        <w:t>La generación de residuos y emisiones debe ser menor a la capacidad de reciclaje o tratamiento</w:t>
      </w:r>
      <w:r>
        <w:rPr>
          <w:rFonts w:ascii="Calibri" w:hAnsi="Calibri" w:cs="Calibri"/>
          <w:lang w:val="es-GT"/>
        </w:rPr>
        <w:t xml:space="preserve"> de estos,</w:t>
      </w:r>
      <w:r w:rsidRPr="001A01AB">
        <w:rPr>
          <w:rFonts w:ascii="Calibri" w:hAnsi="Calibri" w:cs="Calibri"/>
          <w:lang w:val="es-GT"/>
        </w:rPr>
        <w:t xml:space="preserve"> más la capacidad de asi</w:t>
      </w:r>
      <w:r>
        <w:rPr>
          <w:rFonts w:ascii="Calibri" w:hAnsi="Calibri" w:cs="Calibri"/>
          <w:lang w:val="es-GT"/>
        </w:rPr>
        <w:t>milación del medio natural; c) L</w:t>
      </w:r>
      <w:r w:rsidRPr="001A01AB">
        <w:rPr>
          <w:rFonts w:ascii="Calibri" w:hAnsi="Calibri" w:cs="Calibri"/>
          <w:lang w:val="es-GT"/>
        </w:rPr>
        <w:t>os bienes naturales endémicos, protegidos, en peligro de e</w:t>
      </w:r>
      <w:r>
        <w:rPr>
          <w:rFonts w:ascii="Calibri" w:hAnsi="Calibri" w:cs="Calibri"/>
          <w:lang w:val="es-GT"/>
        </w:rPr>
        <w:t>xtinción o con baja resiliencia</w:t>
      </w:r>
      <w:r w:rsidRPr="001A01AB">
        <w:rPr>
          <w:rFonts w:ascii="Calibri" w:hAnsi="Calibri" w:cs="Calibri"/>
          <w:lang w:val="es-GT"/>
        </w:rPr>
        <w:t>, no tienen sustituto</w:t>
      </w:r>
      <w:r>
        <w:rPr>
          <w:rFonts w:ascii="Calibri" w:hAnsi="Calibri" w:cs="Calibri"/>
          <w:lang w:val="es-GT"/>
        </w:rPr>
        <w:t>,</w:t>
      </w:r>
      <w:r w:rsidRPr="001A01AB">
        <w:rPr>
          <w:rFonts w:ascii="Calibri" w:hAnsi="Calibri" w:cs="Calibri"/>
          <w:lang w:val="es-GT"/>
        </w:rPr>
        <w:t xml:space="preserve"> y por lo tanto, no deben estar sujetos al aprovechamie</w:t>
      </w:r>
      <w:r>
        <w:rPr>
          <w:rFonts w:ascii="Calibri" w:hAnsi="Calibri" w:cs="Calibri"/>
          <w:lang w:val="es-GT"/>
        </w:rPr>
        <w:t>nto comercial; d) El uso de un bien</w:t>
      </w:r>
      <w:r w:rsidRPr="001A01AB">
        <w:rPr>
          <w:rFonts w:ascii="Calibri" w:hAnsi="Calibri" w:cs="Calibri"/>
          <w:lang w:val="es-GT"/>
        </w:rPr>
        <w:t xml:space="preserve"> no debe basarse</w:t>
      </w:r>
      <w:r>
        <w:rPr>
          <w:rFonts w:ascii="Calibri" w:hAnsi="Calibri" w:cs="Calibri"/>
          <w:lang w:val="es-GT"/>
        </w:rPr>
        <w:t xml:space="preserve"> solamente</w:t>
      </w:r>
      <w:r w:rsidRPr="001A01AB">
        <w:rPr>
          <w:rFonts w:ascii="Calibri" w:hAnsi="Calibri" w:cs="Calibri"/>
          <w:lang w:val="es-GT"/>
        </w:rPr>
        <w:t xml:space="preserve"> en la relación beneficio-costo, sino también en los valores ecosistémicos (alimento, </w:t>
      </w:r>
      <w:r>
        <w:rPr>
          <w:rFonts w:ascii="Calibri" w:hAnsi="Calibri" w:cs="Calibri"/>
          <w:lang w:val="es-GT"/>
        </w:rPr>
        <w:t>medicina</w:t>
      </w:r>
      <w:r w:rsidRPr="001A01AB">
        <w:rPr>
          <w:rFonts w:ascii="Calibri" w:hAnsi="Calibri" w:cs="Calibri"/>
          <w:lang w:val="es-GT"/>
        </w:rPr>
        <w:t xml:space="preserve">, otros), </w:t>
      </w:r>
      <w:r>
        <w:rPr>
          <w:rFonts w:ascii="Calibri" w:hAnsi="Calibri" w:cs="Calibri"/>
          <w:lang w:val="es-GT"/>
        </w:rPr>
        <w:t xml:space="preserve">de </w:t>
      </w:r>
      <w:r w:rsidRPr="001A01AB">
        <w:rPr>
          <w:rFonts w:ascii="Calibri" w:hAnsi="Calibri" w:cs="Calibri"/>
          <w:lang w:val="es-GT"/>
        </w:rPr>
        <w:t xml:space="preserve">regulación (clima, agua, derrumbes, </w:t>
      </w:r>
      <w:r>
        <w:rPr>
          <w:rFonts w:ascii="Calibri" w:hAnsi="Calibri" w:cs="Calibri"/>
          <w:lang w:val="es-GT"/>
        </w:rPr>
        <w:t>suelo</w:t>
      </w:r>
      <w:r w:rsidRPr="001A01AB">
        <w:rPr>
          <w:rFonts w:ascii="Calibri" w:hAnsi="Calibri" w:cs="Calibri"/>
          <w:lang w:val="es-GT"/>
        </w:rPr>
        <w:t>) y culturales (recreativos, religi</w:t>
      </w:r>
      <w:r>
        <w:rPr>
          <w:rFonts w:ascii="Calibri" w:hAnsi="Calibri" w:cs="Calibri"/>
          <w:lang w:val="es-GT"/>
        </w:rPr>
        <w:t>osos, conocimiento); e) Las</w:t>
      </w:r>
      <w:r w:rsidRPr="001A01AB">
        <w:rPr>
          <w:rFonts w:ascii="Calibri" w:hAnsi="Calibri" w:cs="Calibri"/>
          <w:lang w:val="es-GT"/>
        </w:rPr>
        <w:t xml:space="preserve"> inversiones </w:t>
      </w:r>
      <w:r>
        <w:rPr>
          <w:rFonts w:ascii="Calibri" w:hAnsi="Calibri" w:cs="Calibri"/>
          <w:lang w:val="es-GT"/>
        </w:rPr>
        <w:t>sean de</w:t>
      </w:r>
      <w:r w:rsidRPr="001A01AB">
        <w:rPr>
          <w:rFonts w:ascii="Calibri" w:hAnsi="Calibri" w:cs="Calibri"/>
          <w:lang w:val="es-GT"/>
        </w:rPr>
        <w:t xml:space="preserve"> menor intensidad en</w:t>
      </w:r>
      <w:r>
        <w:rPr>
          <w:rFonts w:ascii="Calibri" w:hAnsi="Calibri" w:cs="Calibri"/>
          <w:lang w:val="es-GT"/>
        </w:rPr>
        <w:t xml:space="preserve"> el uso de materiales y energía; y f) Se tenga</w:t>
      </w:r>
      <w:r w:rsidRPr="001A01AB">
        <w:rPr>
          <w:rFonts w:ascii="Calibri" w:hAnsi="Calibri" w:cs="Calibri"/>
          <w:lang w:val="es-GT"/>
        </w:rPr>
        <w:t xml:space="preserve"> precautoriedad de los impactos ambientales derivados de las potenciales intervenciones.</w:t>
      </w:r>
    </w:p>
    <w:p w:rsidR="005265B8" w:rsidRPr="001A01AB" w:rsidRDefault="005265B8" w:rsidP="005265B8">
      <w:pPr>
        <w:jc w:val="both"/>
        <w:rPr>
          <w:rFonts w:ascii="Calibri" w:hAnsi="Calibri" w:cs="Calibri"/>
          <w:lang w:val="es-GT"/>
        </w:rPr>
      </w:pPr>
    </w:p>
    <w:p w:rsidR="005265B8" w:rsidRDefault="005265B8" w:rsidP="005265B8">
      <w:pPr>
        <w:jc w:val="both"/>
        <w:rPr>
          <w:rFonts w:ascii="Calibri" w:hAnsi="Calibri" w:cs="Calibri"/>
          <w:lang w:val="es-GT"/>
        </w:rPr>
      </w:pPr>
      <w:r w:rsidRPr="0091081C">
        <w:rPr>
          <w:rFonts w:ascii="Calibri" w:hAnsi="Calibri" w:cs="Calibri"/>
          <w:lang w:val="es-GT"/>
        </w:rPr>
        <w:t>De igual manera</w:t>
      </w:r>
      <w:r>
        <w:rPr>
          <w:rFonts w:ascii="Calibri" w:hAnsi="Calibri" w:cs="Calibri"/>
          <w:lang w:val="es-GT"/>
        </w:rPr>
        <w:t>,</w:t>
      </w:r>
      <w:r w:rsidRPr="0091081C">
        <w:rPr>
          <w:rFonts w:ascii="Calibri" w:hAnsi="Calibri" w:cs="Calibri"/>
          <w:lang w:val="es-GT"/>
        </w:rPr>
        <w:t xml:space="preserve"> los </w:t>
      </w:r>
      <w:r w:rsidRPr="0091081C">
        <w:rPr>
          <w:rFonts w:ascii="Calibri" w:hAnsi="Calibri" w:cs="Calibri"/>
          <w:b/>
          <w:i/>
          <w:lang w:val="es-GT"/>
        </w:rPr>
        <w:t>criterios</w:t>
      </w:r>
      <w:r w:rsidRPr="0091081C">
        <w:rPr>
          <w:rFonts w:ascii="Calibri" w:hAnsi="Calibri" w:cs="Calibri"/>
          <w:lang w:val="es-GT"/>
        </w:rPr>
        <w:t xml:space="preserve"> operativos que considera la EAE se basan en:</w:t>
      </w:r>
    </w:p>
    <w:p w:rsidR="005265B8" w:rsidRPr="0091081C" w:rsidRDefault="005265B8" w:rsidP="005265B8">
      <w:pPr>
        <w:jc w:val="both"/>
        <w:rPr>
          <w:rFonts w:ascii="Calibri" w:hAnsi="Calibri" w:cs="Calibri"/>
          <w:lang w:val="es-GT"/>
        </w:rPr>
      </w:pPr>
    </w:p>
    <w:p w:rsidR="005265B8" w:rsidRPr="0091081C" w:rsidRDefault="005265B8" w:rsidP="00103F11">
      <w:pPr>
        <w:pStyle w:val="ListParagraph1"/>
        <w:numPr>
          <w:ilvl w:val="0"/>
          <w:numId w:val="58"/>
        </w:numPr>
        <w:spacing w:after="0" w:line="240" w:lineRule="auto"/>
        <w:ind w:left="426" w:hanging="426"/>
        <w:jc w:val="both"/>
        <w:rPr>
          <w:rFonts w:cs="Calibri"/>
          <w:sz w:val="24"/>
        </w:rPr>
      </w:pPr>
      <w:r w:rsidRPr="0091081C">
        <w:rPr>
          <w:rFonts w:cs="Calibri"/>
          <w:sz w:val="24"/>
        </w:rPr>
        <w:t>Áreas protegidas, de reserva y bosques naturales</w:t>
      </w:r>
      <w:r>
        <w:rPr>
          <w:rFonts w:cs="Calibri"/>
          <w:sz w:val="24"/>
        </w:rPr>
        <w:t>.</w:t>
      </w:r>
    </w:p>
    <w:p w:rsidR="005265B8" w:rsidRPr="0091081C" w:rsidRDefault="005265B8" w:rsidP="00103F11">
      <w:pPr>
        <w:pStyle w:val="ListParagraph1"/>
        <w:numPr>
          <w:ilvl w:val="0"/>
          <w:numId w:val="59"/>
        </w:numPr>
        <w:spacing w:after="0" w:line="240" w:lineRule="auto"/>
        <w:ind w:left="567"/>
        <w:jc w:val="both"/>
        <w:rPr>
          <w:rFonts w:cs="Calibri"/>
          <w:sz w:val="24"/>
        </w:rPr>
      </w:pPr>
      <w:r w:rsidRPr="0091081C">
        <w:rPr>
          <w:rFonts w:cs="Calibri"/>
          <w:sz w:val="24"/>
        </w:rPr>
        <w:t>Las inversiones deben respetar la condición establecida para todas las categorías de protección dentro del SIGAP.</w:t>
      </w:r>
      <w:r w:rsidR="00141A70">
        <w:rPr>
          <w:rFonts w:cs="Calibri"/>
          <w:sz w:val="24"/>
        </w:rPr>
        <w:t xml:space="preserve"> </w:t>
      </w:r>
      <w:r w:rsidRPr="0091081C">
        <w:rPr>
          <w:rFonts w:cs="Calibri"/>
          <w:sz w:val="24"/>
        </w:rPr>
        <w:t>La presencia actual de actividades incompatibles en estas zonas no debe constituirse en justificación para promoverlas y/o ampliarlas.</w:t>
      </w:r>
    </w:p>
    <w:p w:rsidR="005265B8" w:rsidRPr="0091081C" w:rsidRDefault="005265B8" w:rsidP="00103F11">
      <w:pPr>
        <w:pStyle w:val="ListParagraph1"/>
        <w:numPr>
          <w:ilvl w:val="0"/>
          <w:numId w:val="59"/>
        </w:numPr>
        <w:spacing w:after="0" w:line="240" w:lineRule="auto"/>
        <w:ind w:left="567"/>
        <w:jc w:val="both"/>
        <w:rPr>
          <w:rFonts w:cs="Calibri"/>
          <w:sz w:val="24"/>
        </w:rPr>
      </w:pPr>
      <w:r w:rsidRPr="0091081C">
        <w:rPr>
          <w:rFonts w:cs="Calibri"/>
          <w:sz w:val="24"/>
        </w:rPr>
        <w:t>Otras áreas de protección y reserva, que complementan al SIGAP (reservas privadas y corredores biológicos), deben ser respetadas y manejadas con regulación especial.</w:t>
      </w:r>
    </w:p>
    <w:p w:rsidR="005265B8" w:rsidRPr="0091081C" w:rsidRDefault="005265B8" w:rsidP="00103F11">
      <w:pPr>
        <w:pStyle w:val="ListParagraph1"/>
        <w:numPr>
          <w:ilvl w:val="0"/>
          <w:numId w:val="59"/>
        </w:numPr>
        <w:spacing w:after="0" w:line="240" w:lineRule="auto"/>
        <w:ind w:left="567" w:hanging="357"/>
        <w:jc w:val="both"/>
        <w:rPr>
          <w:rFonts w:cs="Calibri"/>
          <w:sz w:val="24"/>
        </w:rPr>
      </w:pPr>
      <w:r w:rsidRPr="0091081C">
        <w:rPr>
          <w:rFonts w:cs="Calibri"/>
          <w:sz w:val="24"/>
        </w:rPr>
        <w:t>Fuera del SIGAP, la permanencia del bosque deber ser prioritaria, principalmente en zonas de captación y regulación hidrológica y en</w:t>
      </w:r>
      <w:r>
        <w:rPr>
          <w:rFonts w:cs="Calibri"/>
          <w:sz w:val="24"/>
        </w:rPr>
        <w:t xml:space="preserve"> pendientes superiores a</w:t>
      </w:r>
      <w:r w:rsidRPr="0091081C">
        <w:rPr>
          <w:rFonts w:cs="Calibri"/>
          <w:sz w:val="24"/>
        </w:rPr>
        <w:t xml:space="preserve"> 45%. </w:t>
      </w:r>
      <w:r>
        <w:rPr>
          <w:rFonts w:cs="Calibri"/>
          <w:sz w:val="24"/>
        </w:rPr>
        <w:t>Só</w:t>
      </w:r>
      <w:r w:rsidRPr="0091081C">
        <w:rPr>
          <w:rFonts w:cs="Calibri"/>
          <w:sz w:val="24"/>
        </w:rPr>
        <w:t>lo aplican cambios de uso de la tierra</w:t>
      </w:r>
      <w:r>
        <w:rPr>
          <w:rFonts w:cs="Calibri"/>
          <w:sz w:val="24"/>
        </w:rPr>
        <w:t xml:space="preserve"> en situacio</w:t>
      </w:r>
      <w:r w:rsidRPr="0091081C">
        <w:rPr>
          <w:rFonts w:cs="Calibri"/>
          <w:sz w:val="24"/>
        </w:rPr>
        <w:t>n</w:t>
      </w:r>
      <w:r>
        <w:rPr>
          <w:rFonts w:cs="Calibri"/>
          <w:sz w:val="24"/>
        </w:rPr>
        <w:t>es</w:t>
      </w:r>
      <w:r w:rsidRPr="0091081C">
        <w:rPr>
          <w:rFonts w:cs="Calibri"/>
          <w:sz w:val="24"/>
        </w:rPr>
        <w:t xml:space="preserve"> excepcionales, de acuerdo </w:t>
      </w:r>
      <w:r>
        <w:rPr>
          <w:rFonts w:cs="Calibri"/>
          <w:sz w:val="24"/>
        </w:rPr>
        <w:t>con e</w:t>
      </w:r>
      <w:r w:rsidRPr="0091081C">
        <w:rPr>
          <w:rFonts w:cs="Calibri"/>
          <w:sz w:val="24"/>
        </w:rPr>
        <w:t>l marco legal vigente y cumpliendo con compromisos de reposición. Debe vedarse el uso de</w:t>
      </w:r>
      <w:r w:rsidRPr="0091081C">
        <w:t xml:space="preserve"> </w:t>
      </w:r>
      <w:r w:rsidRPr="0091081C">
        <w:rPr>
          <w:rFonts w:cs="Calibri"/>
          <w:sz w:val="24"/>
        </w:rPr>
        <w:t>bosques estratégicos, como manglares, nubosos, con especies endémicas y en peligro de extinción</w:t>
      </w:r>
      <w:r>
        <w:rPr>
          <w:rFonts w:cs="Calibri"/>
          <w:sz w:val="24"/>
        </w:rPr>
        <w:t>,</w:t>
      </w:r>
      <w:r w:rsidRPr="0091081C">
        <w:t xml:space="preserve"> </w:t>
      </w:r>
      <w:r>
        <w:rPr>
          <w:rFonts w:cs="Calibri"/>
          <w:sz w:val="24"/>
        </w:rPr>
        <w:t>o</w:t>
      </w:r>
      <w:r w:rsidRPr="0091081C">
        <w:rPr>
          <w:rFonts w:cs="Calibri"/>
          <w:sz w:val="24"/>
        </w:rPr>
        <w:t xml:space="preserve"> de propiedad comunal y municipal.</w:t>
      </w:r>
    </w:p>
    <w:p w:rsidR="005265B8" w:rsidRDefault="005265B8" w:rsidP="005265B8">
      <w:pPr>
        <w:pStyle w:val="ListParagraph1"/>
        <w:spacing w:after="0" w:line="240" w:lineRule="auto"/>
        <w:ind w:left="210"/>
        <w:jc w:val="both"/>
        <w:rPr>
          <w:rFonts w:cs="Calibri"/>
          <w:sz w:val="24"/>
        </w:rPr>
      </w:pPr>
    </w:p>
    <w:p w:rsidR="005265B8" w:rsidRDefault="005265B8" w:rsidP="005265B8">
      <w:pPr>
        <w:pStyle w:val="ListParagraph1"/>
        <w:spacing w:after="0" w:line="240" w:lineRule="auto"/>
        <w:ind w:left="210"/>
        <w:jc w:val="both"/>
        <w:rPr>
          <w:rFonts w:cs="Calibri"/>
          <w:sz w:val="24"/>
        </w:rPr>
      </w:pPr>
    </w:p>
    <w:p w:rsidR="005265B8" w:rsidRDefault="005265B8" w:rsidP="00103F11">
      <w:pPr>
        <w:pStyle w:val="ListParagraph1"/>
        <w:numPr>
          <w:ilvl w:val="0"/>
          <w:numId w:val="58"/>
        </w:numPr>
        <w:spacing w:after="0" w:line="240" w:lineRule="auto"/>
        <w:ind w:left="426" w:hanging="426"/>
        <w:jc w:val="both"/>
        <w:rPr>
          <w:rFonts w:cs="Calibri"/>
          <w:sz w:val="24"/>
        </w:rPr>
      </w:pPr>
      <w:r>
        <w:rPr>
          <w:rFonts w:cs="Calibri"/>
          <w:sz w:val="24"/>
        </w:rPr>
        <w:lastRenderedPageBreak/>
        <w:t>Recursos naturales estratégicos (agua, suelo y bosque).</w:t>
      </w:r>
    </w:p>
    <w:p w:rsidR="005265B8" w:rsidRDefault="005265B8" w:rsidP="00103F11">
      <w:pPr>
        <w:pStyle w:val="ListParagraph1"/>
        <w:numPr>
          <w:ilvl w:val="0"/>
          <w:numId w:val="61"/>
        </w:numPr>
        <w:spacing w:after="0" w:line="240" w:lineRule="auto"/>
        <w:ind w:left="567"/>
        <w:jc w:val="both"/>
        <w:rPr>
          <w:rFonts w:cs="Calibri"/>
          <w:sz w:val="24"/>
        </w:rPr>
      </w:pPr>
      <w:r>
        <w:rPr>
          <w:rFonts w:cs="Calibri"/>
          <w:sz w:val="24"/>
        </w:rPr>
        <w:t>Fomentar y socializar el manejo forestal sostenible en pequeños y medianos remanentes de bosque, para generar ingresos de manera amigable con el ambiente (incentivos para pequeños productores). FIDA debe vigilar y garantizar que el manejo sea sostenible y evite riesgos de degradación ambiental, asegurando el mantenimiento del ciclo hidrológico en tierras de captación y regulación hidrológica, priorizando las de propiedad municipal o comunal.</w:t>
      </w:r>
    </w:p>
    <w:p w:rsidR="005265B8" w:rsidRDefault="005265B8" w:rsidP="00103F11">
      <w:pPr>
        <w:pStyle w:val="ListParagraph1"/>
        <w:numPr>
          <w:ilvl w:val="0"/>
          <w:numId w:val="61"/>
        </w:numPr>
        <w:spacing w:after="0" w:line="240" w:lineRule="auto"/>
        <w:ind w:left="567"/>
        <w:jc w:val="both"/>
        <w:rPr>
          <w:rFonts w:cs="Calibri"/>
          <w:sz w:val="24"/>
        </w:rPr>
      </w:pPr>
      <w:r>
        <w:rPr>
          <w:rFonts w:cs="Calibri"/>
          <w:sz w:val="24"/>
        </w:rPr>
        <w:t>Las plantaciones forestales son una opción para reducir la deforestación, recuperar áreas degradadas y generar ingresos por la venta de productos.</w:t>
      </w:r>
      <w:r w:rsidR="00141A70">
        <w:rPr>
          <w:rFonts w:cs="Calibri"/>
          <w:sz w:val="24"/>
        </w:rPr>
        <w:t xml:space="preserve"> </w:t>
      </w:r>
      <w:r>
        <w:rPr>
          <w:rFonts w:cs="Calibri"/>
          <w:sz w:val="24"/>
        </w:rPr>
        <w:t>FIDA debe considerar el uso de especies nativas en zonas estratégicas, evitar plantaciones forestales de grandes extensiones, evitar la sustitución de bosques naturales por plantaciones, y priorizar los bosques energéticos para</w:t>
      </w:r>
      <w:r w:rsidR="008E0CD5">
        <w:rPr>
          <w:rFonts w:cs="Calibri"/>
          <w:sz w:val="24"/>
        </w:rPr>
        <w:t xml:space="preserve"> la</w:t>
      </w:r>
      <w:r>
        <w:rPr>
          <w:rFonts w:cs="Calibri"/>
          <w:sz w:val="24"/>
        </w:rPr>
        <w:t xml:space="preserve"> provisión de leña. </w:t>
      </w:r>
    </w:p>
    <w:p w:rsidR="005265B8" w:rsidRDefault="005265B8" w:rsidP="00103F11">
      <w:pPr>
        <w:pStyle w:val="ListParagraph1"/>
        <w:numPr>
          <w:ilvl w:val="0"/>
          <w:numId w:val="61"/>
        </w:numPr>
        <w:spacing w:after="0" w:line="240" w:lineRule="auto"/>
        <w:ind w:left="567"/>
        <w:jc w:val="both"/>
        <w:rPr>
          <w:rFonts w:cs="Calibri"/>
          <w:sz w:val="24"/>
        </w:rPr>
      </w:pPr>
      <w:r>
        <w:rPr>
          <w:rFonts w:cs="Calibri"/>
          <w:sz w:val="24"/>
        </w:rPr>
        <w:t>Una opción</w:t>
      </w:r>
      <w:r w:rsidRPr="00DC5448">
        <w:rPr>
          <w:rFonts w:cs="Calibri"/>
          <w:sz w:val="24"/>
        </w:rPr>
        <w:t xml:space="preserve"> utilizada para mejor</w:t>
      </w:r>
      <w:r>
        <w:rPr>
          <w:rFonts w:cs="Calibri"/>
          <w:sz w:val="24"/>
        </w:rPr>
        <w:t>ar la</w:t>
      </w:r>
      <w:r w:rsidRPr="00DC5448">
        <w:rPr>
          <w:rFonts w:cs="Calibri"/>
          <w:sz w:val="24"/>
        </w:rPr>
        <w:t xml:space="preserve"> eficiencia energética en el uso de la leña, son las estufas ahorradoras</w:t>
      </w:r>
      <w:r>
        <w:rPr>
          <w:rFonts w:cs="Calibri"/>
          <w:sz w:val="24"/>
        </w:rPr>
        <w:t>.</w:t>
      </w:r>
      <w:r w:rsidRPr="00DC5448">
        <w:t xml:space="preserve"> </w:t>
      </w:r>
      <w:r w:rsidRPr="00DC5448">
        <w:rPr>
          <w:rFonts w:cs="Calibri"/>
          <w:sz w:val="24"/>
        </w:rPr>
        <w:t>FIDA debe considerar</w:t>
      </w:r>
      <w:r>
        <w:rPr>
          <w:rFonts w:cs="Calibri"/>
          <w:sz w:val="24"/>
        </w:rPr>
        <w:t xml:space="preserve"> y evaluar la aceptación social y cultural de las soluciones que se propongan, para que sea exitosas.</w:t>
      </w:r>
    </w:p>
    <w:p w:rsidR="005265B8" w:rsidRDefault="005265B8" w:rsidP="00103F11">
      <w:pPr>
        <w:pStyle w:val="ListParagraph1"/>
        <w:numPr>
          <w:ilvl w:val="0"/>
          <w:numId w:val="61"/>
        </w:numPr>
        <w:spacing w:after="0" w:line="240" w:lineRule="auto"/>
        <w:ind w:left="567"/>
        <w:jc w:val="both"/>
        <w:rPr>
          <w:rFonts w:cs="Calibri"/>
          <w:sz w:val="24"/>
        </w:rPr>
      </w:pPr>
      <w:r w:rsidRPr="00DC5448">
        <w:rPr>
          <w:rFonts w:cs="Calibri"/>
          <w:sz w:val="24"/>
        </w:rPr>
        <w:t>Para contribuir a reducir la contaminación del agua</w:t>
      </w:r>
      <w:r>
        <w:rPr>
          <w:rFonts w:cs="Calibri"/>
          <w:sz w:val="24"/>
        </w:rPr>
        <w:t>, se deben realizar inversiones en infraestructura para el tratamiento de aguas servidas. FIDA debe impulsar buenas prácticas ambientales para la producción agrícola,</w:t>
      </w:r>
      <w:r w:rsidRPr="0053654D">
        <w:t xml:space="preserve"> </w:t>
      </w:r>
      <w:r w:rsidRPr="0053654D">
        <w:rPr>
          <w:rFonts w:cs="Calibri"/>
          <w:sz w:val="24"/>
        </w:rPr>
        <w:t>a través de capacitación, as</w:t>
      </w:r>
      <w:r>
        <w:rPr>
          <w:rFonts w:cs="Calibri"/>
          <w:sz w:val="24"/>
        </w:rPr>
        <w:t>istencia técnica y extensión a productores.</w:t>
      </w:r>
    </w:p>
    <w:p w:rsidR="005265B8" w:rsidRDefault="005265B8" w:rsidP="00103F11">
      <w:pPr>
        <w:pStyle w:val="ListParagraph1"/>
        <w:numPr>
          <w:ilvl w:val="0"/>
          <w:numId w:val="61"/>
        </w:numPr>
        <w:spacing w:after="0" w:line="240" w:lineRule="auto"/>
        <w:ind w:left="567"/>
        <w:jc w:val="both"/>
        <w:rPr>
          <w:rFonts w:cs="Calibri"/>
          <w:sz w:val="24"/>
        </w:rPr>
      </w:pPr>
      <w:r w:rsidRPr="00B31B5B">
        <w:rPr>
          <w:rFonts w:cs="Calibri"/>
          <w:sz w:val="24"/>
        </w:rPr>
        <w:t xml:space="preserve">Aun cuando el balance hídrico nacional es excedentario, la cantidad y estacionalidad de la precipitación </w:t>
      </w:r>
      <w:r>
        <w:rPr>
          <w:rFonts w:cs="Calibri"/>
          <w:sz w:val="24"/>
        </w:rPr>
        <w:t>ha provocado</w:t>
      </w:r>
      <w:r w:rsidRPr="00B31B5B">
        <w:rPr>
          <w:rFonts w:cs="Calibri"/>
          <w:sz w:val="24"/>
        </w:rPr>
        <w:t xml:space="preserve"> </w:t>
      </w:r>
      <w:r>
        <w:rPr>
          <w:rFonts w:cs="Calibri"/>
          <w:sz w:val="24"/>
        </w:rPr>
        <w:t>déficit (</w:t>
      </w:r>
      <w:r w:rsidRPr="00B31B5B">
        <w:rPr>
          <w:rFonts w:cs="Calibri"/>
          <w:sz w:val="24"/>
        </w:rPr>
        <w:t>corredor seco</w:t>
      </w:r>
      <w:r>
        <w:rPr>
          <w:rFonts w:cs="Calibri"/>
          <w:sz w:val="24"/>
        </w:rPr>
        <w:t xml:space="preserve"> y</w:t>
      </w:r>
      <w:r w:rsidRPr="00B31B5B">
        <w:rPr>
          <w:rFonts w:cs="Calibri"/>
          <w:sz w:val="24"/>
        </w:rPr>
        <w:t xml:space="preserve"> regiones del altiplano</w:t>
      </w:r>
      <w:r>
        <w:rPr>
          <w:rFonts w:cs="Calibri"/>
          <w:sz w:val="24"/>
        </w:rPr>
        <w:t>). Previo a cualquier inversión social o productiva que involucre el uso de agua, FIDA debe realizar un balance hídrico para conocer la oferta y demanda de este recurso.</w:t>
      </w:r>
    </w:p>
    <w:p w:rsidR="005265B8" w:rsidRDefault="005265B8" w:rsidP="00103F11">
      <w:pPr>
        <w:pStyle w:val="ListParagraph1"/>
        <w:numPr>
          <w:ilvl w:val="0"/>
          <w:numId w:val="61"/>
        </w:numPr>
        <w:spacing w:after="0" w:line="240" w:lineRule="auto"/>
        <w:ind w:left="567"/>
        <w:jc w:val="both"/>
        <w:rPr>
          <w:rFonts w:cs="Calibri"/>
          <w:sz w:val="24"/>
        </w:rPr>
      </w:pPr>
      <w:r>
        <w:rPr>
          <w:rFonts w:cs="Calibri"/>
          <w:sz w:val="24"/>
        </w:rPr>
        <w:t>Existen avances respecto a la</w:t>
      </w:r>
      <w:r w:rsidRPr="00803CE6">
        <w:rPr>
          <w:rFonts w:cs="Calibri"/>
          <w:sz w:val="24"/>
        </w:rPr>
        <w:t xml:space="preserve"> institucional</w:t>
      </w:r>
      <w:r>
        <w:rPr>
          <w:rFonts w:cs="Calibri"/>
          <w:sz w:val="24"/>
        </w:rPr>
        <w:t>idad</w:t>
      </w:r>
      <w:r w:rsidRPr="00803CE6">
        <w:rPr>
          <w:rFonts w:cs="Calibri"/>
          <w:sz w:val="24"/>
        </w:rPr>
        <w:t xml:space="preserve"> </w:t>
      </w:r>
      <w:r>
        <w:rPr>
          <w:rFonts w:cs="Calibri"/>
          <w:sz w:val="24"/>
        </w:rPr>
        <w:t>d</w:t>
      </w:r>
      <w:r w:rsidRPr="00803CE6">
        <w:rPr>
          <w:rFonts w:cs="Calibri"/>
          <w:sz w:val="24"/>
        </w:rPr>
        <w:t xml:space="preserve">el </w:t>
      </w:r>
      <w:r>
        <w:rPr>
          <w:rFonts w:cs="Calibri"/>
          <w:sz w:val="24"/>
        </w:rPr>
        <w:t xml:space="preserve">tema </w:t>
      </w:r>
      <w:r w:rsidRPr="00803CE6">
        <w:rPr>
          <w:rFonts w:cs="Calibri"/>
          <w:sz w:val="24"/>
        </w:rPr>
        <w:t>agua</w:t>
      </w:r>
      <w:r>
        <w:rPr>
          <w:rFonts w:cs="Calibri"/>
          <w:sz w:val="24"/>
        </w:rPr>
        <w:t>:</w:t>
      </w:r>
      <w:r w:rsidRPr="00803CE6">
        <w:rPr>
          <w:rFonts w:cs="Calibri"/>
          <w:sz w:val="24"/>
        </w:rPr>
        <w:t xml:space="preserve"> elaboración del Plan Sectorial Multianual de Ambiente y Agua y Política Nacional del Agua</w:t>
      </w:r>
      <w:r>
        <w:rPr>
          <w:rFonts w:cs="Calibri"/>
          <w:sz w:val="24"/>
        </w:rPr>
        <w:t>. FIDA tiene potencial y ventaja para promover y acompañar un diálogo sectorial para el diseño e implementación de mecanismos para priorizar el uso, fortalecer la capacidad institucional, aumentar la eficiencia, reducir la contaminación y construir acuerdos sociales; que garanticen acceso justo, responsable y equitativo al agua.</w:t>
      </w:r>
    </w:p>
    <w:p w:rsidR="005265B8" w:rsidRDefault="005265B8" w:rsidP="00103F11">
      <w:pPr>
        <w:pStyle w:val="ListParagraph1"/>
        <w:numPr>
          <w:ilvl w:val="0"/>
          <w:numId w:val="61"/>
        </w:numPr>
        <w:spacing w:after="0" w:line="240" w:lineRule="auto"/>
        <w:ind w:left="567"/>
        <w:jc w:val="both"/>
        <w:rPr>
          <w:rFonts w:cs="Calibri"/>
          <w:sz w:val="24"/>
        </w:rPr>
      </w:pPr>
      <w:r>
        <w:rPr>
          <w:rFonts w:cs="Calibri"/>
          <w:sz w:val="24"/>
        </w:rPr>
        <w:t>La conservación de suelos</w:t>
      </w:r>
      <w:r w:rsidRPr="00803CE6">
        <w:rPr>
          <w:rFonts w:cs="Calibri"/>
          <w:sz w:val="24"/>
        </w:rPr>
        <w:t xml:space="preserve"> ha sido poco atendida en Guatemala</w:t>
      </w:r>
      <w:r>
        <w:rPr>
          <w:rFonts w:cs="Calibri"/>
          <w:sz w:val="24"/>
        </w:rPr>
        <w:t>. FIDA debe considerar normar el uso de actividades de conservación de suelos en las actividades agroproductivas y pecuarias que promueva, con mayor énfasis en zonas de producción intensivas bajo riego.</w:t>
      </w:r>
    </w:p>
    <w:p w:rsidR="005265B8" w:rsidRDefault="005265B8" w:rsidP="00103F11">
      <w:pPr>
        <w:pStyle w:val="ListParagraph1"/>
        <w:numPr>
          <w:ilvl w:val="0"/>
          <w:numId w:val="61"/>
        </w:numPr>
        <w:spacing w:after="0" w:line="240" w:lineRule="auto"/>
        <w:ind w:left="567" w:hanging="357"/>
        <w:jc w:val="both"/>
        <w:rPr>
          <w:rFonts w:cs="Calibri"/>
          <w:sz w:val="24"/>
        </w:rPr>
      </w:pPr>
      <w:r>
        <w:rPr>
          <w:rFonts w:cs="Calibri"/>
          <w:sz w:val="24"/>
        </w:rPr>
        <w:t xml:space="preserve">Los sistemas agroforestales son una opción viable para reducir la degradación de tierras y generar ingresos a la familia rural. Sin embargo, </w:t>
      </w:r>
      <w:r w:rsidRPr="006D7533">
        <w:rPr>
          <w:rFonts w:cs="Calibri"/>
          <w:sz w:val="24"/>
        </w:rPr>
        <w:t>debido a la estructura de costos y al periodo de retorno</w:t>
      </w:r>
      <w:r>
        <w:rPr>
          <w:rFonts w:cs="Calibri"/>
          <w:sz w:val="24"/>
        </w:rPr>
        <w:t>,</w:t>
      </w:r>
      <w:r w:rsidRPr="006D7533">
        <w:rPr>
          <w:rFonts w:cs="Calibri"/>
          <w:sz w:val="24"/>
        </w:rPr>
        <w:t xml:space="preserve"> </w:t>
      </w:r>
      <w:r>
        <w:rPr>
          <w:rFonts w:cs="Calibri"/>
          <w:sz w:val="24"/>
        </w:rPr>
        <w:t>FIDA debe considerar el apoyo y la asistencia técnica para que la adopción y empoderamiento de estos sistemas, sea exitoso a largo plazo.</w:t>
      </w:r>
    </w:p>
    <w:p w:rsidR="005265B8" w:rsidRPr="006D7533" w:rsidRDefault="005265B8" w:rsidP="005265B8">
      <w:pPr>
        <w:pStyle w:val="ListParagraph1"/>
        <w:spacing w:after="0" w:line="240" w:lineRule="auto"/>
        <w:ind w:left="210"/>
        <w:jc w:val="both"/>
        <w:rPr>
          <w:rFonts w:cs="Calibri"/>
          <w:sz w:val="24"/>
        </w:rPr>
      </w:pPr>
    </w:p>
    <w:p w:rsidR="005265B8" w:rsidRDefault="005265B8" w:rsidP="00103F11">
      <w:pPr>
        <w:pStyle w:val="ListParagraph1"/>
        <w:numPr>
          <w:ilvl w:val="0"/>
          <w:numId w:val="58"/>
        </w:numPr>
        <w:spacing w:after="0" w:line="240" w:lineRule="auto"/>
        <w:ind w:left="426" w:hanging="426"/>
        <w:jc w:val="both"/>
        <w:rPr>
          <w:rFonts w:cs="Calibri"/>
          <w:sz w:val="24"/>
        </w:rPr>
      </w:pPr>
      <w:r>
        <w:rPr>
          <w:rFonts w:cs="Calibri"/>
          <w:sz w:val="24"/>
        </w:rPr>
        <w:t>Productividad rural campesina.</w:t>
      </w:r>
    </w:p>
    <w:p w:rsidR="005265B8" w:rsidRDefault="005265B8" w:rsidP="00103F11">
      <w:pPr>
        <w:pStyle w:val="ListParagraph1"/>
        <w:numPr>
          <w:ilvl w:val="0"/>
          <w:numId w:val="62"/>
        </w:numPr>
        <w:spacing w:after="0" w:line="240" w:lineRule="auto"/>
        <w:ind w:left="567"/>
        <w:jc w:val="both"/>
        <w:rPr>
          <w:rFonts w:cs="Calibri"/>
          <w:sz w:val="24"/>
        </w:rPr>
      </w:pPr>
      <w:r>
        <w:rPr>
          <w:rFonts w:cs="Calibri"/>
          <w:sz w:val="24"/>
        </w:rPr>
        <w:t>E</w:t>
      </w:r>
      <w:r w:rsidRPr="00D64133">
        <w:rPr>
          <w:rFonts w:cs="Calibri"/>
          <w:sz w:val="24"/>
        </w:rPr>
        <w:t>xiste alta correlación entre el estado y densidad de la red vial</w:t>
      </w:r>
      <w:r>
        <w:rPr>
          <w:rFonts w:cs="Calibri"/>
          <w:sz w:val="24"/>
        </w:rPr>
        <w:t xml:space="preserve"> en zonas de producción agrícola y las actividades económicas agrícolas y no agrícolas.</w:t>
      </w:r>
      <w:r w:rsidR="00141A70">
        <w:rPr>
          <w:rFonts w:cs="Calibri"/>
          <w:sz w:val="24"/>
        </w:rPr>
        <w:t xml:space="preserve"> </w:t>
      </w:r>
      <w:r>
        <w:rPr>
          <w:rFonts w:cs="Calibri"/>
          <w:sz w:val="24"/>
        </w:rPr>
        <w:t xml:space="preserve">Para el fomento de proyectos de caminos rurales, FIDA debe considerar </w:t>
      </w:r>
      <w:r w:rsidRPr="00D64133">
        <w:rPr>
          <w:rFonts w:cs="Calibri"/>
          <w:sz w:val="24"/>
        </w:rPr>
        <w:t xml:space="preserve">la elaboración </w:t>
      </w:r>
      <w:r w:rsidR="008E0CD5">
        <w:rPr>
          <w:rFonts w:cs="Calibri"/>
          <w:sz w:val="24"/>
        </w:rPr>
        <w:t xml:space="preserve">de </w:t>
      </w:r>
      <w:r w:rsidRPr="00D64133">
        <w:rPr>
          <w:rFonts w:cs="Calibri"/>
          <w:sz w:val="24"/>
        </w:rPr>
        <w:t>Estudio</w:t>
      </w:r>
      <w:r>
        <w:rPr>
          <w:rFonts w:cs="Calibri"/>
          <w:sz w:val="24"/>
        </w:rPr>
        <w:t xml:space="preserve">s de Impacto Ambiental y </w:t>
      </w:r>
      <w:r w:rsidRPr="00D64133">
        <w:rPr>
          <w:rFonts w:cs="Calibri"/>
          <w:sz w:val="24"/>
        </w:rPr>
        <w:t xml:space="preserve">acciones de mitigación necesarias para reducir estos impactos </w:t>
      </w:r>
      <w:r>
        <w:rPr>
          <w:rFonts w:cs="Calibri"/>
          <w:sz w:val="24"/>
        </w:rPr>
        <w:t>(</w:t>
      </w:r>
      <w:r w:rsidRPr="00D64133">
        <w:rPr>
          <w:rFonts w:cs="Calibri"/>
          <w:sz w:val="24"/>
        </w:rPr>
        <w:t>agente asociado con la deforestación</w:t>
      </w:r>
      <w:r>
        <w:rPr>
          <w:rFonts w:cs="Calibri"/>
          <w:sz w:val="24"/>
        </w:rPr>
        <w:t>,</w:t>
      </w:r>
      <w:r w:rsidRPr="00D64133">
        <w:t xml:space="preserve"> </w:t>
      </w:r>
      <w:r w:rsidRPr="00D64133">
        <w:rPr>
          <w:rFonts w:cs="Calibri"/>
          <w:sz w:val="24"/>
        </w:rPr>
        <w:t>deslizamientos, erosión de suelos y asolvamiento de ríos y cuerpos de agua</w:t>
      </w:r>
      <w:r>
        <w:rPr>
          <w:rFonts w:cs="Calibri"/>
          <w:sz w:val="24"/>
        </w:rPr>
        <w:t>).</w:t>
      </w:r>
    </w:p>
    <w:p w:rsidR="005265B8" w:rsidRDefault="005265B8" w:rsidP="00103F11">
      <w:pPr>
        <w:pStyle w:val="ListParagraph1"/>
        <w:numPr>
          <w:ilvl w:val="0"/>
          <w:numId w:val="62"/>
        </w:numPr>
        <w:spacing w:after="0" w:line="240" w:lineRule="auto"/>
        <w:ind w:left="567"/>
        <w:jc w:val="both"/>
        <w:rPr>
          <w:rFonts w:cs="Calibri"/>
          <w:sz w:val="24"/>
        </w:rPr>
      </w:pPr>
      <w:r w:rsidRPr="00D64133">
        <w:rPr>
          <w:rFonts w:cs="Calibri"/>
          <w:sz w:val="24"/>
        </w:rPr>
        <w:lastRenderedPageBreak/>
        <w:t xml:space="preserve">El riego ha sido identificado como una de las opciones más importantes para aumentar la productividad agrícola </w:t>
      </w:r>
      <w:r>
        <w:rPr>
          <w:rFonts w:cs="Calibri"/>
          <w:sz w:val="24"/>
        </w:rPr>
        <w:t xml:space="preserve">y </w:t>
      </w:r>
      <w:r w:rsidRPr="00D64133">
        <w:rPr>
          <w:rFonts w:cs="Calibri"/>
          <w:sz w:val="24"/>
        </w:rPr>
        <w:t>como estrategia de desarrollo rural</w:t>
      </w:r>
      <w:r>
        <w:rPr>
          <w:rFonts w:cs="Calibri"/>
          <w:sz w:val="24"/>
        </w:rPr>
        <w:t>. Para el fomento de estos proyectos FIDA debe considerar la aceptación social, el</w:t>
      </w:r>
      <w:r w:rsidRPr="002D6150">
        <w:rPr>
          <w:rFonts w:cs="Calibri"/>
          <w:sz w:val="24"/>
        </w:rPr>
        <w:t xml:space="preserve"> balance hídrico</w:t>
      </w:r>
      <w:r>
        <w:rPr>
          <w:rFonts w:cs="Calibri"/>
          <w:sz w:val="24"/>
        </w:rPr>
        <w:t xml:space="preserve"> y las obras de conservación de suelos, todo esto, para evitar posibles conflictos a nivel local.</w:t>
      </w:r>
    </w:p>
    <w:p w:rsidR="005265B8" w:rsidRDefault="005265B8" w:rsidP="00103F11">
      <w:pPr>
        <w:pStyle w:val="ListParagraph1"/>
        <w:numPr>
          <w:ilvl w:val="0"/>
          <w:numId w:val="62"/>
        </w:numPr>
        <w:spacing w:after="0" w:line="240" w:lineRule="auto"/>
        <w:ind w:left="567"/>
        <w:jc w:val="both"/>
        <w:rPr>
          <w:rFonts w:cs="Calibri"/>
          <w:sz w:val="24"/>
        </w:rPr>
      </w:pPr>
      <w:r w:rsidRPr="002F7C9E">
        <w:rPr>
          <w:rFonts w:cs="Calibri"/>
          <w:sz w:val="24"/>
        </w:rPr>
        <w:t>Para la realización de otras inversiones en infraestructura y encadenamientos productivos (con alto potencial de ingresos/empleo), FIDA debe tomar en cuenta el manejo y tratamiento</w:t>
      </w:r>
      <w:r w:rsidR="008E0CD5">
        <w:rPr>
          <w:rFonts w:cs="Calibri"/>
          <w:sz w:val="24"/>
        </w:rPr>
        <w:t xml:space="preserve"> de residuos sólidos y líquidos</w:t>
      </w:r>
      <w:r w:rsidRPr="002F7C9E">
        <w:rPr>
          <w:rFonts w:cs="Calibri"/>
          <w:sz w:val="24"/>
        </w:rPr>
        <w:t xml:space="preserve"> para evitar contaminación de agua y suelos, </w:t>
      </w:r>
      <w:r>
        <w:rPr>
          <w:rFonts w:cs="Calibri"/>
          <w:sz w:val="24"/>
        </w:rPr>
        <w:t xml:space="preserve">así como </w:t>
      </w:r>
      <w:r w:rsidRPr="002F7C9E">
        <w:rPr>
          <w:rFonts w:cs="Calibri"/>
          <w:sz w:val="24"/>
        </w:rPr>
        <w:t>exigir la implementación de buenas práct</w:t>
      </w:r>
      <w:r>
        <w:rPr>
          <w:rFonts w:cs="Calibri"/>
          <w:sz w:val="24"/>
        </w:rPr>
        <w:t>icas agrícolas y de manufactura</w:t>
      </w:r>
      <w:r w:rsidR="008E0CD5">
        <w:rPr>
          <w:rFonts w:cs="Calibri"/>
          <w:sz w:val="24"/>
        </w:rPr>
        <w:t>,</w:t>
      </w:r>
      <w:r>
        <w:rPr>
          <w:rFonts w:cs="Calibri"/>
          <w:sz w:val="24"/>
        </w:rPr>
        <w:t xml:space="preserve"> y</w:t>
      </w:r>
      <w:r w:rsidRPr="002F7C9E">
        <w:rPr>
          <w:rFonts w:cs="Calibri"/>
          <w:sz w:val="24"/>
        </w:rPr>
        <w:t xml:space="preserve"> </w:t>
      </w:r>
      <w:r>
        <w:rPr>
          <w:rFonts w:cs="Calibri"/>
          <w:sz w:val="24"/>
        </w:rPr>
        <w:t xml:space="preserve">promover </w:t>
      </w:r>
      <w:r w:rsidRPr="002F7C9E">
        <w:rPr>
          <w:rFonts w:cs="Calibri"/>
          <w:sz w:val="24"/>
        </w:rPr>
        <w:t xml:space="preserve">esquemas de certificación ambiental </w:t>
      </w:r>
      <w:r>
        <w:rPr>
          <w:rFonts w:cs="Calibri"/>
          <w:sz w:val="24"/>
        </w:rPr>
        <w:t>que</w:t>
      </w:r>
      <w:r w:rsidRPr="002F7C9E">
        <w:rPr>
          <w:rFonts w:cs="Calibri"/>
          <w:sz w:val="24"/>
        </w:rPr>
        <w:t xml:space="preserve"> redu</w:t>
      </w:r>
      <w:r>
        <w:rPr>
          <w:rFonts w:cs="Calibri"/>
          <w:sz w:val="24"/>
        </w:rPr>
        <w:t xml:space="preserve">zcan los </w:t>
      </w:r>
      <w:r w:rsidRPr="002F7C9E">
        <w:rPr>
          <w:rFonts w:cs="Calibri"/>
          <w:sz w:val="24"/>
        </w:rPr>
        <w:t>riesgos e impactos negativos sobre la salud humana y ambiente.</w:t>
      </w:r>
    </w:p>
    <w:p w:rsidR="005265B8" w:rsidRPr="002F7C9E" w:rsidRDefault="005265B8" w:rsidP="005265B8">
      <w:pPr>
        <w:pStyle w:val="ListParagraph1"/>
        <w:spacing w:after="0" w:line="240" w:lineRule="auto"/>
        <w:ind w:left="207"/>
        <w:jc w:val="both"/>
        <w:rPr>
          <w:rFonts w:cs="Calibri"/>
          <w:sz w:val="24"/>
        </w:rPr>
      </w:pPr>
    </w:p>
    <w:p w:rsidR="005265B8" w:rsidRDefault="005265B8" w:rsidP="00103F11">
      <w:pPr>
        <w:pStyle w:val="ListParagraph1"/>
        <w:numPr>
          <w:ilvl w:val="0"/>
          <w:numId w:val="58"/>
        </w:numPr>
        <w:spacing w:after="0" w:line="240" w:lineRule="auto"/>
        <w:ind w:left="426" w:hanging="426"/>
        <w:jc w:val="both"/>
        <w:rPr>
          <w:rFonts w:cs="Calibri"/>
          <w:sz w:val="24"/>
        </w:rPr>
      </w:pPr>
      <w:r>
        <w:rPr>
          <w:rFonts w:cs="Calibri"/>
          <w:sz w:val="24"/>
        </w:rPr>
        <w:t xml:space="preserve">La vulnerabilidad </w:t>
      </w:r>
      <w:r w:rsidRPr="00A775FE">
        <w:rPr>
          <w:rFonts w:cs="Calibri"/>
          <w:sz w:val="24"/>
        </w:rPr>
        <w:t xml:space="preserve">sistémica y </w:t>
      </w:r>
      <w:r>
        <w:rPr>
          <w:rFonts w:cs="Calibri"/>
          <w:sz w:val="24"/>
        </w:rPr>
        <w:t>el cambio climático</w:t>
      </w:r>
      <w:r w:rsidRPr="00A775FE">
        <w:rPr>
          <w:rFonts w:cs="Calibri"/>
          <w:sz w:val="24"/>
        </w:rPr>
        <w:t xml:space="preserve"> </w:t>
      </w:r>
      <w:r>
        <w:rPr>
          <w:rFonts w:cs="Calibri"/>
          <w:sz w:val="24"/>
        </w:rPr>
        <w:t xml:space="preserve">deben atenderse </w:t>
      </w:r>
      <w:r w:rsidRPr="00A775FE">
        <w:rPr>
          <w:rFonts w:cs="Calibri"/>
          <w:sz w:val="24"/>
        </w:rPr>
        <w:t>como tema</w:t>
      </w:r>
      <w:r>
        <w:rPr>
          <w:rFonts w:cs="Calibri"/>
          <w:sz w:val="24"/>
        </w:rPr>
        <w:t>s</w:t>
      </w:r>
      <w:r w:rsidRPr="00A775FE">
        <w:rPr>
          <w:rFonts w:cs="Calibri"/>
          <w:sz w:val="24"/>
        </w:rPr>
        <w:t xml:space="preserve"> transversa</w:t>
      </w:r>
      <w:r>
        <w:rPr>
          <w:rFonts w:cs="Calibri"/>
          <w:sz w:val="24"/>
        </w:rPr>
        <w:t xml:space="preserve">les al desarrollo rural integral, </w:t>
      </w:r>
      <w:r w:rsidRPr="00A775FE">
        <w:rPr>
          <w:rFonts w:cs="Calibri"/>
          <w:sz w:val="24"/>
        </w:rPr>
        <w:t>para manejar los riesgos relacionados con los cambios en el clima</w:t>
      </w:r>
      <w:r>
        <w:rPr>
          <w:rFonts w:cs="Calibri"/>
          <w:sz w:val="24"/>
        </w:rPr>
        <w:t>,</w:t>
      </w:r>
      <w:r w:rsidRPr="00A775FE">
        <w:rPr>
          <w:rFonts w:cs="Calibri"/>
          <w:sz w:val="24"/>
        </w:rPr>
        <w:t xml:space="preserve"> </w:t>
      </w:r>
      <w:r>
        <w:rPr>
          <w:rFonts w:cs="Calibri"/>
          <w:sz w:val="24"/>
        </w:rPr>
        <w:t>principalmente</w:t>
      </w:r>
      <w:r w:rsidRPr="00A775FE">
        <w:rPr>
          <w:rFonts w:cs="Calibri"/>
          <w:sz w:val="24"/>
        </w:rPr>
        <w:t xml:space="preserve"> inundaciones, sequías y heladas, que </w:t>
      </w:r>
      <w:r>
        <w:rPr>
          <w:rFonts w:cs="Calibri"/>
          <w:sz w:val="24"/>
        </w:rPr>
        <w:t>influyan</w:t>
      </w:r>
      <w:r w:rsidRPr="00A775FE">
        <w:rPr>
          <w:rFonts w:cs="Calibri"/>
          <w:sz w:val="24"/>
        </w:rPr>
        <w:t xml:space="preserve"> en crisis alimentarias</w:t>
      </w:r>
      <w:r>
        <w:rPr>
          <w:rFonts w:cs="Calibri"/>
          <w:sz w:val="24"/>
        </w:rPr>
        <w:t>,</w:t>
      </w:r>
      <w:r w:rsidRPr="00A775FE">
        <w:t xml:space="preserve"> </w:t>
      </w:r>
      <w:r w:rsidRPr="00A775FE">
        <w:rPr>
          <w:rFonts w:cs="Calibri"/>
          <w:sz w:val="24"/>
        </w:rPr>
        <w:t>debido a la disminución de la producción agrícola y el agotamien</w:t>
      </w:r>
      <w:r>
        <w:rPr>
          <w:rFonts w:cs="Calibri"/>
          <w:sz w:val="24"/>
        </w:rPr>
        <w:t>to de las reservas de alimentos.</w:t>
      </w:r>
    </w:p>
    <w:p w:rsidR="005265B8" w:rsidRPr="009F33CC" w:rsidRDefault="005265B8" w:rsidP="00103F11">
      <w:pPr>
        <w:pStyle w:val="ListParagraph1"/>
        <w:numPr>
          <w:ilvl w:val="0"/>
          <w:numId w:val="63"/>
        </w:numPr>
        <w:spacing w:after="0" w:line="240" w:lineRule="auto"/>
        <w:ind w:left="567"/>
        <w:jc w:val="both"/>
        <w:rPr>
          <w:rFonts w:cs="Calibri"/>
          <w:sz w:val="24"/>
        </w:rPr>
      </w:pPr>
      <w:r w:rsidRPr="009F33CC">
        <w:rPr>
          <w:rFonts w:cs="Calibri"/>
          <w:sz w:val="24"/>
        </w:rPr>
        <w:t>Los sistemas de alerta temprana</w:t>
      </w:r>
      <w:r w:rsidRPr="009F33CC">
        <w:t xml:space="preserve"> </w:t>
      </w:r>
      <w:r w:rsidRPr="009F33CC">
        <w:rPr>
          <w:rFonts w:cs="Calibri"/>
          <w:sz w:val="24"/>
        </w:rPr>
        <w:t>son una opción viable para reducir la vulnerabilidad sistémica</w:t>
      </w:r>
      <w:r>
        <w:rPr>
          <w:rFonts w:cs="Calibri"/>
          <w:sz w:val="24"/>
        </w:rPr>
        <w:t>.</w:t>
      </w:r>
      <w:r w:rsidR="00141A70">
        <w:rPr>
          <w:rFonts w:cs="Calibri"/>
          <w:sz w:val="24"/>
        </w:rPr>
        <w:t xml:space="preserve"> </w:t>
      </w:r>
      <w:r>
        <w:rPr>
          <w:rFonts w:cs="Calibri"/>
          <w:sz w:val="24"/>
        </w:rPr>
        <w:t xml:space="preserve">Ante esto, FIDA puede </w:t>
      </w:r>
      <w:r w:rsidRPr="009F33CC">
        <w:rPr>
          <w:rFonts w:cs="Calibri"/>
          <w:sz w:val="24"/>
        </w:rPr>
        <w:t xml:space="preserve">implementar una iniciativa </w:t>
      </w:r>
      <w:r>
        <w:rPr>
          <w:rFonts w:cs="Calibri"/>
          <w:sz w:val="24"/>
        </w:rPr>
        <w:t xml:space="preserve">para </w:t>
      </w:r>
      <w:r w:rsidRPr="009F33CC">
        <w:rPr>
          <w:rFonts w:cs="Calibri"/>
          <w:sz w:val="24"/>
        </w:rPr>
        <w:t>la generación de información de monitoreo climático</w:t>
      </w:r>
      <w:r>
        <w:rPr>
          <w:rFonts w:cs="Calibri"/>
          <w:sz w:val="24"/>
        </w:rPr>
        <w:t>, como base</w:t>
      </w:r>
      <w:r w:rsidRPr="009F33CC">
        <w:rPr>
          <w:rFonts w:cs="Calibri"/>
          <w:sz w:val="24"/>
        </w:rPr>
        <w:t xml:space="preserve"> para la </w:t>
      </w:r>
      <w:r>
        <w:rPr>
          <w:rFonts w:cs="Calibri"/>
          <w:sz w:val="24"/>
        </w:rPr>
        <w:t>ejecució</w:t>
      </w:r>
      <w:r w:rsidRPr="009F33CC">
        <w:rPr>
          <w:rFonts w:cs="Calibri"/>
          <w:sz w:val="24"/>
        </w:rPr>
        <w:t xml:space="preserve">n de </w:t>
      </w:r>
      <w:r>
        <w:rPr>
          <w:rFonts w:cs="Calibri"/>
          <w:sz w:val="24"/>
        </w:rPr>
        <w:t xml:space="preserve">estos </w:t>
      </w:r>
      <w:r w:rsidRPr="009F33CC">
        <w:rPr>
          <w:rFonts w:cs="Calibri"/>
          <w:sz w:val="24"/>
        </w:rPr>
        <w:t>sistemas a niveles local y municipal</w:t>
      </w:r>
      <w:r>
        <w:rPr>
          <w:rFonts w:cs="Calibri"/>
          <w:sz w:val="24"/>
        </w:rPr>
        <w:t>.</w:t>
      </w:r>
    </w:p>
    <w:p w:rsidR="005265B8" w:rsidRDefault="005265B8" w:rsidP="00103F11">
      <w:pPr>
        <w:pStyle w:val="ListParagraph1"/>
        <w:numPr>
          <w:ilvl w:val="0"/>
          <w:numId w:val="63"/>
        </w:numPr>
        <w:spacing w:after="0" w:line="240" w:lineRule="auto"/>
        <w:ind w:left="567"/>
        <w:jc w:val="both"/>
        <w:rPr>
          <w:rFonts w:cs="Calibri"/>
          <w:sz w:val="24"/>
        </w:rPr>
      </w:pPr>
      <w:r w:rsidRPr="009F33CC">
        <w:rPr>
          <w:rFonts w:cs="Calibri"/>
          <w:sz w:val="24"/>
        </w:rPr>
        <w:t xml:space="preserve">La gestión de riesgo a nivel local </w:t>
      </w:r>
      <w:r>
        <w:rPr>
          <w:rFonts w:cs="Calibri"/>
          <w:sz w:val="24"/>
        </w:rPr>
        <w:t>está</w:t>
      </w:r>
      <w:r w:rsidRPr="009F33CC">
        <w:rPr>
          <w:rFonts w:cs="Calibri"/>
          <w:sz w:val="24"/>
        </w:rPr>
        <w:t xml:space="preserve"> poco abordad</w:t>
      </w:r>
      <w:r>
        <w:rPr>
          <w:rFonts w:cs="Calibri"/>
          <w:sz w:val="24"/>
        </w:rPr>
        <w:t>a</w:t>
      </w:r>
      <w:r w:rsidRPr="009F33CC">
        <w:rPr>
          <w:rFonts w:cs="Calibri"/>
          <w:sz w:val="24"/>
        </w:rPr>
        <w:t xml:space="preserve"> en Guatemala</w:t>
      </w:r>
      <w:r>
        <w:rPr>
          <w:rFonts w:cs="Calibri"/>
          <w:sz w:val="24"/>
        </w:rPr>
        <w:t>.</w:t>
      </w:r>
      <w:r w:rsidRPr="009F33CC">
        <w:t xml:space="preserve"> </w:t>
      </w:r>
      <w:r w:rsidRPr="009F33CC">
        <w:rPr>
          <w:rFonts w:cs="Calibri"/>
          <w:sz w:val="24"/>
        </w:rPr>
        <w:t>FIDA podría</w:t>
      </w:r>
      <w:r>
        <w:rPr>
          <w:rFonts w:cs="Calibri"/>
          <w:sz w:val="24"/>
        </w:rPr>
        <w:t xml:space="preserve"> contribuir en la formulación de planes de gestión de riesgo local para los grupos de productores rurales a quienes apoye.</w:t>
      </w:r>
    </w:p>
    <w:p w:rsidR="005265B8" w:rsidRPr="009F33CC" w:rsidRDefault="005265B8" w:rsidP="005265B8">
      <w:pPr>
        <w:pStyle w:val="ListParagraph1"/>
        <w:spacing w:after="0" w:line="240" w:lineRule="auto"/>
        <w:ind w:left="207"/>
        <w:jc w:val="both"/>
        <w:rPr>
          <w:rFonts w:cs="Calibri"/>
          <w:sz w:val="24"/>
        </w:rPr>
      </w:pPr>
    </w:p>
    <w:p w:rsidR="005265B8" w:rsidRDefault="005265B8" w:rsidP="00103F11">
      <w:pPr>
        <w:pStyle w:val="ListParagraph1"/>
        <w:numPr>
          <w:ilvl w:val="0"/>
          <w:numId w:val="58"/>
        </w:numPr>
        <w:spacing w:after="0" w:line="240" w:lineRule="auto"/>
        <w:ind w:left="426" w:hanging="426"/>
        <w:jc w:val="both"/>
        <w:rPr>
          <w:rFonts w:cs="Calibri"/>
          <w:sz w:val="24"/>
        </w:rPr>
      </w:pPr>
      <w:r>
        <w:rPr>
          <w:rFonts w:cs="Calibri"/>
          <w:sz w:val="24"/>
        </w:rPr>
        <w:t>Gestión ambiental (impactos de las intervenciones de FIDA en Guatemala).</w:t>
      </w:r>
    </w:p>
    <w:p w:rsidR="005265B8" w:rsidRDefault="005265B8" w:rsidP="00103F11">
      <w:pPr>
        <w:pStyle w:val="ListParagraph1"/>
        <w:numPr>
          <w:ilvl w:val="0"/>
          <w:numId w:val="60"/>
        </w:numPr>
        <w:spacing w:after="0" w:line="240" w:lineRule="auto"/>
        <w:ind w:left="567"/>
        <w:jc w:val="both"/>
        <w:rPr>
          <w:rFonts w:cs="Calibri"/>
          <w:sz w:val="24"/>
        </w:rPr>
      </w:pPr>
      <w:r w:rsidRPr="00335FAB">
        <w:rPr>
          <w:rFonts w:cs="Calibri"/>
          <w:sz w:val="24"/>
        </w:rPr>
        <w:t>FIDA necesita fortalecer el sistema de gestión ambiental</w:t>
      </w:r>
      <w:r>
        <w:rPr>
          <w:rFonts w:cs="Calibri"/>
          <w:sz w:val="24"/>
        </w:rPr>
        <w:t xml:space="preserve"> de sus programas y proyectos para </w:t>
      </w:r>
      <w:r w:rsidRPr="00335FAB">
        <w:rPr>
          <w:rFonts w:cs="Calibri"/>
          <w:sz w:val="24"/>
        </w:rPr>
        <w:t xml:space="preserve">identificar, evaluar y monitorear los impactos de </w:t>
      </w:r>
      <w:r>
        <w:rPr>
          <w:rFonts w:cs="Calibri"/>
          <w:sz w:val="24"/>
        </w:rPr>
        <w:t>la</w:t>
      </w:r>
      <w:r w:rsidRPr="00335FAB">
        <w:rPr>
          <w:rFonts w:cs="Calibri"/>
          <w:sz w:val="24"/>
        </w:rPr>
        <w:t>s intervenciones</w:t>
      </w:r>
      <w:r w:rsidRPr="00335FAB">
        <w:t xml:space="preserve"> </w:t>
      </w:r>
      <w:r w:rsidRPr="00335FAB">
        <w:rPr>
          <w:rFonts w:cs="Calibri"/>
          <w:sz w:val="24"/>
        </w:rPr>
        <w:t>de desarrollo rural que fomenta</w:t>
      </w:r>
      <w:r>
        <w:rPr>
          <w:rFonts w:cs="Calibri"/>
          <w:sz w:val="24"/>
        </w:rPr>
        <w:t>,</w:t>
      </w:r>
      <w:r w:rsidRPr="00335FAB">
        <w:t xml:space="preserve"> </w:t>
      </w:r>
      <w:r w:rsidRPr="00335FAB">
        <w:rPr>
          <w:rFonts w:cs="Calibri"/>
          <w:sz w:val="24"/>
        </w:rPr>
        <w:t>incorporando criterios e indicadores de sostenibilidad</w:t>
      </w:r>
      <w:r>
        <w:rPr>
          <w:rFonts w:cs="Calibri"/>
          <w:sz w:val="24"/>
        </w:rPr>
        <w:t xml:space="preserve"> socio</w:t>
      </w:r>
      <w:r w:rsidRPr="00335FAB">
        <w:rPr>
          <w:rFonts w:cs="Calibri"/>
          <w:sz w:val="24"/>
        </w:rPr>
        <w:t xml:space="preserve"> ambiental</w:t>
      </w:r>
      <w:r>
        <w:rPr>
          <w:rFonts w:cs="Calibri"/>
          <w:sz w:val="24"/>
        </w:rPr>
        <w:t>.</w:t>
      </w:r>
    </w:p>
    <w:p w:rsidR="005265B8" w:rsidRPr="00EC26B7" w:rsidRDefault="005265B8" w:rsidP="00103F11">
      <w:pPr>
        <w:pStyle w:val="ListParagraph1"/>
        <w:numPr>
          <w:ilvl w:val="0"/>
          <w:numId w:val="60"/>
        </w:numPr>
        <w:spacing w:after="0" w:line="240" w:lineRule="auto"/>
        <w:ind w:left="567"/>
        <w:jc w:val="both"/>
        <w:rPr>
          <w:rFonts w:cs="Calibri"/>
          <w:sz w:val="24"/>
        </w:rPr>
      </w:pPr>
      <w:r w:rsidRPr="00EC26B7">
        <w:rPr>
          <w:rFonts w:cs="Calibri"/>
          <w:sz w:val="24"/>
        </w:rPr>
        <w:t xml:space="preserve">FIDA debe fomentar y fortalecer </w:t>
      </w:r>
      <w:r>
        <w:rPr>
          <w:rFonts w:cs="Calibri"/>
          <w:sz w:val="24"/>
        </w:rPr>
        <w:t>el diá</w:t>
      </w:r>
      <w:r w:rsidRPr="00EC26B7">
        <w:rPr>
          <w:rFonts w:cs="Calibri"/>
          <w:sz w:val="24"/>
        </w:rPr>
        <w:t>logo sectorial y sinergias con las autoridades ambientales y sus estrategias, para que lo incluyan en sus planes y acciones.</w:t>
      </w: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Default="005265B8" w:rsidP="00FC14C5">
      <w:pPr>
        <w:jc w:val="both"/>
        <w:rPr>
          <w:rFonts w:ascii="Calibri" w:hAnsi="Calibri" w:cs="Calibri"/>
          <w:lang w:val="es-GT"/>
        </w:rPr>
      </w:pPr>
    </w:p>
    <w:p w:rsidR="005265B8" w:rsidRPr="001A01AB" w:rsidRDefault="005265B8" w:rsidP="00FC14C5">
      <w:pPr>
        <w:jc w:val="both"/>
        <w:rPr>
          <w:rFonts w:ascii="Calibri" w:hAnsi="Calibri" w:cs="Calibri"/>
          <w:lang w:val="es-GT"/>
        </w:rPr>
        <w:sectPr w:rsidR="005265B8" w:rsidRPr="001A01AB" w:rsidSect="00FC14C5">
          <w:footerReference w:type="default" r:id="rId9"/>
          <w:pgSz w:w="12240" w:h="15840" w:code="1"/>
          <w:pgMar w:top="1440" w:right="1152" w:bottom="1440" w:left="1440" w:header="720" w:footer="720" w:gutter="0"/>
          <w:pgNumType w:fmt="lowerRoman" w:start="1"/>
          <w:cols w:space="720"/>
          <w:docGrid w:linePitch="360"/>
        </w:sectPr>
      </w:pPr>
    </w:p>
    <w:p w:rsidR="00EE68C8" w:rsidRPr="001A01AB" w:rsidRDefault="00EE68C8" w:rsidP="001A01AB">
      <w:pPr>
        <w:pStyle w:val="Prrafodelista"/>
        <w:numPr>
          <w:ilvl w:val="0"/>
          <w:numId w:val="22"/>
        </w:numPr>
        <w:pBdr>
          <w:bottom w:val="single" w:sz="12" w:space="1" w:color="365F91"/>
        </w:pBdr>
        <w:autoSpaceDE w:val="0"/>
        <w:autoSpaceDN w:val="0"/>
        <w:adjustRightInd w:val="0"/>
        <w:spacing w:after="120" w:line="264" w:lineRule="auto"/>
        <w:ind w:left="720" w:hanging="720"/>
        <w:jc w:val="both"/>
        <w:outlineLvl w:val="0"/>
        <w:rPr>
          <w:rFonts w:cs="Calibri"/>
          <w:b/>
          <w:color w:val="365F91"/>
          <w:sz w:val="36"/>
          <w:lang w:eastAsia="es-GT"/>
        </w:rPr>
      </w:pPr>
      <w:bookmarkStart w:id="4" w:name="_Toc336951308"/>
      <w:bookmarkStart w:id="5" w:name="_Toc340065151"/>
      <w:bookmarkStart w:id="6" w:name="_Toc340065243"/>
      <w:bookmarkStart w:id="7" w:name="_Toc340565835"/>
      <w:bookmarkStart w:id="8" w:name="_Toc347841285"/>
      <w:r w:rsidRPr="001A01AB">
        <w:rPr>
          <w:rFonts w:cs="Calibri"/>
          <w:b/>
          <w:color w:val="365F91"/>
          <w:sz w:val="36"/>
          <w:lang w:eastAsia="es-GT"/>
        </w:rPr>
        <w:lastRenderedPageBreak/>
        <w:t>Introducción</w:t>
      </w:r>
      <w:bookmarkEnd w:id="4"/>
      <w:bookmarkEnd w:id="5"/>
      <w:bookmarkEnd w:id="6"/>
      <w:bookmarkEnd w:id="7"/>
      <w:bookmarkEnd w:id="8"/>
    </w:p>
    <w:p w:rsidR="00806A1C" w:rsidRPr="001A01AB" w:rsidRDefault="00806A1C" w:rsidP="003D0E5A">
      <w:pPr>
        <w:autoSpaceDE w:val="0"/>
        <w:autoSpaceDN w:val="0"/>
        <w:adjustRightInd w:val="0"/>
        <w:jc w:val="both"/>
        <w:rPr>
          <w:rFonts w:ascii="Calibri" w:hAnsi="Calibri" w:cs="Calibri"/>
          <w:lang w:val="es-GT" w:eastAsia="es-GT"/>
        </w:rPr>
      </w:pPr>
    </w:p>
    <w:p w:rsidR="00700144" w:rsidRPr="001A01AB" w:rsidRDefault="00700144" w:rsidP="00700144">
      <w:pPr>
        <w:jc w:val="both"/>
        <w:rPr>
          <w:rFonts w:ascii="Calibri" w:hAnsi="Calibri" w:cs="Calibri"/>
          <w:lang w:val="es-GT"/>
        </w:rPr>
      </w:pPr>
      <w:r w:rsidRPr="001A01AB">
        <w:rPr>
          <w:rFonts w:ascii="Calibri" w:hAnsi="Calibri" w:cs="Calibri"/>
          <w:lang w:val="es-GT"/>
        </w:rPr>
        <w:t>Aunque existen diferentes enfoques acerca del desarrollo, cuando de abordar el desarrollo rural se trata, es útil recurrir a la visión sistémica. En este sentido</w:t>
      </w:r>
      <w:r w:rsidR="003A1F29">
        <w:rPr>
          <w:rFonts w:ascii="Calibri" w:hAnsi="Calibri" w:cs="Calibri"/>
          <w:lang w:val="es-GT"/>
        </w:rPr>
        <w:t>,</w:t>
      </w:r>
      <w:r w:rsidRPr="001A01AB">
        <w:rPr>
          <w:rFonts w:ascii="Calibri" w:hAnsi="Calibri" w:cs="Calibri"/>
          <w:lang w:val="es-GT"/>
        </w:rPr>
        <w:t xml:space="preserve"> la literatura especializada pla</w:t>
      </w:r>
      <w:r w:rsidR="003A1F29">
        <w:rPr>
          <w:rFonts w:ascii="Calibri" w:hAnsi="Calibri" w:cs="Calibri"/>
          <w:lang w:val="es-GT"/>
        </w:rPr>
        <w:t>n</w:t>
      </w:r>
      <w:r w:rsidRPr="001A01AB">
        <w:rPr>
          <w:rFonts w:ascii="Calibri" w:hAnsi="Calibri" w:cs="Calibri"/>
          <w:lang w:val="es-GT"/>
        </w:rPr>
        <w:t>tea que el desarrollo se refiere a un proceso de mejoramiento cuantitativo y cualitativo que puede sostenerse en el tiempo, al menos para las dimensiones económica, social, natural e institucional. El mejoramiento debe ser simultáneo p</w:t>
      </w:r>
      <w:r w:rsidR="003A1F29">
        <w:rPr>
          <w:rFonts w:ascii="Calibri" w:hAnsi="Calibri" w:cs="Calibri"/>
          <w:lang w:val="es-GT"/>
        </w:rPr>
        <w:t>ara estas dimensiones, sistémico y</w:t>
      </w:r>
      <w:r w:rsidRPr="001A01AB">
        <w:rPr>
          <w:rFonts w:ascii="Calibri" w:hAnsi="Calibri" w:cs="Calibri"/>
          <w:lang w:val="es-GT"/>
        </w:rPr>
        <w:t xml:space="preserve"> no sectorial. </w:t>
      </w:r>
    </w:p>
    <w:p w:rsidR="00700144" w:rsidRPr="001A01AB" w:rsidRDefault="00700144" w:rsidP="00700144">
      <w:pPr>
        <w:jc w:val="both"/>
        <w:rPr>
          <w:rFonts w:ascii="Calibri" w:hAnsi="Calibri" w:cs="Calibri"/>
          <w:lang w:val="es-GT"/>
        </w:rPr>
      </w:pPr>
    </w:p>
    <w:p w:rsidR="00700144" w:rsidRPr="001A01AB" w:rsidRDefault="00700144" w:rsidP="00700144">
      <w:pPr>
        <w:jc w:val="both"/>
        <w:rPr>
          <w:rFonts w:ascii="Calibri" w:hAnsi="Calibri" w:cs="Calibri"/>
          <w:lang w:val="es-GT"/>
        </w:rPr>
      </w:pPr>
      <w:r w:rsidRPr="001A01AB">
        <w:rPr>
          <w:rFonts w:ascii="Calibri" w:hAnsi="Calibri" w:cs="Calibri"/>
          <w:lang w:val="es-GT"/>
        </w:rPr>
        <w:t>Este concepto brinda los elementos conceptuales centrales para encausar estrategias concretas que permitan enfrentar la complejidad de las carencias que padecen miles de familias que habitan en los territorios rurales de Guatemala. Parece existir un amplio consenso</w:t>
      </w:r>
      <w:r w:rsidR="00141A70">
        <w:rPr>
          <w:rFonts w:ascii="Calibri" w:hAnsi="Calibri" w:cs="Calibri"/>
          <w:lang w:val="es-GT"/>
        </w:rPr>
        <w:t xml:space="preserve"> </w:t>
      </w:r>
      <w:r w:rsidRPr="001A01AB">
        <w:rPr>
          <w:rFonts w:ascii="Calibri" w:hAnsi="Calibri" w:cs="Calibri"/>
          <w:lang w:val="es-GT"/>
        </w:rPr>
        <w:t>acerca de que la única posibilidad que tienen esas familias para superar la pobreza es a partir de acciones integrales, de escala apropiada y con la continuidad que demanda la profundidad de las carencias. La política pública, inspirada en el mandato constitucional del bien común, así como las acciones privadas y de la cooperación internacional, deben converger en torno de estas aspiraciones para incrementar su efectividad y eficacia.</w:t>
      </w:r>
    </w:p>
    <w:p w:rsidR="00700144" w:rsidRPr="001A01AB" w:rsidRDefault="00700144" w:rsidP="00700144">
      <w:pPr>
        <w:jc w:val="both"/>
        <w:rPr>
          <w:rFonts w:ascii="Calibri" w:hAnsi="Calibri" w:cs="Calibri"/>
          <w:lang w:val="es-GT"/>
        </w:rPr>
      </w:pPr>
    </w:p>
    <w:p w:rsidR="00700144" w:rsidRPr="001A01AB" w:rsidRDefault="00700144" w:rsidP="00700144">
      <w:pPr>
        <w:jc w:val="both"/>
        <w:rPr>
          <w:rFonts w:ascii="Calibri" w:hAnsi="Calibri" w:cs="Calibri"/>
          <w:lang w:val="es-GT"/>
        </w:rPr>
      </w:pPr>
      <w:r w:rsidRPr="004E2ECE">
        <w:rPr>
          <w:rFonts w:ascii="Calibri" w:hAnsi="Calibri" w:cs="Calibri"/>
          <w:lang w:val="es-GT"/>
        </w:rPr>
        <w:t xml:space="preserve">Según la Encuesta </w:t>
      </w:r>
      <w:r w:rsidR="003A1F29" w:rsidRPr="004E2ECE">
        <w:rPr>
          <w:rFonts w:ascii="Calibri" w:hAnsi="Calibri" w:cs="Calibri"/>
          <w:lang w:val="es-GT"/>
        </w:rPr>
        <w:t xml:space="preserve">Nacional </w:t>
      </w:r>
      <w:r w:rsidRPr="004E2ECE">
        <w:rPr>
          <w:rFonts w:ascii="Calibri" w:hAnsi="Calibri" w:cs="Calibri"/>
          <w:lang w:val="es-GT"/>
        </w:rPr>
        <w:t xml:space="preserve">de Condiciones de Vida </w:t>
      </w:r>
      <w:r w:rsidR="003A1F29" w:rsidRPr="004E2ECE">
        <w:rPr>
          <w:rFonts w:ascii="Calibri" w:hAnsi="Calibri" w:cs="Calibri"/>
          <w:lang w:val="es-GT"/>
        </w:rPr>
        <w:t xml:space="preserve">2011 </w:t>
      </w:r>
      <w:r w:rsidRPr="004E2ECE">
        <w:rPr>
          <w:rFonts w:ascii="Calibri" w:hAnsi="Calibri" w:cs="Calibri"/>
          <w:lang w:val="es-GT"/>
        </w:rPr>
        <w:t>del Instituto Nacional de Estadística (INE</w:t>
      </w:r>
      <w:r w:rsidR="004E2ECE" w:rsidRPr="004E2ECE">
        <w:rPr>
          <w:rFonts w:ascii="Calibri" w:hAnsi="Calibri" w:cs="Calibri"/>
          <w:lang w:val="es-GT"/>
        </w:rPr>
        <w:t>, 2012</w:t>
      </w:r>
      <w:r w:rsidRPr="004E2ECE">
        <w:rPr>
          <w:rFonts w:ascii="Calibri" w:hAnsi="Calibri" w:cs="Calibri"/>
          <w:lang w:val="es-GT"/>
        </w:rPr>
        <w:t>)</w:t>
      </w:r>
      <w:r w:rsidR="003A1F29" w:rsidRPr="004E2ECE">
        <w:rPr>
          <w:rFonts w:ascii="Calibri" w:hAnsi="Calibri" w:cs="Calibri"/>
          <w:lang w:val="es-GT"/>
        </w:rPr>
        <w:t>,</w:t>
      </w:r>
      <w:r w:rsidRPr="004E2ECE">
        <w:rPr>
          <w:rFonts w:ascii="Calibri" w:hAnsi="Calibri" w:cs="Calibri"/>
          <w:lang w:val="es-GT"/>
        </w:rPr>
        <w:t xml:space="preserve"> la</w:t>
      </w:r>
      <w:r w:rsidRPr="001A01AB">
        <w:rPr>
          <w:rFonts w:ascii="Calibri" w:hAnsi="Calibri" w:cs="Calibri"/>
          <w:lang w:val="es-GT"/>
        </w:rPr>
        <w:t xml:space="preserve"> pobreza en Guatemala es predominantemente rural, pues el 64% de los pobres y el 79% de </w:t>
      </w:r>
      <w:r w:rsidR="003A1F29">
        <w:rPr>
          <w:rFonts w:ascii="Calibri" w:hAnsi="Calibri" w:cs="Calibri"/>
          <w:lang w:val="es-GT"/>
        </w:rPr>
        <w:t>la pobreza extrema se concentran</w:t>
      </w:r>
      <w:r w:rsidRPr="001A01AB">
        <w:rPr>
          <w:rFonts w:ascii="Calibri" w:hAnsi="Calibri" w:cs="Calibri"/>
          <w:lang w:val="es-GT"/>
        </w:rPr>
        <w:t xml:space="preserve"> en las áreas rurales del país. La población más afectada son niños, mujeres e indígenas. Consecuentemente, el 52% de los niños del área rural y el 58% de la población indígena sufren de desnutrición crónica.</w:t>
      </w:r>
    </w:p>
    <w:p w:rsidR="00700144" w:rsidRPr="001A01AB" w:rsidRDefault="00700144" w:rsidP="00700144">
      <w:pPr>
        <w:jc w:val="both"/>
        <w:rPr>
          <w:rFonts w:ascii="Calibri" w:hAnsi="Calibri" w:cs="Calibri"/>
          <w:lang w:val="es-GT"/>
        </w:rPr>
      </w:pPr>
    </w:p>
    <w:p w:rsidR="00700144" w:rsidRPr="001A01AB" w:rsidRDefault="003A1F29" w:rsidP="00700144">
      <w:pPr>
        <w:jc w:val="both"/>
        <w:rPr>
          <w:rFonts w:ascii="Calibri" w:hAnsi="Calibri" w:cs="Calibri"/>
          <w:lang w:val="es-GT"/>
        </w:rPr>
      </w:pPr>
      <w:r>
        <w:rPr>
          <w:rFonts w:ascii="Calibri" w:hAnsi="Calibri" w:cs="Calibri"/>
          <w:lang w:val="es-GT"/>
        </w:rPr>
        <w:t>El país</w:t>
      </w:r>
      <w:r w:rsidR="00700144" w:rsidRPr="001A01AB">
        <w:rPr>
          <w:rFonts w:ascii="Calibri" w:hAnsi="Calibri" w:cs="Calibri"/>
          <w:lang w:val="es-GT"/>
        </w:rPr>
        <w:t xml:space="preserve"> ha promocionado diversos programas y proyectos encaminados a erradicar la pobreza rural, pe</w:t>
      </w:r>
      <w:r>
        <w:rPr>
          <w:rFonts w:ascii="Calibri" w:hAnsi="Calibri" w:cs="Calibri"/>
          <w:lang w:val="es-GT"/>
        </w:rPr>
        <w:t>ro no ha logrado disminuir su</w:t>
      </w:r>
      <w:r w:rsidR="00700144" w:rsidRPr="001A01AB">
        <w:rPr>
          <w:rFonts w:ascii="Calibri" w:hAnsi="Calibri" w:cs="Calibri"/>
          <w:lang w:val="es-GT"/>
        </w:rPr>
        <w:t>s niveles de pobreza. Si se consideran las inversiones del gobierno central, así como de los consejos departamentales de desarrollo y de los gobiernos municipales, el gasto público rural en Guatemala es de 272 dólares per cápita, superior al promedio latinoamericano de 140 dólares per cápita. El gasto público rural se ha dirigido principalmente a infraestructura rural (43% del total), como construcción de carreteras y gastos de reconstrucción, y a gasto social (25%), como las transferencias condicionadas. La inversión productiva y la dinamización de economías campesinas ha sido dejada en segundo plano. La política pública ha demostrado bajos niveles de efectividad, dispersión de esfuerzos y desarticulación de iniciativas.</w:t>
      </w:r>
    </w:p>
    <w:p w:rsidR="00700144" w:rsidRPr="001A01AB" w:rsidRDefault="00700144" w:rsidP="00700144">
      <w:pPr>
        <w:jc w:val="both"/>
        <w:rPr>
          <w:rFonts w:ascii="Calibri" w:hAnsi="Calibri" w:cs="Calibri"/>
          <w:lang w:val="es-GT"/>
        </w:rPr>
      </w:pPr>
    </w:p>
    <w:p w:rsidR="00700144" w:rsidRPr="001A01AB" w:rsidRDefault="003A1F29" w:rsidP="00700144">
      <w:pPr>
        <w:jc w:val="both"/>
        <w:rPr>
          <w:rFonts w:ascii="Calibri" w:hAnsi="Calibri" w:cs="Calibri"/>
          <w:lang w:val="es-GT"/>
        </w:rPr>
      </w:pPr>
      <w:r>
        <w:rPr>
          <w:rFonts w:ascii="Calibri" w:hAnsi="Calibri" w:cs="Calibri"/>
          <w:lang w:val="es-GT"/>
        </w:rPr>
        <w:t>Se podría</w:t>
      </w:r>
      <w:r w:rsidR="00700144" w:rsidRPr="001A01AB">
        <w:rPr>
          <w:rFonts w:ascii="Calibri" w:hAnsi="Calibri" w:cs="Calibri"/>
          <w:lang w:val="es-GT"/>
        </w:rPr>
        <w:t xml:space="preserve"> decir que las políticas públicas actuales han fracaso en la ten</w:t>
      </w:r>
      <w:r>
        <w:rPr>
          <w:rFonts w:ascii="Calibri" w:hAnsi="Calibri" w:cs="Calibri"/>
          <w:lang w:val="es-GT"/>
        </w:rPr>
        <w:t>tativa de reducir</w:t>
      </w:r>
      <w:r w:rsidR="00700144" w:rsidRPr="001A01AB">
        <w:rPr>
          <w:rFonts w:ascii="Calibri" w:hAnsi="Calibri" w:cs="Calibri"/>
          <w:lang w:val="es-GT"/>
        </w:rPr>
        <w:t xml:space="preserve"> la pobreza rural, lo cual se refleja en el hecho que durante los últimos 15 años los niveles de pobreza no han disminuido, empeorando la posición del país en comparación con otros países latinoamericanos. La inseguridad alimentaria también presenta un estancamiento de sus principales indicadores, lo que ubica a Guatemala entre los países </w:t>
      </w:r>
      <w:r w:rsidRPr="001A01AB">
        <w:rPr>
          <w:rFonts w:ascii="Calibri" w:hAnsi="Calibri" w:cs="Calibri"/>
          <w:lang w:val="es-GT"/>
        </w:rPr>
        <w:t xml:space="preserve">de Latinoamérica </w:t>
      </w:r>
      <w:r w:rsidR="00700144" w:rsidRPr="001A01AB">
        <w:rPr>
          <w:rFonts w:ascii="Calibri" w:hAnsi="Calibri" w:cs="Calibri"/>
          <w:lang w:val="es-GT"/>
        </w:rPr>
        <w:t>más rezagados en dicha materia.</w:t>
      </w:r>
    </w:p>
    <w:p w:rsidR="00700144" w:rsidRDefault="00700144" w:rsidP="00700144">
      <w:pPr>
        <w:rPr>
          <w:rFonts w:ascii="Arial Narrow" w:hAnsi="Arial Narrow"/>
          <w:sz w:val="23"/>
          <w:szCs w:val="23"/>
          <w:lang w:val="es-GT"/>
        </w:rPr>
      </w:pPr>
    </w:p>
    <w:p w:rsidR="00700144" w:rsidRPr="001A01AB" w:rsidRDefault="00700144" w:rsidP="00700144">
      <w:pPr>
        <w:jc w:val="both"/>
        <w:rPr>
          <w:rFonts w:ascii="Calibri" w:hAnsi="Calibri" w:cs="Calibri"/>
          <w:lang w:val="es-GT"/>
        </w:rPr>
      </w:pPr>
      <w:r w:rsidRPr="001A01AB">
        <w:rPr>
          <w:rFonts w:ascii="Calibri" w:hAnsi="Calibri" w:cs="Calibri"/>
          <w:lang w:val="es-GT"/>
        </w:rPr>
        <w:t xml:space="preserve">Por otro lado, también se ha documentado que </w:t>
      </w:r>
      <w:r w:rsidR="003A1F29">
        <w:rPr>
          <w:rFonts w:ascii="Calibri" w:hAnsi="Calibri" w:cs="Calibri"/>
          <w:lang w:val="es-GT"/>
        </w:rPr>
        <w:t>el</w:t>
      </w:r>
      <w:r w:rsidRPr="001A01AB">
        <w:rPr>
          <w:rFonts w:ascii="Calibri" w:hAnsi="Calibri" w:cs="Calibri"/>
          <w:lang w:val="es-GT"/>
        </w:rPr>
        <w:t xml:space="preserve"> déficit en la gestión del bienestar humano se refuerza mutuamente con el déficit en la gestión d</w:t>
      </w:r>
      <w:r w:rsidR="003A1F29">
        <w:rPr>
          <w:rFonts w:ascii="Calibri" w:hAnsi="Calibri" w:cs="Calibri"/>
          <w:lang w:val="es-GT"/>
        </w:rPr>
        <w:t>el ambiente natural. Este hecho</w:t>
      </w:r>
      <w:r w:rsidRPr="001A01AB">
        <w:rPr>
          <w:rFonts w:ascii="Calibri" w:hAnsi="Calibri" w:cs="Calibri"/>
          <w:lang w:val="es-GT"/>
        </w:rPr>
        <w:t xml:space="preserve"> hace más difícil a grupos marginados, como las mujeres y los niños,</w:t>
      </w:r>
      <w:r w:rsidR="00141A70">
        <w:rPr>
          <w:rFonts w:ascii="Calibri" w:hAnsi="Calibri" w:cs="Calibri"/>
          <w:lang w:val="es-GT"/>
        </w:rPr>
        <w:t xml:space="preserve"> </w:t>
      </w:r>
      <w:r w:rsidRPr="001A01AB">
        <w:rPr>
          <w:rFonts w:ascii="Calibri" w:hAnsi="Calibri" w:cs="Calibri"/>
          <w:lang w:val="es-GT"/>
        </w:rPr>
        <w:t xml:space="preserve">atender necesidades fundamentales </w:t>
      </w:r>
      <w:r w:rsidR="003A1F29">
        <w:rPr>
          <w:rFonts w:ascii="Calibri" w:hAnsi="Calibri" w:cs="Calibri"/>
          <w:lang w:val="es-GT"/>
        </w:rPr>
        <w:lastRenderedPageBreak/>
        <w:t>vinculadas con</w:t>
      </w:r>
      <w:r w:rsidRPr="001A01AB">
        <w:rPr>
          <w:rFonts w:ascii="Calibri" w:hAnsi="Calibri" w:cs="Calibri"/>
          <w:lang w:val="es-GT"/>
        </w:rPr>
        <w:t xml:space="preserve"> la ene</w:t>
      </w:r>
      <w:r w:rsidR="003A1F29">
        <w:rPr>
          <w:rFonts w:ascii="Calibri" w:hAnsi="Calibri" w:cs="Calibri"/>
          <w:lang w:val="es-GT"/>
        </w:rPr>
        <w:t>rgía, el agua, la biodiversidad y</w:t>
      </w:r>
      <w:r w:rsidRPr="001A01AB">
        <w:rPr>
          <w:rFonts w:ascii="Calibri" w:hAnsi="Calibri" w:cs="Calibri"/>
          <w:lang w:val="es-GT"/>
        </w:rPr>
        <w:t xml:space="preserve"> el saneamiento. Esos aspectos, como veremos a lo largo de la presente evaluación, impulsan la vulnerabilidad sistémica.</w:t>
      </w:r>
    </w:p>
    <w:p w:rsidR="00700144" w:rsidRPr="001A01AB" w:rsidRDefault="00700144" w:rsidP="00700144">
      <w:pPr>
        <w:autoSpaceDE w:val="0"/>
        <w:autoSpaceDN w:val="0"/>
        <w:adjustRightInd w:val="0"/>
        <w:jc w:val="both"/>
        <w:rPr>
          <w:rFonts w:ascii="Calibri" w:hAnsi="Calibri" w:cs="Calibri"/>
          <w:lang w:val="es-GT" w:eastAsia="es-GT"/>
        </w:rPr>
      </w:pPr>
    </w:p>
    <w:p w:rsidR="00700144" w:rsidRPr="001A01AB" w:rsidRDefault="00700144" w:rsidP="00700144">
      <w:pPr>
        <w:autoSpaceDE w:val="0"/>
        <w:autoSpaceDN w:val="0"/>
        <w:adjustRightInd w:val="0"/>
        <w:jc w:val="both"/>
        <w:rPr>
          <w:rFonts w:ascii="Calibri" w:hAnsi="Calibri" w:cs="Calibri"/>
          <w:lang w:val="es-GT" w:eastAsia="es-GT"/>
        </w:rPr>
      </w:pPr>
      <w:r w:rsidRPr="001A01AB">
        <w:rPr>
          <w:rFonts w:ascii="Calibri" w:hAnsi="Calibri" w:cs="Calibri"/>
          <w:lang w:val="es-GT" w:eastAsia="es-GT"/>
        </w:rPr>
        <w:t>Bajo un contexto como este, uno de los desafíos más grandes en materia de política pública, de inversiones privadas y del acompañamiento de la cooperación inter</w:t>
      </w:r>
      <w:r w:rsidR="001F68E7">
        <w:rPr>
          <w:rFonts w:ascii="Calibri" w:hAnsi="Calibri" w:cs="Calibri"/>
          <w:lang w:val="es-GT" w:eastAsia="es-GT"/>
        </w:rPr>
        <w:t>naciona</w:t>
      </w:r>
      <w:r w:rsidRPr="001A01AB">
        <w:rPr>
          <w:rFonts w:ascii="Calibri" w:hAnsi="Calibri" w:cs="Calibri"/>
          <w:lang w:val="es-GT" w:eastAsia="es-GT"/>
        </w:rPr>
        <w:t>l</w:t>
      </w:r>
      <w:r w:rsidR="001F68E7">
        <w:rPr>
          <w:rFonts w:ascii="Calibri" w:hAnsi="Calibri" w:cs="Calibri"/>
          <w:lang w:val="es-GT" w:eastAsia="es-GT"/>
        </w:rPr>
        <w:t>,</w:t>
      </w:r>
      <w:r w:rsidRPr="001A01AB">
        <w:rPr>
          <w:rFonts w:ascii="Calibri" w:hAnsi="Calibri" w:cs="Calibri"/>
          <w:lang w:val="es-GT" w:eastAsia="es-GT"/>
        </w:rPr>
        <w:t xml:space="preserve"> gira en torno a la necesidad de promover m</w:t>
      </w:r>
      <w:r w:rsidR="001F68E7">
        <w:rPr>
          <w:rFonts w:ascii="Calibri" w:hAnsi="Calibri" w:cs="Calibri"/>
          <w:lang w:val="es-GT" w:eastAsia="es-GT"/>
        </w:rPr>
        <w:t>otores de crecimiento económico</w:t>
      </w:r>
      <w:r w:rsidRPr="001A01AB">
        <w:rPr>
          <w:rFonts w:ascii="Calibri" w:hAnsi="Calibri" w:cs="Calibri"/>
          <w:lang w:val="es-GT" w:eastAsia="es-GT"/>
        </w:rPr>
        <w:t xml:space="preserve"> de diferente escala</w:t>
      </w:r>
      <w:r w:rsidR="001F68E7">
        <w:rPr>
          <w:rFonts w:ascii="Calibri" w:hAnsi="Calibri" w:cs="Calibri"/>
          <w:lang w:val="es-GT" w:eastAsia="es-GT"/>
        </w:rPr>
        <w:t>,</w:t>
      </w:r>
      <w:r w:rsidRPr="001A01AB">
        <w:rPr>
          <w:rFonts w:ascii="Calibri" w:hAnsi="Calibri" w:cs="Calibri"/>
          <w:lang w:val="es-GT" w:eastAsia="es-GT"/>
        </w:rPr>
        <w:t xml:space="preserve"> con la capacidad de involucrar a diferentes categorías de productores rurales y evitando profundizar los problemas ambientales que</w:t>
      </w:r>
      <w:r w:rsidR="001F68E7">
        <w:rPr>
          <w:rFonts w:ascii="Calibri" w:hAnsi="Calibri" w:cs="Calibri"/>
          <w:lang w:val="es-GT" w:eastAsia="es-GT"/>
        </w:rPr>
        <w:t>,</w:t>
      </w:r>
      <w:r w:rsidRPr="001A01AB">
        <w:rPr>
          <w:rFonts w:ascii="Calibri" w:hAnsi="Calibri" w:cs="Calibri"/>
          <w:lang w:val="es-GT" w:eastAsia="es-GT"/>
        </w:rPr>
        <w:t xml:space="preserve"> en muchos casos</w:t>
      </w:r>
      <w:r w:rsidR="001F68E7">
        <w:rPr>
          <w:rFonts w:ascii="Calibri" w:hAnsi="Calibri" w:cs="Calibri"/>
          <w:lang w:val="es-GT" w:eastAsia="es-GT"/>
        </w:rPr>
        <w:t>,</w:t>
      </w:r>
      <w:r w:rsidRPr="001A01AB">
        <w:rPr>
          <w:rFonts w:ascii="Calibri" w:hAnsi="Calibri" w:cs="Calibri"/>
          <w:lang w:val="es-GT" w:eastAsia="es-GT"/>
        </w:rPr>
        <w:t xml:space="preserve"> ya alcanzan dimensiones de crisis, no solo biofísicas, sino también sociales. Este último aspecto es particularmente cierto cuando las actividades productivas que se promueven tienen</w:t>
      </w:r>
      <w:r w:rsidR="00141A70">
        <w:rPr>
          <w:rFonts w:ascii="Calibri" w:hAnsi="Calibri" w:cs="Calibri"/>
          <w:lang w:val="es-GT" w:eastAsia="es-GT"/>
        </w:rPr>
        <w:t xml:space="preserve"> </w:t>
      </w:r>
      <w:r w:rsidRPr="001A01AB">
        <w:rPr>
          <w:rFonts w:ascii="Calibri" w:hAnsi="Calibri" w:cs="Calibri"/>
          <w:lang w:val="es-GT" w:eastAsia="es-GT"/>
        </w:rPr>
        <w:t>el potencial de activar la violencia y la fragmentación. La minería y otras actividades extractivas que compiten por la tierra y otros recursos estratégicos como el agua, son ejemplos de focos de conflictividad actual.</w:t>
      </w:r>
    </w:p>
    <w:p w:rsidR="00700144" w:rsidRPr="001A01AB" w:rsidRDefault="00700144" w:rsidP="00700144">
      <w:pPr>
        <w:autoSpaceDE w:val="0"/>
        <w:autoSpaceDN w:val="0"/>
        <w:adjustRightInd w:val="0"/>
        <w:jc w:val="both"/>
        <w:rPr>
          <w:rFonts w:ascii="Calibri" w:hAnsi="Calibri" w:cs="Calibri"/>
          <w:lang w:val="es-GT" w:eastAsia="es-GT"/>
        </w:rPr>
      </w:pPr>
    </w:p>
    <w:p w:rsidR="00700144" w:rsidRPr="001A01AB" w:rsidRDefault="00700144" w:rsidP="00700144">
      <w:pPr>
        <w:autoSpaceDE w:val="0"/>
        <w:autoSpaceDN w:val="0"/>
        <w:adjustRightInd w:val="0"/>
        <w:jc w:val="both"/>
        <w:rPr>
          <w:rFonts w:ascii="Calibri" w:hAnsi="Calibri" w:cs="Calibri"/>
          <w:lang w:val="es-GT" w:eastAsia="es-GT"/>
        </w:rPr>
      </w:pPr>
      <w:r w:rsidRPr="001A01AB">
        <w:rPr>
          <w:rFonts w:ascii="Calibri" w:hAnsi="Calibri" w:cs="Calibri"/>
          <w:lang w:val="es-GT" w:eastAsia="es-GT"/>
        </w:rPr>
        <w:t xml:space="preserve">Una </w:t>
      </w:r>
      <w:r w:rsidR="001F68E7">
        <w:rPr>
          <w:rFonts w:ascii="Calibri" w:hAnsi="Calibri" w:cs="Calibri"/>
          <w:lang w:val="es-GT" w:eastAsia="es-GT"/>
        </w:rPr>
        <w:t>de las herramientas que empieza</w:t>
      </w:r>
      <w:r w:rsidRPr="001A01AB">
        <w:rPr>
          <w:rFonts w:ascii="Calibri" w:hAnsi="Calibri" w:cs="Calibri"/>
          <w:lang w:val="es-GT" w:eastAsia="es-GT"/>
        </w:rPr>
        <w:t xml:space="preserve"> a tomar un lugar importante en los procesos de conceptualización, diseño y puesta en marcha de políticas públicas, son las denominadas Evaluaciones Ambientales Estratégicas (EAE). Au</w:t>
      </w:r>
      <w:r w:rsidR="001F68E7">
        <w:rPr>
          <w:rFonts w:ascii="Calibri" w:hAnsi="Calibri" w:cs="Calibri"/>
          <w:lang w:val="es-GT" w:eastAsia="es-GT"/>
        </w:rPr>
        <w:t>nque en el ámbito internacional</w:t>
      </w:r>
      <w:r w:rsidRPr="001A01AB">
        <w:rPr>
          <w:rFonts w:ascii="Calibri" w:hAnsi="Calibri" w:cs="Calibri"/>
          <w:lang w:val="es-GT" w:eastAsia="es-GT"/>
        </w:rPr>
        <w:t xml:space="preserve"> el instrumento</w:t>
      </w:r>
      <w:r w:rsidR="00141A70">
        <w:rPr>
          <w:rFonts w:ascii="Calibri" w:hAnsi="Calibri" w:cs="Calibri"/>
          <w:lang w:val="es-GT" w:eastAsia="es-GT"/>
        </w:rPr>
        <w:t xml:space="preserve"> </w:t>
      </w:r>
      <w:r w:rsidRPr="001A01AB">
        <w:rPr>
          <w:rFonts w:ascii="Calibri" w:hAnsi="Calibri" w:cs="Calibri"/>
          <w:lang w:val="es-GT" w:eastAsia="es-GT"/>
        </w:rPr>
        <w:t>tiene un mayor recorrido, en el ámbito nacional es prácticamente desconocido. No obstante, la legislación nacional, por intermedio del Reglamento de Evaluación, Control y Seguimiento Ambiental, ha previsto su aplicación.</w:t>
      </w:r>
    </w:p>
    <w:p w:rsidR="00700144" w:rsidRPr="001A01AB" w:rsidRDefault="00700144" w:rsidP="00700144">
      <w:pPr>
        <w:autoSpaceDE w:val="0"/>
        <w:autoSpaceDN w:val="0"/>
        <w:adjustRightInd w:val="0"/>
        <w:jc w:val="both"/>
        <w:rPr>
          <w:rFonts w:ascii="Calibri" w:hAnsi="Calibri" w:cs="Calibri"/>
          <w:lang w:val="es-GT" w:eastAsia="es-GT"/>
        </w:rPr>
      </w:pPr>
    </w:p>
    <w:p w:rsidR="00700144" w:rsidRPr="001A01AB" w:rsidRDefault="00700144" w:rsidP="00700144">
      <w:pPr>
        <w:autoSpaceDE w:val="0"/>
        <w:autoSpaceDN w:val="0"/>
        <w:adjustRightInd w:val="0"/>
        <w:jc w:val="both"/>
        <w:rPr>
          <w:rFonts w:ascii="Calibri" w:hAnsi="Calibri" w:cs="Calibri"/>
          <w:lang w:val="es-GT" w:eastAsia="es-GT"/>
        </w:rPr>
      </w:pPr>
      <w:r w:rsidRPr="001A01AB">
        <w:rPr>
          <w:rFonts w:ascii="Calibri" w:hAnsi="Calibri" w:cs="Calibri"/>
          <w:lang w:val="es-GT" w:eastAsia="es-GT"/>
        </w:rPr>
        <w:t>La EAE es un instrumento de política pública que facilita decisiones de naturaleza estratégica, cuyo objetivo es asegurar la integración de las prioridades ambientales nacionales en un contexto de búsqueda de balance entre intereses económicos, sociales y ambientales, con amplio alcance y de largo plazo. Estos instrumentos de planificación están orientados a facilitar la incorporación de consideraciones ambientales desde las fases iniciales del proceso de planificación.</w:t>
      </w:r>
    </w:p>
    <w:p w:rsidR="00700144" w:rsidRPr="001A01AB" w:rsidRDefault="00700144" w:rsidP="00700144">
      <w:pPr>
        <w:autoSpaceDE w:val="0"/>
        <w:autoSpaceDN w:val="0"/>
        <w:adjustRightInd w:val="0"/>
        <w:jc w:val="both"/>
        <w:rPr>
          <w:rFonts w:ascii="Calibri" w:hAnsi="Calibri" w:cs="Calibri"/>
          <w:lang w:val="es-GT" w:eastAsia="es-GT"/>
        </w:rPr>
      </w:pPr>
    </w:p>
    <w:p w:rsidR="00700144" w:rsidRPr="001A01AB" w:rsidRDefault="00700144" w:rsidP="00700144">
      <w:pPr>
        <w:autoSpaceDE w:val="0"/>
        <w:autoSpaceDN w:val="0"/>
        <w:adjustRightInd w:val="0"/>
        <w:jc w:val="both"/>
        <w:rPr>
          <w:rFonts w:ascii="Calibri" w:hAnsi="Calibri" w:cs="Calibri"/>
          <w:lang w:val="es-GT" w:eastAsia="es-GT"/>
        </w:rPr>
      </w:pPr>
      <w:r w:rsidRPr="001A01AB">
        <w:rPr>
          <w:rFonts w:ascii="Calibri" w:hAnsi="Calibri" w:cs="Calibri"/>
          <w:lang w:val="es-GT" w:eastAsia="es-GT"/>
        </w:rPr>
        <w:t xml:space="preserve">A diferencias de los tradicionales Estudios de Impacto Ambiental (EIA), diseñados para mitigar impactos ambientales para proyectos que son inminentes, la EAE es aplicable a </w:t>
      </w:r>
      <w:r w:rsidR="001F68E7" w:rsidRPr="001A01AB">
        <w:rPr>
          <w:rFonts w:ascii="Calibri" w:hAnsi="Calibri" w:cs="Calibri"/>
          <w:lang w:val="es-GT" w:eastAsia="es-GT"/>
        </w:rPr>
        <w:t xml:space="preserve">políticas, planes y programas </w:t>
      </w:r>
      <w:r w:rsidRPr="001A01AB">
        <w:rPr>
          <w:rFonts w:ascii="Calibri" w:hAnsi="Calibri" w:cs="Calibri"/>
          <w:lang w:val="es-GT" w:eastAsia="es-GT"/>
        </w:rPr>
        <w:t>antes de implementarse</w:t>
      </w:r>
      <w:r w:rsidR="001F68E7">
        <w:rPr>
          <w:rFonts w:ascii="Calibri" w:hAnsi="Calibri" w:cs="Calibri"/>
          <w:lang w:val="es-GT" w:eastAsia="es-GT"/>
        </w:rPr>
        <w:t>,</w:t>
      </w:r>
      <w:r w:rsidRPr="001A01AB">
        <w:rPr>
          <w:rFonts w:ascii="Calibri" w:hAnsi="Calibri" w:cs="Calibri"/>
          <w:lang w:val="es-GT" w:eastAsia="es-GT"/>
        </w:rPr>
        <w:t xml:space="preserve"> o para corregir rumbos</w:t>
      </w:r>
      <w:r w:rsidR="001F68E7">
        <w:rPr>
          <w:rFonts w:ascii="Calibri" w:hAnsi="Calibri" w:cs="Calibri"/>
          <w:lang w:val="es-GT" w:eastAsia="es-GT"/>
        </w:rPr>
        <w:t>,</w:t>
      </w:r>
      <w:r w:rsidRPr="001A01AB">
        <w:rPr>
          <w:rFonts w:ascii="Calibri" w:hAnsi="Calibri" w:cs="Calibri"/>
          <w:lang w:val="es-GT" w:eastAsia="es-GT"/>
        </w:rPr>
        <w:t xml:space="preserve"> y tiene un enfoque eminentemente preventivo, una visión amplia. La EAE se aplica sobre el proceso de concepción y elaboración</w:t>
      </w:r>
      <w:r w:rsidR="001F68E7">
        <w:rPr>
          <w:rFonts w:ascii="Calibri" w:hAnsi="Calibri" w:cs="Calibri"/>
          <w:lang w:val="es-GT" w:eastAsia="es-GT"/>
        </w:rPr>
        <w:t>,</w:t>
      </w:r>
      <w:r w:rsidRPr="001A01AB">
        <w:rPr>
          <w:rFonts w:ascii="Calibri" w:hAnsi="Calibri" w:cs="Calibri"/>
          <w:lang w:val="es-GT" w:eastAsia="es-GT"/>
        </w:rPr>
        <w:t xml:space="preserve"> y no sobre su resultado -como es el caso de los EIA-, y busca influenciar el modo y las prioridades de decisión, así como el ámbito de tales decisiones.</w:t>
      </w:r>
    </w:p>
    <w:p w:rsidR="00700144" w:rsidRPr="001A01AB" w:rsidRDefault="00700144" w:rsidP="00700144">
      <w:pPr>
        <w:autoSpaceDE w:val="0"/>
        <w:autoSpaceDN w:val="0"/>
        <w:adjustRightInd w:val="0"/>
        <w:jc w:val="both"/>
        <w:rPr>
          <w:rFonts w:ascii="Calibri" w:hAnsi="Calibri" w:cs="Calibri"/>
          <w:lang w:val="es-GT" w:eastAsia="es-GT"/>
        </w:rPr>
      </w:pPr>
    </w:p>
    <w:p w:rsidR="00700144" w:rsidRPr="001A01AB" w:rsidRDefault="00700144" w:rsidP="00700144">
      <w:pPr>
        <w:autoSpaceDE w:val="0"/>
        <w:autoSpaceDN w:val="0"/>
        <w:adjustRightInd w:val="0"/>
        <w:jc w:val="both"/>
        <w:rPr>
          <w:rFonts w:ascii="Calibri" w:hAnsi="Calibri" w:cs="Calibri"/>
          <w:lang w:val="es-GT" w:eastAsia="es-GT"/>
        </w:rPr>
      </w:pPr>
      <w:r w:rsidRPr="001A01AB">
        <w:rPr>
          <w:rFonts w:ascii="Calibri" w:hAnsi="Calibri" w:cs="Calibri"/>
          <w:lang w:val="es-GT" w:eastAsia="es-GT"/>
        </w:rPr>
        <w:t>Es, una vez superada esta fase, que se deberían autorizar proyectos específicos, sujetos a los respectivos EIA, una visión más reducida. En otros términos la EAE se enfoca en el territorio, en el amplio paisaje, en el ecosistema completo, en la población, en la cuenca, e</w:t>
      </w:r>
      <w:r w:rsidR="001F68E7">
        <w:rPr>
          <w:rFonts w:ascii="Calibri" w:hAnsi="Calibri" w:cs="Calibri"/>
          <w:lang w:val="es-GT" w:eastAsia="es-GT"/>
        </w:rPr>
        <w:t>n la región, incluso en el país;</w:t>
      </w:r>
      <w:r w:rsidRPr="001A01AB">
        <w:rPr>
          <w:rFonts w:ascii="Calibri" w:hAnsi="Calibri" w:cs="Calibri"/>
          <w:lang w:val="es-GT" w:eastAsia="es-GT"/>
        </w:rPr>
        <w:t xml:space="preserve"> en general, en las grandes líneas de intervención. Los EIA, por su lado,</w:t>
      </w:r>
      <w:r w:rsidR="00141A70">
        <w:rPr>
          <w:rFonts w:ascii="Calibri" w:hAnsi="Calibri" w:cs="Calibri"/>
          <w:lang w:val="es-GT" w:eastAsia="es-GT"/>
        </w:rPr>
        <w:t xml:space="preserve"> </w:t>
      </w:r>
      <w:r w:rsidRPr="001A01AB">
        <w:rPr>
          <w:rFonts w:ascii="Calibri" w:hAnsi="Calibri" w:cs="Calibri"/>
          <w:lang w:val="es-GT" w:eastAsia="es-GT"/>
        </w:rPr>
        <w:t xml:space="preserve">se enfocan en la finca, la parcela, el tramo </w:t>
      </w:r>
      <w:r w:rsidR="001F68E7">
        <w:rPr>
          <w:rFonts w:ascii="Calibri" w:hAnsi="Calibri" w:cs="Calibri"/>
          <w:lang w:val="es-GT" w:eastAsia="es-GT"/>
        </w:rPr>
        <w:t>de carretera, la industria;</w:t>
      </w:r>
      <w:r w:rsidRPr="001A01AB">
        <w:rPr>
          <w:rFonts w:ascii="Calibri" w:hAnsi="Calibri" w:cs="Calibri"/>
          <w:lang w:val="es-GT" w:eastAsia="es-GT"/>
        </w:rPr>
        <w:t xml:space="preserve"> en general, en las intervenciones específicas.</w:t>
      </w:r>
    </w:p>
    <w:p w:rsidR="00700144" w:rsidRPr="001A01AB" w:rsidRDefault="00700144" w:rsidP="00700144">
      <w:pPr>
        <w:autoSpaceDE w:val="0"/>
        <w:autoSpaceDN w:val="0"/>
        <w:adjustRightInd w:val="0"/>
        <w:jc w:val="both"/>
        <w:rPr>
          <w:rFonts w:ascii="Calibri" w:hAnsi="Calibri" w:cs="Calibri"/>
          <w:lang w:val="es-GT" w:eastAsia="es-GT"/>
        </w:rPr>
      </w:pPr>
    </w:p>
    <w:p w:rsidR="00700144" w:rsidRPr="001A01AB" w:rsidRDefault="00700144" w:rsidP="00700144">
      <w:pPr>
        <w:autoSpaceDE w:val="0"/>
        <w:autoSpaceDN w:val="0"/>
        <w:adjustRightInd w:val="0"/>
        <w:jc w:val="both"/>
        <w:rPr>
          <w:rFonts w:ascii="Calibri" w:hAnsi="Calibri" w:cs="Calibri"/>
          <w:lang w:val="es-GT" w:eastAsia="es-GT"/>
        </w:rPr>
      </w:pPr>
      <w:r w:rsidRPr="001A01AB">
        <w:rPr>
          <w:rFonts w:ascii="Calibri" w:hAnsi="Calibri" w:cs="Calibri"/>
          <w:lang w:val="es-GT" w:eastAsia="es-GT"/>
        </w:rPr>
        <w:t>En términos genéricos</w:t>
      </w:r>
      <w:r w:rsidR="001F68E7">
        <w:rPr>
          <w:rFonts w:ascii="Calibri" w:hAnsi="Calibri" w:cs="Calibri"/>
          <w:lang w:val="es-GT" w:eastAsia="es-GT"/>
        </w:rPr>
        <w:t>,</w:t>
      </w:r>
      <w:r w:rsidRPr="001A01AB">
        <w:rPr>
          <w:rFonts w:ascii="Calibri" w:hAnsi="Calibri" w:cs="Calibri"/>
          <w:lang w:val="es-GT" w:eastAsia="es-GT"/>
        </w:rPr>
        <w:t xml:space="preserve"> la EAE propicia</w:t>
      </w:r>
      <w:r w:rsidR="001F68E7">
        <w:rPr>
          <w:rFonts w:ascii="Calibri" w:hAnsi="Calibri" w:cs="Calibri"/>
          <w:lang w:val="es-GT" w:eastAsia="es-GT"/>
        </w:rPr>
        <w:t>:</w:t>
      </w:r>
      <w:r w:rsidRPr="001A01AB">
        <w:rPr>
          <w:rFonts w:ascii="Calibri" w:hAnsi="Calibri" w:cs="Calibri"/>
          <w:lang w:val="es-GT" w:eastAsia="es-GT"/>
        </w:rPr>
        <w:t xml:space="preserve"> (i) la integración responsable, apropiada y profunda</w:t>
      </w:r>
      <w:r w:rsidR="00141A70">
        <w:rPr>
          <w:rFonts w:ascii="Calibri" w:hAnsi="Calibri" w:cs="Calibri"/>
          <w:lang w:val="es-GT" w:eastAsia="es-GT"/>
        </w:rPr>
        <w:t xml:space="preserve"> </w:t>
      </w:r>
      <w:r w:rsidRPr="001A01AB">
        <w:rPr>
          <w:rFonts w:ascii="Calibri" w:hAnsi="Calibri" w:cs="Calibri"/>
          <w:lang w:val="es-GT" w:eastAsia="es-GT"/>
        </w:rPr>
        <w:t>de la dimensión ambiental en los procesos de conceptualización, diseño y aplicación de políticas</w:t>
      </w:r>
      <w:r w:rsidR="00B50EDE">
        <w:rPr>
          <w:rFonts w:ascii="Calibri" w:hAnsi="Calibri" w:cs="Calibri"/>
          <w:lang w:val="es-GT" w:eastAsia="es-GT"/>
        </w:rPr>
        <w:t>,</w:t>
      </w:r>
      <w:r w:rsidRPr="001A01AB">
        <w:rPr>
          <w:rFonts w:ascii="Calibri" w:hAnsi="Calibri" w:cs="Calibri"/>
          <w:lang w:val="es-GT" w:eastAsia="es-GT"/>
        </w:rPr>
        <w:t xml:space="preserve"> de modo que operen en un contexto equilibrado entre las dimensiones económicas, sociales ambientales e institucionales; (ii) la dete</w:t>
      </w:r>
      <w:r w:rsidR="00B50EDE">
        <w:rPr>
          <w:rFonts w:ascii="Calibri" w:hAnsi="Calibri" w:cs="Calibri"/>
          <w:lang w:val="es-GT" w:eastAsia="es-GT"/>
        </w:rPr>
        <w:t>cción de potenciales impactos, y</w:t>
      </w:r>
      <w:r w:rsidRPr="001A01AB">
        <w:rPr>
          <w:rFonts w:ascii="Calibri" w:hAnsi="Calibri" w:cs="Calibri"/>
          <w:lang w:val="es-GT" w:eastAsia="es-GT"/>
        </w:rPr>
        <w:t xml:space="preserve"> evaluar y comparar opciones alternativas de desarrollo mientras estas todavía se encuentren en discusión; (iii) la </w:t>
      </w:r>
      <w:r w:rsidRPr="001A01AB">
        <w:rPr>
          <w:rFonts w:ascii="Calibri" w:hAnsi="Calibri" w:cs="Calibri"/>
          <w:lang w:val="es-GT" w:eastAsia="es-GT"/>
        </w:rPr>
        <w:lastRenderedPageBreak/>
        <w:t>provisión del marco sistémico, incluida la dimensión ambiental, dentro del cual han de operar la política y sus instrumen</w:t>
      </w:r>
      <w:r w:rsidR="00B50EDE">
        <w:rPr>
          <w:rFonts w:ascii="Calibri" w:hAnsi="Calibri" w:cs="Calibri"/>
          <w:lang w:val="es-GT" w:eastAsia="es-GT"/>
        </w:rPr>
        <w:t>tos específicos, debiendo éstos</w:t>
      </w:r>
      <w:r w:rsidRPr="001A01AB">
        <w:rPr>
          <w:rFonts w:ascii="Calibri" w:hAnsi="Calibri" w:cs="Calibri"/>
          <w:lang w:val="es-GT" w:eastAsia="es-GT"/>
        </w:rPr>
        <w:t xml:space="preserve"> considerar ese marco en su diseño e implementación; (iv) la </w:t>
      </w:r>
      <w:r w:rsidR="00B50EDE">
        <w:rPr>
          <w:rFonts w:ascii="Calibri" w:hAnsi="Calibri" w:cs="Calibri"/>
          <w:lang w:val="es-GT" w:eastAsia="es-GT"/>
        </w:rPr>
        <w:t>toma de decisiones más informadas con relación a</w:t>
      </w:r>
      <w:r w:rsidRPr="001A01AB">
        <w:rPr>
          <w:rFonts w:ascii="Calibri" w:hAnsi="Calibri" w:cs="Calibri"/>
          <w:lang w:val="es-GT" w:eastAsia="es-GT"/>
        </w:rPr>
        <w:t xml:space="preserve"> las implicaciones ambientales que tendrán las intervenciones económicas que involucraran a ciertos actores sociales e institucionales;</w:t>
      </w:r>
      <w:r w:rsidR="00141A70">
        <w:rPr>
          <w:rFonts w:ascii="Calibri" w:hAnsi="Calibri" w:cs="Calibri"/>
          <w:lang w:val="es-GT" w:eastAsia="es-GT"/>
        </w:rPr>
        <w:t xml:space="preserve"> </w:t>
      </w:r>
      <w:r w:rsidRPr="001A01AB">
        <w:rPr>
          <w:rFonts w:ascii="Calibri" w:hAnsi="Calibri" w:cs="Calibri"/>
          <w:lang w:val="es-GT" w:eastAsia="es-GT"/>
        </w:rPr>
        <w:t>(v) el esclarecimiento de las condiciones bajo las cuales deberán diseñarse proyectos específicos tendientes a mejorar una realidad determinada y que deberán ser sujeto de evaluaciones específ</w:t>
      </w:r>
      <w:r w:rsidR="00B50EDE">
        <w:rPr>
          <w:rFonts w:ascii="Calibri" w:hAnsi="Calibri" w:cs="Calibri"/>
          <w:lang w:val="es-GT" w:eastAsia="es-GT"/>
        </w:rPr>
        <w:t>icas de impacto ambiental (EIA),</w:t>
      </w:r>
      <w:r w:rsidRPr="001A01AB">
        <w:rPr>
          <w:rFonts w:ascii="Calibri" w:hAnsi="Calibri" w:cs="Calibri"/>
          <w:lang w:val="es-GT" w:eastAsia="es-GT"/>
        </w:rPr>
        <w:t xml:space="preserve"> en algunos casos previstos por la legislación nacional.</w:t>
      </w:r>
    </w:p>
    <w:p w:rsidR="00700144" w:rsidRPr="001A01AB" w:rsidRDefault="00700144" w:rsidP="00700144">
      <w:pPr>
        <w:autoSpaceDE w:val="0"/>
        <w:autoSpaceDN w:val="0"/>
        <w:adjustRightInd w:val="0"/>
        <w:jc w:val="both"/>
        <w:rPr>
          <w:rFonts w:ascii="Calibri" w:hAnsi="Calibri" w:cs="Calibri"/>
          <w:lang w:val="es-GT" w:eastAsia="es-GT"/>
        </w:rPr>
      </w:pPr>
    </w:p>
    <w:p w:rsidR="00700144" w:rsidRPr="001A01AB" w:rsidRDefault="00700144" w:rsidP="00700144">
      <w:pPr>
        <w:autoSpaceDE w:val="0"/>
        <w:autoSpaceDN w:val="0"/>
        <w:adjustRightInd w:val="0"/>
        <w:jc w:val="both"/>
        <w:rPr>
          <w:rFonts w:ascii="Calibri" w:hAnsi="Calibri" w:cs="Calibri"/>
          <w:lang w:val="es-GT" w:eastAsia="es-GT"/>
        </w:rPr>
      </w:pPr>
      <w:r w:rsidRPr="001A01AB">
        <w:rPr>
          <w:rFonts w:ascii="Calibri" w:hAnsi="Calibri" w:cs="Calibri"/>
          <w:lang w:val="es-GT" w:eastAsia="es-GT"/>
        </w:rPr>
        <w:t xml:space="preserve">Es en consideración a estos preceptos que se ha diseñado la presente Evaluación Estratégica Ambiental destinada a atender las implicaciones que tiene el proceso de formulación y posterior ejecución del Programa sobre Oportunidades Estratégicas Nacionales basado en resultados (COSOP-BR) del </w:t>
      </w:r>
      <w:r w:rsidRPr="001A01AB">
        <w:rPr>
          <w:rFonts w:ascii="Calibri" w:hAnsi="Calibri" w:cs="Calibri"/>
          <w:color w:val="000000"/>
          <w:lang w:val="es-GT" w:eastAsia="es-GT"/>
        </w:rPr>
        <w:t>Fondo Internacional de Desarrollo Agrícola</w:t>
      </w:r>
      <w:r w:rsidRPr="001A01AB">
        <w:rPr>
          <w:rFonts w:ascii="Calibri" w:hAnsi="Calibri" w:cs="Calibri"/>
          <w:lang w:val="es-GT" w:eastAsia="es-GT"/>
        </w:rPr>
        <w:t xml:space="preserve"> (FIDA) para Guatemala. Con est</w:t>
      </w:r>
      <w:r w:rsidR="00B50EDE">
        <w:rPr>
          <w:rFonts w:ascii="Calibri" w:hAnsi="Calibri" w:cs="Calibri"/>
          <w:lang w:val="es-GT" w:eastAsia="es-GT"/>
        </w:rPr>
        <w:t>e informe, el FIDA y sus socios</w:t>
      </w:r>
      <w:r w:rsidRPr="001A01AB">
        <w:rPr>
          <w:rFonts w:ascii="Calibri" w:hAnsi="Calibri" w:cs="Calibri"/>
          <w:lang w:val="es-GT" w:eastAsia="es-GT"/>
        </w:rPr>
        <w:t xml:space="preserve"> cuentan con una herramienta crucial para el diseño </w:t>
      </w:r>
      <w:r w:rsidR="00B50EDE">
        <w:rPr>
          <w:rFonts w:ascii="Calibri" w:hAnsi="Calibri" w:cs="Calibri"/>
          <w:lang w:val="es-GT" w:eastAsia="es-GT"/>
        </w:rPr>
        <w:t>e</w:t>
      </w:r>
      <w:r w:rsidRPr="001A01AB">
        <w:rPr>
          <w:rFonts w:ascii="Calibri" w:hAnsi="Calibri" w:cs="Calibri"/>
          <w:lang w:val="es-GT" w:eastAsia="es-GT"/>
        </w:rPr>
        <w:t xml:space="preserve"> impulso de sus intervenciones en el país y, en la medida qu</w:t>
      </w:r>
      <w:r w:rsidR="00B50EDE">
        <w:rPr>
          <w:rFonts w:ascii="Calibri" w:hAnsi="Calibri" w:cs="Calibri"/>
          <w:lang w:val="es-GT" w:eastAsia="es-GT"/>
        </w:rPr>
        <w:t>e sea utilizada, se espera que e</w:t>
      </w:r>
      <w:r w:rsidRPr="001A01AB">
        <w:rPr>
          <w:rFonts w:ascii="Calibri" w:hAnsi="Calibri" w:cs="Calibri"/>
          <w:lang w:val="es-GT" w:eastAsia="es-GT"/>
        </w:rPr>
        <w:t xml:space="preserve">sta evaluación contribuya a provocar equilibrios ambientales, económicos, sociales e institucionales en los territorios donde tengan lugar sus operaciones. </w:t>
      </w:r>
    </w:p>
    <w:p w:rsidR="00700144" w:rsidRPr="001A01AB" w:rsidRDefault="00700144" w:rsidP="00700144">
      <w:pPr>
        <w:autoSpaceDE w:val="0"/>
        <w:autoSpaceDN w:val="0"/>
        <w:adjustRightInd w:val="0"/>
        <w:jc w:val="both"/>
        <w:rPr>
          <w:rFonts w:ascii="Calibri" w:hAnsi="Calibri" w:cs="Calibri"/>
          <w:lang w:val="es-GT" w:eastAsia="es-GT"/>
        </w:rPr>
      </w:pPr>
    </w:p>
    <w:p w:rsidR="00700144" w:rsidRPr="001A01AB" w:rsidRDefault="00700144" w:rsidP="00700144">
      <w:pPr>
        <w:autoSpaceDE w:val="0"/>
        <w:autoSpaceDN w:val="0"/>
        <w:adjustRightInd w:val="0"/>
        <w:jc w:val="both"/>
        <w:rPr>
          <w:rFonts w:ascii="Calibri" w:hAnsi="Calibri" w:cs="Calibri"/>
          <w:lang w:val="es-GT"/>
        </w:rPr>
      </w:pPr>
      <w:r w:rsidRPr="001A01AB">
        <w:rPr>
          <w:rFonts w:ascii="Calibri" w:hAnsi="Calibri" w:cs="Calibri"/>
          <w:lang w:val="es-GT" w:eastAsia="es-GT"/>
        </w:rPr>
        <w:t>El informe ha sido formulado siguiendo los lineamientos internacionales para este tipo de evaluaciones</w:t>
      </w:r>
      <w:r w:rsidR="00B50EDE">
        <w:rPr>
          <w:rFonts w:ascii="Calibri" w:hAnsi="Calibri" w:cs="Calibri"/>
          <w:lang w:val="es-GT" w:eastAsia="es-GT"/>
        </w:rPr>
        <w:t>,</w:t>
      </w:r>
      <w:r w:rsidRPr="001A01AB">
        <w:rPr>
          <w:rFonts w:ascii="Calibri" w:hAnsi="Calibri" w:cs="Calibri"/>
          <w:lang w:val="es-GT" w:eastAsia="es-GT"/>
        </w:rPr>
        <w:t xml:space="preserve"> y los promotores aspiramos también a que éste se constituya en un ejercicio piloto que contribuya</w:t>
      </w:r>
      <w:r w:rsidR="00141A70">
        <w:rPr>
          <w:rFonts w:ascii="Calibri" w:hAnsi="Calibri" w:cs="Calibri"/>
          <w:lang w:val="es-GT" w:eastAsia="es-GT"/>
        </w:rPr>
        <w:t xml:space="preserve"> </w:t>
      </w:r>
      <w:r w:rsidRPr="001A01AB">
        <w:rPr>
          <w:rFonts w:ascii="Calibri" w:hAnsi="Calibri" w:cs="Calibri"/>
          <w:lang w:val="es-GT" w:eastAsia="es-GT"/>
        </w:rPr>
        <w:t>a trazar un camino que conduzca a una aplicación más amplia en el país.</w:t>
      </w:r>
      <w:r w:rsidR="00141A70">
        <w:rPr>
          <w:rFonts w:ascii="Calibri" w:hAnsi="Calibri" w:cs="Calibri"/>
          <w:lang w:val="es-GT" w:eastAsia="es-GT"/>
        </w:rPr>
        <w:t xml:space="preserve"> </w:t>
      </w:r>
      <w:r w:rsidRPr="001A01AB">
        <w:rPr>
          <w:rFonts w:ascii="Calibri" w:hAnsi="Calibri" w:cs="Calibri"/>
          <w:lang w:val="es-GT" w:eastAsia="es-GT"/>
        </w:rPr>
        <w:t>En este sentido, tanto el FIDA como el IARNA-URL, atendiendo cada entidad a su naturaleza institucional, ponen al servicio de la comunidad de gestores del desarrollo este instrumento</w:t>
      </w:r>
      <w:r w:rsidR="00B50EDE">
        <w:rPr>
          <w:rFonts w:ascii="Calibri" w:hAnsi="Calibri" w:cs="Calibri"/>
          <w:lang w:val="es-GT" w:eastAsia="es-GT"/>
        </w:rPr>
        <w:t>,</w:t>
      </w:r>
      <w:r w:rsidRPr="001A01AB">
        <w:rPr>
          <w:rFonts w:ascii="Calibri" w:hAnsi="Calibri" w:cs="Calibri"/>
          <w:lang w:val="es-GT" w:eastAsia="es-GT"/>
        </w:rPr>
        <w:t xml:space="preserve"> esperando que pueda ser útil para contribuir a la consecución de mayores niveles de bienestar rural en Guatemala. </w:t>
      </w:r>
    </w:p>
    <w:p w:rsidR="005A31BE" w:rsidRPr="001A01AB" w:rsidRDefault="005A31BE" w:rsidP="005A31BE">
      <w:pPr>
        <w:jc w:val="both"/>
        <w:rPr>
          <w:rFonts w:ascii="Calibri" w:hAnsi="Calibri" w:cs="Calibri"/>
          <w:lang w:val="es-GT"/>
        </w:rPr>
      </w:pPr>
    </w:p>
    <w:p w:rsidR="00B93911" w:rsidRPr="001A01AB" w:rsidRDefault="007032D9" w:rsidP="00523BC1">
      <w:pPr>
        <w:pStyle w:val="Prrafodelista"/>
        <w:numPr>
          <w:ilvl w:val="0"/>
          <w:numId w:val="22"/>
        </w:numPr>
        <w:pBdr>
          <w:bottom w:val="single" w:sz="12" w:space="1" w:color="365F91"/>
        </w:pBdr>
        <w:autoSpaceDE w:val="0"/>
        <w:autoSpaceDN w:val="0"/>
        <w:adjustRightInd w:val="0"/>
        <w:spacing w:after="120" w:line="264" w:lineRule="auto"/>
        <w:ind w:left="720" w:hanging="720"/>
        <w:jc w:val="both"/>
        <w:outlineLvl w:val="0"/>
        <w:rPr>
          <w:rFonts w:cs="Calibri"/>
          <w:b/>
          <w:color w:val="365F91"/>
          <w:sz w:val="36"/>
          <w:lang w:eastAsia="es-GT"/>
        </w:rPr>
      </w:pPr>
      <w:r w:rsidRPr="001A01AB">
        <w:rPr>
          <w:rFonts w:cs="Calibri"/>
        </w:rPr>
        <w:br w:type="page"/>
      </w:r>
      <w:bookmarkStart w:id="9" w:name="_Toc340065152"/>
      <w:bookmarkStart w:id="10" w:name="_Toc340065244"/>
      <w:bookmarkStart w:id="11" w:name="_Toc340565836"/>
      <w:bookmarkStart w:id="12" w:name="_Toc347841286"/>
      <w:r w:rsidR="00B93911" w:rsidRPr="001A01AB">
        <w:rPr>
          <w:rFonts w:cs="Calibri"/>
          <w:b/>
          <w:color w:val="365F91"/>
          <w:sz w:val="36"/>
          <w:lang w:eastAsia="es-GT"/>
        </w:rPr>
        <w:lastRenderedPageBreak/>
        <w:t>Antecedentes</w:t>
      </w:r>
      <w:bookmarkEnd w:id="9"/>
      <w:bookmarkEnd w:id="10"/>
      <w:bookmarkEnd w:id="11"/>
      <w:bookmarkEnd w:id="12"/>
    </w:p>
    <w:p w:rsidR="005A31BE" w:rsidRPr="001A01AB" w:rsidRDefault="005A31BE" w:rsidP="005A31BE">
      <w:pPr>
        <w:jc w:val="both"/>
        <w:rPr>
          <w:rFonts w:ascii="Calibri" w:hAnsi="Calibri" w:cs="Calibri"/>
          <w:lang w:val="es-GT"/>
        </w:rPr>
      </w:pPr>
    </w:p>
    <w:p w:rsidR="00825FB2" w:rsidRPr="001A01AB" w:rsidRDefault="00924C3B"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13" w:name="_Toc340065153"/>
      <w:bookmarkStart w:id="14" w:name="_Toc340065245"/>
      <w:bookmarkStart w:id="15" w:name="_Toc340565837"/>
      <w:bookmarkStart w:id="16" w:name="_Toc347841287"/>
      <w:r>
        <w:rPr>
          <w:rFonts w:cs="Calibri"/>
          <w:b/>
          <w:color w:val="365F91"/>
          <w:sz w:val="28"/>
          <w:lang w:eastAsia="es-GT"/>
        </w:rPr>
        <w:t>Los p</w:t>
      </w:r>
      <w:r w:rsidR="00287B0A" w:rsidRPr="001A01AB">
        <w:rPr>
          <w:rFonts w:cs="Calibri"/>
          <w:b/>
          <w:color w:val="365F91"/>
          <w:sz w:val="28"/>
          <w:lang w:eastAsia="es-GT"/>
        </w:rPr>
        <w:t>ropósitos de la Evaluación Ambiental Estratégica</w:t>
      </w:r>
      <w:bookmarkEnd w:id="13"/>
      <w:bookmarkEnd w:id="14"/>
      <w:r>
        <w:rPr>
          <w:rFonts w:cs="Calibri"/>
          <w:b/>
          <w:color w:val="365F91"/>
          <w:sz w:val="28"/>
          <w:lang w:eastAsia="es-GT"/>
        </w:rPr>
        <w:t xml:space="preserve"> y FIDA</w:t>
      </w:r>
      <w:bookmarkEnd w:id="15"/>
      <w:bookmarkEnd w:id="16"/>
    </w:p>
    <w:p w:rsidR="004D3749" w:rsidRPr="001A01AB" w:rsidRDefault="004D3749" w:rsidP="00530C4E">
      <w:pPr>
        <w:autoSpaceDE w:val="0"/>
        <w:autoSpaceDN w:val="0"/>
        <w:adjustRightInd w:val="0"/>
        <w:ind w:left="360"/>
        <w:jc w:val="both"/>
        <w:rPr>
          <w:rFonts w:ascii="Calibri" w:eastAsia="Calibri" w:hAnsi="Calibri" w:cs="Calibri"/>
          <w:lang w:val="es-GT"/>
        </w:rPr>
      </w:pPr>
    </w:p>
    <w:p w:rsidR="00973E93" w:rsidRPr="00523BC1" w:rsidRDefault="004E388F" w:rsidP="00530C4E">
      <w:pPr>
        <w:autoSpaceDE w:val="0"/>
        <w:autoSpaceDN w:val="0"/>
        <w:adjustRightInd w:val="0"/>
        <w:ind w:left="360"/>
        <w:jc w:val="both"/>
        <w:rPr>
          <w:rFonts w:ascii="Calibri" w:eastAsia="Calibri" w:hAnsi="Calibri" w:cs="Calibri"/>
          <w:lang w:val="es-GT"/>
        </w:rPr>
      </w:pPr>
      <w:r w:rsidRPr="00523BC1">
        <w:rPr>
          <w:rFonts w:ascii="Calibri" w:eastAsia="Calibri" w:hAnsi="Calibri" w:cs="Calibri"/>
          <w:lang w:val="es-GT"/>
        </w:rPr>
        <w:t xml:space="preserve">La </w:t>
      </w:r>
      <w:r w:rsidR="00973E93" w:rsidRPr="00523BC1">
        <w:rPr>
          <w:rFonts w:ascii="Calibri" w:eastAsia="Calibri" w:hAnsi="Calibri" w:cs="Calibri"/>
          <w:lang w:val="es-GT"/>
        </w:rPr>
        <w:t>Evaluación Ambiental Estratégica (</w:t>
      </w:r>
      <w:r w:rsidRPr="00523BC1">
        <w:rPr>
          <w:rFonts w:ascii="Calibri" w:eastAsia="Calibri" w:hAnsi="Calibri" w:cs="Calibri"/>
          <w:lang w:val="es-GT"/>
        </w:rPr>
        <w:t>EAE</w:t>
      </w:r>
      <w:r w:rsidR="00973E93" w:rsidRPr="00523BC1">
        <w:rPr>
          <w:rFonts w:ascii="Calibri" w:eastAsia="Calibri" w:hAnsi="Calibri" w:cs="Calibri"/>
          <w:lang w:val="es-GT"/>
        </w:rPr>
        <w:t>)</w:t>
      </w:r>
      <w:r w:rsidRPr="00523BC1">
        <w:rPr>
          <w:rFonts w:ascii="Calibri" w:eastAsia="Calibri" w:hAnsi="Calibri" w:cs="Calibri"/>
          <w:lang w:val="es-GT"/>
        </w:rPr>
        <w:t xml:space="preserve"> es un instrumento preventivo de gestión</w:t>
      </w:r>
      <w:r w:rsidR="00973E93" w:rsidRPr="00523BC1">
        <w:rPr>
          <w:rFonts w:ascii="Calibri" w:eastAsia="Calibri" w:hAnsi="Calibri" w:cs="Calibri"/>
          <w:lang w:val="es-GT"/>
        </w:rPr>
        <w:t xml:space="preserve"> </w:t>
      </w:r>
      <w:r w:rsidR="00924C3B" w:rsidRPr="00523BC1">
        <w:rPr>
          <w:rFonts w:ascii="Calibri" w:eastAsia="Calibri" w:hAnsi="Calibri" w:cs="Calibri"/>
          <w:lang w:val="es-GT"/>
        </w:rPr>
        <w:t xml:space="preserve">del desarrollo que intenta asegurar un tratamiento de la dimensión ambiental </w:t>
      </w:r>
      <w:r w:rsidR="00B50EDE">
        <w:rPr>
          <w:rFonts w:ascii="Calibri" w:eastAsia="Calibri" w:hAnsi="Calibri" w:cs="Calibri"/>
          <w:lang w:val="es-GT"/>
        </w:rPr>
        <w:t>acorde a su importancia</w:t>
      </w:r>
      <w:r w:rsidR="00924C3B" w:rsidRPr="00523BC1">
        <w:rPr>
          <w:rFonts w:ascii="Calibri" w:eastAsia="Calibri" w:hAnsi="Calibri" w:cs="Calibri"/>
          <w:lang w:val="es-GT"/>
        </w:rPr>
        <w:t>. F</w:t>
      </w:r>
      <w:r w:rsidRPr="00523BC1">
        <w:rPr>
          <w:rFonts w:ascii="Calibri" w:eastAsia="Calibri" w:hAnsi="Calibri" w:cs="Calibri"/>
          <w:lang w:val="es-GT"/>
        </w:rPr>
        <w:t>orma parte, junto a otros</w:t>
      </w:r>
      <w:r w:rsidR="00973E93" w:rsidRPr="00523BC1">
        <w:rPr>
          <w:rFonts w:ascii="Calibri" w:eastAsia="Calibri" w:hAnsi="Calibri" w:cs="Calibri"/>
          <w:lang w:val="es-GT"/>
        </w:rPr>
        <w:t xml:space="preserve"> </w:t>
      </w:r>
      <w:r w:rsidRPr="00523BC1">
        <w:rPr>
          <w:rFonts w:ascii="Calibri" w:eastAsia="Calibri" w:hAnsi="Calibri" w:cs="Calibri"/>
          <w:lang w:val="es-GT"/>
        </w:rPr>
        <w:t>instrumentos, de</w:t>
      </w:r>
      <w:r w:rsidR="00973E93" w:rsidRPr="00523BC1">
        <w:rPr>
          <w:rFonts w:ascii="Calibri" w:eastAsia="Calibri" w:hAnsi="Calibri" w:cs="Calibri"/>
          <w:lang w:val="es-GT"/>
        </w:rPr>
        <w:t xml:space="preserve"> </w:t>
      </w:r>
      <w:r w:rsidRPr="00523BC1">
        <w:rPr>
          <w:rFonts w:ascii="Calibri" w:eastAsia="Calibri" w:hAnsi="Calibri" w:cs="Calibri"/>
          <w:lang w:val="es-GT"/>
        </w:rPr>
        <w:t>un marco de herramientas de gestión</w:t>
      </w:r>
      <w:r w:rsidR="00C3579B" w:rsidRPr="00523BC1">
        <w:rPr>
          <w:rFonts w:ascii="Calibri" w:eastAsia="Calibri" w:hAnsi="Calibri" w:cs="Calibri"/>
          <w:lang w:val="es-GT"/>
        </w:rPr>
        <w:t xml:space="preserve"> </w:t>
      </w:r>
      <w:r w:rsidR="00924C3B" w:rsidRPr="00523BC1">
        <w:rPr>
          <w:rFonts w:ascii="Calibri" w:eastAsia="Calibri" w:hAnsi="Calibri" w:cs="Calibri"/>
          <w:lang w:val="es-GT"/>
        </w:rPr>
        <w:t>integral,</w:t>
      </w:r>
      <w:r w:rsidR="00973E93" w:rsidRPr="00523BC1">
        <w:rPr>
          <w:rFonts w:ascii="Calibri" w:eastAsia="Calibri" w:hAnsi="Calibri" w:cs="Calibri"/>
          <w:lang w:val="es-GT"/>
        </w:rPr>
        <w:t xml:space="preserve"> </w:t>
      </w:r>
      <w:r w:rsidR="00924C3B" w:rsidRPr="00523BC1">
        <w:rPr>
          <w:rFonts w:ascii="Calibri" w:eastAsia="Calibri" w:hAnsi="Calibri" w:cs="Calibri"/>
          <w:lang w:val="es-GT"/>
        </w:rPr>
        <w:t>aplicable a políticas, planes y programas para apoyar procesos más informados de toma de</w:t>
      </w:r>
      <w:r w:rsidR="00973E93" w:rsidRPr="00523BC1">
        <w:rPr>
          <w:rFonts w:ascii="Calibri" w:eastAsia="Calibri" w:hAnsi="Calibri" w:cs="Calibri"/>
          <w:lang w:val="es-GT"/>
        </w:rPr>
        <w:t xml:space="preserve"> decisiones (UICN/ORMA, 2007</w:t>
      </w:r>
      <w:r w:rsidR="00B50EDE">
        <w:rPr>
          <w:rFonts w:ascii="Calibri" w:eastAsia="Calibri" w:hAnsi="Calibri" w:cs="Calibri"/>
          <w:lang w:val="es-GT"/>
        </w:rPr>
        <w:t xml:space="preserve">; </w:t>
      </w:r>
      <w:r w:rsidR="00B50EDE" w:rsidRPr="004E2ECE">
        <w:rPr>
          <w:rFonts w:ascii="Calibri" w:eastAsia="Calibri" w:hAnsi="Calibri" w:cs="Calibri"/>
          <w:highlight w:val="magenta"/>
          <w:lang w:val="es-GT"/>
        </w:rPr>
        <w:t>Gá</w:t>
      </w:r>
      <w:r w:rsidR="00924C3B" w:rsidRPr="004E2ECE">
        <w:rPr>
          <w:rFonts w:ascii="Calibri" w:eastAsia="Calibri" w:hAnsi="Calibri" w:cs="Calibri"/>
          <w:highlight w:val="magenta"/>
          <w:lang w:val="es-GT"/>
        </w:rPr>
        <w:t>lvez, 2011</w:t>
      </w:r>
      <w:r w:rsidR="00973E93" w:rsidRPr="004E2ECE">
        <w:rPr>
          <w:rFonts w:ascii="Calibri" w:eastAsia="Calibri" w:hAnsi="Calibri" w:cs="Calibri"/>
          <w:highlight w:val="magenta"/>
          <w:lang w:val="es-GT"/>
        </w:rPr>
        <w:t>).</w:t>
      </w:r>
    </w:p>
    <w:p w:rsidR="00806A1C" w:rsidRPr="00523BC1" w:rsidRDefault="00806A1C" w:rsidP="00806A1C">
      <w:pPr>
        <w:autoSpaceDE w:val="0"/>
        <w:autoSpaceDN w:val="0"/>
        <w:adjustRightInd w:val="0"/>
        <w:ind w:left="360"/>
        <w:jc w:val="both"/>
        <w:rPr>
          <w:rFonts w:ascii="Calibri" w:eastAsia="Calibri" w:hAnsi="Calibri" w:cs="Calibri"/>
          <w:lang w:val="es-GT"/>
        </w:rPr>
      </w:pPr>
    </w:p>
    <w:p w:rsidR="00236D9B" w:rsidRPr="001A01AB" w:rsidRDefault="00924C3B" w:rsidP="00F552D4">
      <w:pPr>
        <w:autoSpaceDE w:val="0"/>
        <w:autoSpaceDN w:val="0"/>
        <w:adjustRightInd w:val="0"/>
        <w:ind w:left="360"/>
        <w:jc w:val="both"/>
        <w:rPr>
          <w:rFonts w:ascii="Calibri" w:eastAsia="Calibri" w:hAnsi="Calibri" w:cs="Calibri"/>
          <w:lang w:val="es-GT"/>
        </w:rPr>
      </w:pPr>
      <w:r w:rsidRPr="00523BC1">
        <w:rPr>
          <w:rFonts w:ascii="Calibri" w:eastAsia="Calibri" w:hAnsi="Calibri" w:cs="Calibri"/>
          <w:lang w:val="es-GT"/>
        </w:rPr>
        <w:t xml:space="preserve">Inspirados en </w:t>
      </w:r>
      <w:r w:rsidR="000E7084" w:rsidRPr="00523BC1">
        <w:rPr>
          <w:rFonts w:ascii="Calibri" w:eastAsia="Calibri" w:hAnsi="Calibri" w:cs="Calibri"/>
          <w:lang w:val="es-GT"/>
        </w:rPr>
        <w:t>los propósitos</w:t>
      </w:r>
      <w:r w:rsidRPr="00523BC1">
        <w:rPr>
          <w:rFonts w:ascii="Calibri" w:eastAsia="Calibri" w:hAnsi="Calibri" w:cs="Calibri"/>
          <w:lang w:val="es-GT"/>
        </w:rPr>
        <w:t xml:space="preserve"> genéricos de las EAE</w:t>
      </w:r>
      <w:r w:rsidR="00932B6B" w:rsidRPr="00523BC1">
        <w:rPr>
          <w:rFonts w:ascii="Calibri" w:eastAsia="Calibri" w:hAnsi="Calibri" w:cs="Calibri"/>
          <w:lang w:val="es-GT"/>
        </w:rPr>
        <w:t>, el Fondo Internacional para el</w:t>
      </w:r>
      <w:r w:rsidR="008C1EE0">
        <w:rPr>
          <w:rFonts w:ascii="Calibri" w:eastAsia="Calibri" w:hAnsi="Calibri" w:cs="Calibri"/>
          <w:lang w:val="es-GT"/>
        </w:rPr>
        <w:t xml:space="preserve"> Desarrollo Agrícola</w:t>
      </w:r>
      <w:r w:rsidR="00932B6B" w:rsidRPr="00523BC1">
        <w:rPr>
          <w:rFonts w:ascii="Calibri" w:eastAsia="Calibri" w:hAnsi="Calibri" w:cs="Calibri"/>
          <w:lang w:val="es-GT"/>
        </w:rPr>
        <w:t xml:space="preserve"> ha impulsado la utilización del instrumento </w:t>
      </w:r>
      <w:r w:rsidR="008C1EE0" w:rsidRPr="00523BC1">
        <w:rPr>
          <w:rFonts w:ascii="Calibri" w:eastAsia="Calibri" w:hAnsi="Calibri" w:cs="Calibri"/>
          <w:lang w:val="es-GT"/>
        </w:rPr>
        <w:t xml:space="preserve">en varios países de Latinoamérica y El Caribe </w:t>
      </w:r>
      <w:r w:rsidR="00932B6B" w:rsidRPr="00523BC1">
        <w:rPr>
          <w:rFonts w:ascii="Calibri" w:eastAsia="Calibri" w:hAnsi="Calibri" w:cs="Calibri"/>
          <w:lang w:val="es-GT"/>
        </w:rPr>
        <w:t>para fortalecer sus propios procesos de apoyo al desarrollo. Una de la iniciativas, que bien podría tener carácter piloto; es la sinergia desarrollada entre e</w:t>
      </w:r>
      <w:r w:rsidR="00236D9B" w:rsidRPr="00523BC1">
        <w:rPr>
          <w:rFonts w:ascii="Calibri" w:eastAsia="Calibri" w:hAnsi="Calibri" w:cs="Calibri"/>
          <w:lang w:val="es-GT"/>
        </w:rPr>
        <w:t xml:space="preserve">n el </w:t>
      </w:r>
      <w:r w:rsidR="00932B6B" w:rsidRPr="00523BC1">
        <w:rPr>
          <w:rFonts w:ascii="Calibri" w:eastAsia="Calibri" w:hAnsi="Calibri" w:cs="Calibri"/>
          <w:lang w:val="es-GT"/>
        </w:rPr>
        <w:t xml:space="preserve">proceso </w:t>
      </w:r>
      <w:r w:rsidR="00236D9B" w:rsidRPr="00523BC1">
        <w:rPr>
          <w:rFonts w:ascii="Calibri" w:eastAsia="Calibri" w:hAnsi="Calibri" w:cs="Calibri"/>
          <w:lang w:val="es-GT"/>
        </w:rPr>
        <w:t>de elaboración del Programa sobre Oportunidades Estratégicas Nacionales basado en los resultados (COSOP-BR) para Guatemala</w:t>
      </w:r>
      <w:r w:rsidR="00932B6B" w:rsidRPr="00523BC1">
        <w:rPr>
          <w:rFonts w:ascii="Calibri" w:eastAsia="Calibri" w:hAnsi="Calibri" w:cs="Calibri"/>
          <w:lang w:val="es-GT"/>
        </w:rPr>
        <w:t xml:space="preserve"> y la Formulación de la EAE contenida en este documento. Con esta iniciativa, FIDA</w:t>
      </w:r>
      <w:r w:rsidR="00D508B4" w:rsidRPr="00523BC1">
        <w:rPr>
          <w:rFonts w:ascii="Calibri" w:eastAsia="Calibri" w:hAnsi="Calibri" w:cs="Calibri"/>
          <w:lang w:val="es-GT"/>
        </w:rPr>
        <w:t>, con el apoyo de IARNA-URL,</w:t>
      </w:r>
      <w:r w:rsidR="00141A70">
        <w:rPr>
          <w:rFonts w:ascii="Calibri" w:eastAsia="Calibri" w:hAnsi="Calibri" w:cs="Calibri"/>
          <w:lang w:val="es-GT"/>
        </w:rPr>
        <w:t xml:space="preserve"> </w:t>
      </w:r>
      <w:r w:rsidR="00932B6B" w:rsidRPr="00523BC1">
        <w:rPr>
          <w:rFonts w:ascii="Calibri" w:eastAsia="Calibri" w:hAnsi="Calibri" w:cs="Calibri"/>
          <w:lang w:val="es-GT"/>
        </w:rPr>
        <w:t xml:space="preserve">busca </w:t>
      </w:r>
      <w:r w:rsidR="00D508B4" w:rsidRPr="00523BC1">
        <w:rPr>
          <w:rFonts w:ascii="Calibri" w:eastAsia="Calibri" w:hAnsi="Calibri" w:cs="Calibri"/>
          <w:lang w:val="es-GT"/>
        </w:rPr>
        <w:t>consolidar su visión de fortalecimiento y respeto de los marcos institucionales vigentes en el país.</w:t>
      </w:r>
      <w:r w:rsidR="008C1EE0">
        <w:rPr>
          <w:rFonts w:ascii="Calibri" w:eastAsia="Calibri" w:hAnsi="Calibri" w:cs="Calibri"/>
          <w:lang w:val="es-GT"/>
        </w:rPr>
        <w:t xml:space="preserve"> </w:t>
      </w:r>
    </w:p>
    <w:p w:rsidR="00236D9B" w:rsidRPr="001A01AB" w:rsidRDefault="00236D9B" w:rsidP="00530C4E">
      <w:pPr>
        <w:autoSpaceDE w:val="0"/>
        <w:autoSpaceDN w:val="0"/>
        <w:adjustRightInd w:val="0"/>
        <w:ind w:left="360"/>
        <w:jc w:val="both"/>
        <w:rPr>
          <w:rFonts w:ascii="Calibri" w:eastAsia="Calibri" w:hAnsi="Calibri" w:cs="Calibri"/>
          <w:lang w:val="es-GT"/>
        </w:rPr>
      </w:pPr>
    </w:p>
    <w:p w:rsidR="002179F8" w:rsidRPr="001A01AB" w:rsidRDefault="002179F8"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17" w:name="_Toc340065154"/>
      <w:bookmarkStart w:id="18" w:name="_Toc340065246"/>
      <w:bookmarkStart w:id="19" w:name="_Toc340565838"/>
      <w:bookmarkStart w:id="20" w:name="_Toc347841288"/>
      <w:r w:rsidRPr="001A01AB">
        <w:rPr>
          <w:rFonts w:cs="Calibri"/>
          <w:b/>
          <w:color w:val="365F91"/>
          <w:sz w:val="28"/>
          <w:lang w:eastAsia="es-GT"/>
        </w:rPr>
        <w:t>Objetivos</w:t>
      </w:r>
      <w:bookmarkEnd w:id="17"/>
      <w:bookmarkEnd w:id="18"/>
      <w:bookmarkEnd w:id="19"/>
      <w:bookmarkEnd w:id="20"/>
    </w:p>
    <w:p w:rsidR="002179F8" w:rsidRPr="001A01AB" w:rsidRDefault="002179F8" w:rsidP="00530C4E">
      <w:pPr>
        <w:autoSpaceDE w:val="0"/>
        <w:autoSpaceDN w:val="0"/>
        <w:adjustRightInd w:val="0"/>
        <w:ind w:left="360"/>
        <w:jc w:val="both"/>
        <w:rPr>
          <w:rFonts w:ascii="Calibri" w:eastAsia="Calibri" w:hAnsi="Calibri" w:cs="Calibri"/>
          <w:lang w:val="es-GT"/>
        </w:rPr>
      </w:pPr>
    </w:p>
    <w:p w:rsidR="002179F8" w:rsidRPr="00523BC1" w:rsidRDefault="002179F8" w:rsidP="002179F8">
      <w:pPr>
        <w:autoSpaceDE w:val="0"/>
        <w:autoSpaceDN w:val="0"/>
        <w:adjustRightInd w:val="0"/>
        <w:ind w:left="360"/>
        <w:jc w:val="both"/>
        <w:rPr>
          <w:rFonts w:ascii="Calibri" w:eastAsia="Calibri" w:hAnsi="Calibri" w:cs="Calibri"/>
          <w:lang w:val="es-GT"/>
        </w:rPr>
      </w:pPr>
      <w:r w:rsidRPr="00523BC1">
        <w:rPr>
          <w:rFonts w:ascii="Calibri" w:eastAsia="Calibri" w:hAnsi="Calibri" w:cs="Calibri"/>
          <w:lang w:val="es-GT"/>
        </w:rPr>
        <w:t>El objetivo general</w:t>
      </w:r>
      <w:r w:rsidR="00D508B4" w:rsidRPr="00523BC1">
        <w:rPr>
          <w:rFonts w:ascii="Calibri" w:eastAsia="Calibri" w:hAnsi="Calibri" w:cs="Calibri"/>
          <w:lang w:val="es-GT"/>
        </w:rPr>
        <w:t xml:space="preserve"> de la evaluación es identificar las principales consideraciones ambientales, económicas, sociales e institucionales que deben delimitar el proceso de formulación y posterior implementación del</w:t>
      </w:r>
      <w:r w:rsidR="00141A70">
        <w:rPr>
          <w:rFonts w:ascii="Calibri" w:eastAsia="Calibri" w:hAnsi="Calibri" w:cs="Calibri"/>
          <w:lang w:val="es-GT"/>
        </w:rPr>
        <w:t xml:space="preserve"> </w:t>
      </w:r>
      <w:r w:rsidRPr="00523BC1">
        <w:rPr>
          <w:rFonts w:ascii="Calibri" w:eastAsia="Calibri" w:hAnsi="Calibri" w:cs="Calibri"/>
          <w:lang w:val="es-GT"/>
        </w:rPr>
        <w:t xml:space="preserve">tercer Programa sobre Oportunidades Estratégicas Nacionales basado en los resultados (COSOP-BR) para Guatemala, </w:t>
      </w:r>
      <w:r w:rsidR="00D508B4" w:rsidRPr="00523BC1">
        <w:rPr>
          <w:rFonts w:ascii="Calibri" w:eastAsia="Calibri" w:hAnsi="Calibri" w:cs="Calibri"/>
          <w:lang w:val="es-GT"/>
        </w:rPr>
        <w:t>que impulsa el FIDA.</w:t>
      </w:r>
      <w:r w:rsidRPr="00523BC1">
        <w:rPr>
          <w:rFonts w:ascii="Calibri" w:eastAsia="Calibri" w:hAnsi="Calibri" w:cs="Calibri"/>
          <w:lang w:val="es-GT"/>
        </w:rPr>
        <w:t xml:space="preserve"> </w:t>
      </w:r>
    </w:p>
    <w:p w:rsidR="002179F8" w:rsidRPr="00523BC1" w:rsidRDefault="002179F8" w:rsidP="002179F8">
      <w:pPr>
        <w:autoSpaceDE w:val="0"/>
        <w:autoSpaceDN w:val="0"/>
        <w:adjustRightInd w:val="0"/>
        <w:ind w:left="360"/>
        <w:jc w:val="both"/>
        <w:rPr>
          <w:rFonts w:ascii="Calibri" w:eastAsia="Calibri" w:hAnsi="Calibri" w:cs="Calibri"/>
          <w:lang w:val="es-GT"/>
        </w:rPr>
      </w:pPr>
    </w:p>
    <w:p w:rsidR="004D3749" w:rsidRPr="00523BC1" w:rsidRDefault="004D3749" w:rsidP="002179F8">
      <w:pPr>
        <w:autoSpaceDE w:val="0"/>
        <w:autoSpaceDN w:val="0"/>
        <w:adjustRightInd w:val="0"/>
        <w:spacing w:after="120"/>
        <w:ind w:left="360"/>
        <w:jc w:val="both"/>
        <w:rPr>
          <w:rFonts w:ascii="Calibri" w:eastAsia="Calibri" w:hAnsi="Calibri" w:cs="Calibri"/>
          <w:lang w:val="es-GT"/>
        </w:rPr>
      </w:pPr>
      <w:r w:rsidRPr="00523BC1">
        <w:rPr>
          <w:rFonts w:ascii="Calibri" w:eastAsia="Calibri" w:hAnsi="Calibri" w:cs="Calibri"/>
          <w:lang w:val="es-GT"/>
        </w:rPr>
        <w:t xml:space="preserve">De acuerdo con los términos de referencia </w:t>
      </w:r>
      <w:r w:rsidR="00D508B4" w:rsidRPr="00523BC1">
        <w:rPr>
          <w:rFonts w:ascii="Calibri" w:eastAsia="Calibri" w:hAnsi="Calibri" w:cs="Calibri"/>
          <w:lang w:val="es-GT"/>
        </w:rPr>
        <w:t>definidos por FIDA;</w:t>
      </w:r>
      <w:r w:rsidR="00141A70">
        <w:rPr>
          <w:rFonts w:ascii="Calibri" w:eastAsia="Calibri" w:hAnsi="Calibri" w:cs="Calibri"/>
          <w:lang w:val="es-GT"/>
        </w:rPr>
        <w:t xml:space="preserve"> </w:t>
      </w:r>
      <w:r w:rsidR="00D508B4" w:rsidRPr="00523BC1">
        <w:rPr>
          <w:rFonts w:ascii="Calibri" w:eastAsia="Calibri" w:hAnsi="Calibri" w:cs="Calibri"/>
          <w:lang w:val="es-GT"/>
        </w:rPr>
        <w:t xml:space="preserve">el IARNA-URL, ha desarrollado la presente Evaluación Ambiental Estratégica (EAE), en atención a los </w:t>
      </w:r>
      <w:r w:rsidR="00C349CD">
        <w:rPr>
          <w:rFonts w:ascii="Calibri" w:eastAsia="Calibri" w:hAnsi="Calibri" w:cs="Calibri"/>
          <w:lang w:val="es-GT"/>
        </w:rPr>
        <w:t>siguientes objetivos</w:t>
      </w:r>
      <w:r w:rsidR="00D508B4" w:rsidRPr="00523BC1">
        <w:rPr>
          <w:rFonts w:ascii="Calibri" w:eastAsia="Calibri" w:hAnsi="Calibri" w:cs="Calibri"/>
          <w:lang w:val="es-GT"/>
        </w:rPr>
        <w:t>:</w:t>
      </w:r>
    </w:p>
    <w:p w:rsidR="00236D9B" w:rsidRPr="00523BC1" w:rsidRDefault="004D3749" w:rsidP="00E7258A">
      <w:pPr>
        <w:numPr>
          <w:ilvl w:val="0"/>
          <w:numId w:val="3"/>
        </w:numPr>
        <w:tabs>
          <w:tab w:val="left" w:pos="720"/>
        </w:tabs>
        <w:autoSpaceDE w:val="0"/>
        <w:autoSpaceDN w:val="0"/>
        <w:adjustRightInd w:val="0"/>
        <w:spacing w:after="120"/>
        <w:jc w:val="both"/>
        <w:rPr>
          <w:rFonts w:ascii="Calibri" w:hAnsi="Calibri" w:cs="Calibri"/>
          <w:lang w:val="es-GT"/>
        </w:rPr>
      </w:pPr>
      <w:r w:rsidRPr="00523BC1">
        <w:rPr>
          <w:rFonts w:ascii="Calibri" w:eastAsia="Calibri" w:hAnsi="Calibri" w:cs="Calibri"/>
          <w:lang w:val="es-GT"/>
        </w:rPr>
        <w:t>De</w:t>
      </w:r>
      <w:r w:rsidRPr="00523BC1">
        <w:rPr>
          <w:rFonts w:ascii="Calibri" w:hAnsi="Calibri" w:cs="Calibri"/>
          <w:lang w:val="es-GT"/>
        </w:rPr>
        <w:t xml:space="preserve">terminar los vínculos más importantes entre la pobreza rural y el ambiente; </w:t>
      </w:r>
    </w:p>
    <w:p w:rsidR="004D3749" w:rsidRPr="00523BC1" w:rsidRDefault="004D3749" w:rsidP="00E7258A">
      <w:pPr>
        <w:numPr>
          <w:ilvl w:val="0"/>
          <w:numId w:val="3"/>
        </w:numPr>
        <w:tabs>
          <w:tab w:val="left" w:pos="720"/>
        </w:tabs>
        <w:autoSpaceDE w:val="0"/>
        <w:autoSpaceDN w:val="0"/>
        <w:adjustRightInd w:val="0"/>
        <w:spacing w:after="120"/>
        <w:jc w:val="both"/>
        <w:rPr>
          <w:rFonts w:ascii="Calibri" w:eastAsia="Calibri" w:hAnsi="Calibri" w:cs="Calibri"/>
          <w:lang w:val="es-GT"/>
        </w:rPr>
      </w:pPr>
      <w:r w:rsidRPr="00523BC1">
        <w:rPr>
          <w:rFonts w:ascii="Calibri" w:eastAsia="Calibri" w:hAnsi="Calibri" w:cs="Calibri"/>
          <w:lang w:val="es-GT"/>
        </w:rPr>
        <w:t>Señalar oportunidades y formular recomendaciones fundamentales en materia social y ambiental</w:t>
      </w:r>
      <w:r w:rsidR="00D508B4" w:rsidRPr="00523BC1">
        <w:rPr>
          <w:rFonts w:ascii="Calibri" w:eastAsia="Calibri" w:hAnsi="Calibri" w:cs="Calibri"/>
          <w:lang w:val="es-GT"/>
        </w:rPr>
        <w:t>,</w:t>
      </w:r>
      <w:r w:rsidRPr="00523BC1">
        <w:rPr>
          <w:rFonts w:ascii="Calibri" w:eastAsia="Calibri" w:hAnsi="Calibri" w:cs="Calibri"/>
          <w:lang w:val="es-GT"/>
        </w:rPr>
        <w:t xml:space="preserve"> para influir en el apoyo del FIDA </w:t>
      </w:r>
      <w:r w:rsidR="00D508B4" w:rsidRPr="00523BC1">
        <w:rPr>
          <w:rFonts w:ascii="Calibri" w:eastAsia="Calibri" w:hAnsi="Calibri" w:cs="Calibri"/>
          <w:lang w:val="es-GT"/>
        </w:rPr>
        <w:t>respecto a</w:t>
      </w:r>
      <w:r w:rsidRPr="00523BC1">
        <w:rPr>
          <w:rFonts w:ascii="Calibri" w:eastAsia="Calibri" w:hAnsi="Calibri" w:cs="Calibri"/>
          <w:lang w:val="es-GT"/>
        </w:rPr>
        <w:t xml:space="preserve"> las iniciativas de desarrollo de Guatemala</w:t>
      </w:r>
      <w:r w:rsidR="00D508B4" w:rsidRPr="00523BC1">
        <w:rPr>
          <w:rFonts w:ascii="Calibri" w:eastAsia="Calibri" w:hAnsi="Calibri" w:cs="Calibri"/>
          <w:lang w:val="es-GT"/>
        </w:rPr>
        <w:t>,</w:t>
      </w:r>
      <w:r w:rsidR="00141A70">
        <w:rPr>
          <w:rFonts w:ascii="Calibri" w:eastAsia="Calibri" w:hAnsi="Calibri" w:cs="Calibri"/>
          <w:lang w:val="es-GT"/>
        </w:rPr>
        <w:t xml:space="preserve"> </w:t>
      </w:r>
      <w:r w:rsidRPr="00523BC1">
        <w:rPr>
          <w:rFonts w:ascii="Calibri" w:eastAsia="Calibri" w:hAnsi="Calibri" w:cs="Calibri"/>
          <w:lang w:val="es-GT"/>
        </w:rPr>
        <w:t xml:space="preserve">en aras de la sostenibilidad ambiental y </w:t>
      </w:r>
      <w:r w:rsidR="005A2D3B" w:rsidRPr="00523BC1">
        <w:rPr>
          <w:rFonts w:ascii="Calibri" w:eastAsia="Calibri" w:hAnsi="Calibri" w:cs="Calibri"/>
          <w:lang w:val="es-GT"/>
        </w:rPr>
        <w:t>de un</w:t>
      </w:r>
      <w:r w:rsidRPr="00523BC1">
        <w:rPr>
          <w:rFonts w:ascii="Calibri" w:eastAsia="Calibri" w:hAnsi="Calibri" w:cs="Calibri"/>
          <w:lang w:val="es-GT"/>
        </w:rPr>
        <w:t xml:space="preserve"> desarrollo atento al clima;</w:t>
      </w:r>
    </w:p>
    <w:p w:rsidR="004D3749" w:rsidRPr="00523BC1" w:rsidRDefault="004D3749" w:rsidP="00E7258A">
      <w:pPr>
        <w:numPr>
          <w:ilvl w:val="0"/>
          <w:numId w:val="3"/>
        </w:numPr>
        <w:tabs>
          <w:tab w:val="left" w:pos="720"/>
        </w:tabs>
        <w:autoSpaceDE w:val="0"/>
        <w:autoSpaceDN w:val="0"/>
        <w:adjustRightInd w:val="0"/>
        <w:spacing w:after="120"/>
        <w:jc w:val="both"/>
        <w:rPr>
          <w:rFonts w:ascii="Calibri" w:eastAsia="Calibri" w:hAnsi="Calibri" w:cs="Calibri"/>
          <w:lang w:val="es-GT"/>
        </w:rPr>
      </w:pPr>
      <w:r w:rsidRPr="00523BC1">
        <w:rPr>
          <w:rFonts w:ascii="Calibri" w:eastAsia="Calibri" w:hAnsi="Calibri" w:cs="Calibri"/>
          <w:lang w:val="es-GT"/>
        </w:rPr>
        <w:t>Señalar aspectos prioritarios en el ámbito de la gestión del ambiente y los recursos naturales y el cambio climático</w:t>
      </w:r>
      <w:r w:rsidR="005A2D3B" w:rsidRPr="00523BC1">
        <w:rPr>
          <w:rFonts w:ascii="Calibri" w:eastAsia="Calibri" w:hAnsi="Calibri" w:cs="Calibri"/>
          <w:lang w:val="es-GT"/>
        </w:rPr>
        <w:t>,</w:t>
      </w:r>
      <w:r w:rsidRPr="00523BC1">
        <w:rPr>
          <w:rFonts w:ascii="Calibri" w:eastAsia="Calibri" w:hAnsi="Calibri" w:cs="Calibri"/>
          <w:lang w:val="es-GT"/>
        </w:rPr>
        <w:t xml:space="preserve"> teniendo en cuenta la ventaja comparativa del FIDA para el diálogo sobre políticas con el Gobierno.</w:t>
      </w:r>
    </w:p>
    <w:p w:rsidR="00F552D4" w:rsidRPr="00523BC1" w:rsidRDefault="004D3749" w:rsidP="00E7258A">
      <w:pPr>
        <w:numPr>
          <w:ilvl w:val="0"/>
          <w:numId w:val="3"/>
        </w:numPr>
        <w:tabs>
          <w:tab w:val="left" w:pos="720"/>
        </w:tabs>
        <w:autoSpaceDE w:val="0"/>
        <w:autoSpaceDN w:val="0"/>
        <w:adjustRightInd w:val="0"/>
        <w:spacing w:after="120"/>
        <w:jc w:val="both"/>
        <w:rPr>
          <w:rFonts w:ascii="Calibri" w:eastAsia="Calibri" w:hAnsi="Calibri" w:cs="Calibri"/>
          <w:lang w:val="es-GT"/>
        </w:rPr>
      </w:pPr>
      <w:r w:rsidRPr="00523BC1">
        <w:rPr>
          <w:rFonts w:ascii="Calibri" w:eastAsia="Calibri" w:hAnsi="Calibri" w:cs="Calibri"/>
          <w:lang w:val="es-GT"/>
        </w:rPr>
        <w:t>Ensayar y demostrar oportunidades de aplicación pr</w:t>
      </w:r>
      <w:r w:rsidR="00D508B4" w:rsidRPr="00523BC1">
        <w:rPr>
          <w:rFonts w:ascii="Calibri" w:eastAsia="Calibri" w:hAnsi="Calibri" w:cs="Calibri"/>
          <w:lang w:val="es-GT"/>
        </w:rPr>
        <w:t>áctica de la EAE en Guatemala.</w:t>
      </w:r>
    </w:p>
    <w:p w:rsidR="00973E93" w:rsidRPr="00523BC1" w:rsidRDefault="004D3749" w:rsidP="00E7258A">
      <w:pPr>
        <w:numPr>
          <w:ilvl w:val="0"/>
          <w:numId w:val="3"/>
        </w:numPr>
        <w:tabs>
          <w:tab w:val="left" w:pos="720"/>
        </w:tabs>
        <w:autoSpaceDE w:val="0"/>
        <w:autoSpaceDN w:val="0"/>
        <w:adjustRightInd w:val="0"/>
        <w:spacing w:after="120"/>
        <w:jc w:val="both"/>
        <w:rPr>
          <w:rFonts w:ascii="Calibri" w:eastAsia="Calibri" w:hAnsi="Calibri" w:cs="Calibri"/>
          <w:lang w:val="es-GT"/>
        </w:rPr>
      </w:pPr>
      <w:r w:rsidRPr="00523BC1">
        <w:rPr>
          <w:rFonts w:ascii="Calibri" w:eastAsia="Calibri" w:hAnsi="Calibri" w:cs="Calibri"/>
          <w:lang w:val="es-GT"/>
        </w:rPr>
        <w:t>Demostrar la aplicabilidad del enfoque metodológico y el procedimiento de EAE descrito en el capítulo</w:t>
      </w:r>
      <w:r w:rsidR="00577CC5" w:rsidRPr="00523BC1">
        <w:rPr>
          <w:rFonts w:ascii="Calibri" w:eastAsia="Calibri" w:hAnsi="Calibri" w:cs="Calibri"/>
          <w:lang w:val="es-GT"/>
        </w:rPr>
        <w:t xml:space="preserve"> </w:t>
      </w:r>
      <w:r w:rsidRPr="00523BC1">
        <w:rPr>
          <w:rFonts w:ascii="Calibri" w:eastAsia="Calibri" w:hAnsi="Calibri" w:cs="Calibri"/>
          <w:lang w:val="es-GT"/>
        </w:rPr>
        <w:t>2 de los Procedimientos del FIDA para la Evaluación Ambiental y Social, titulado “Evaluación Ambiental Estratégica”.</w:t>
      </w:r>
    </w:p>
    <w:p w:rsidR="00DB4A72" w:rsidRPr="001A01AB" w:rsidRDefault="002E6EB9" w:rsidP="001A01AB">
      <w:pPr>
        <w:pStyle w:val="Prrafodelista"/>
        <w:numPr>
          <w:ilvl w:val="0"/>
          <w:numId w:val="22"/>
        </w:numPr>
        <w:pBdr>
          <w:bottom w:val="single" w:sz="12" w:space="1" w:color="365F91"/>
        </w:pBdr>
        <w:autoSpaceDE w:val="0"/>
        <w:autoSpaceDN w:val="0"/>
        <w:adjustRightInd w:val="0"/>
        <w:spacing w:after="120" w:line="264" w:lineRule="auto"/>
        <w:ind w:left="720" w:hanging="720"/>
        <w:jc w:val="both"/>
        <w:outlineLvl w:val="0"/>
        <w:rPr>
          <w:rFonts w:cs="Calibri"/>
          <w:b/>
          <w:color w:val="365F91"/>
          <w:sz w:val="36"/>
          <w:lang w:eastAsia="es-GT"/>
        </w:rPr>
      </w:pPr>
      <w:bookmarkStart w:id="21" w:name="_Toc340065155"/>
      <w:bookmarkStart w:id="22" w:name="_Toc340065247"/>
      <w:bookmarkStart w:id="23" w:name="_Toc340565839"/>
      <w:bookmarkStart w:id="24" w:name="_Toc347841289"/>
      <w:r w:rsidRPr="001A01AB">
        <w:rPr>
          <w:rFonts w:cs="Calibri"/>
          <w:b/>
          <w:color w:val="365F91"/>
          <w:sz w:val="36"/>
          <w:lang w:eastAsia="es-GT"/>
        </w:rPr>
        <w:lastRenderedPageBreak/>
        <w:t>Marco metodológico utilizado</w:t>
      </w:r>
      <w:bookmarkEnd w:id="21"/>
      <w:bookmarkEnd w:id="22"/>
      <w:bookmarkEnd w:id="23"/>
      <w:bookmarkEnd w:id="24"/>
    </w:p>
    <w:p w:rsidR="00AC2453" w:rsidRPr="001A01AB" w:rsidRDefault="00AC2453" w:rsidP="007032D9">
      <w:pPr>
        <w:autoSpaceDE w:val="0"/>
        <w:autoSpaceDN w:val="0"/>
        <w:adjustRightInd w:val="0"/>
        <w:ind w:left="360"/>
        <w:jc w:val="both"/>
        <w:rPr>
          <w:rFonts w:ascii="Calibri" w:eastAsia="Calibri" w:hAnsi="Calibri" w:cs="Calibri"/>
          <w:lang w:val="es-GT"/>
        </w:rPr>
      </w:pPr>
    </w:p>
    <w:p w:rsidR="00B93911" w:rsidRPr="00523BC1" w:rsidRDefault="00B93911" w:rsidP="007032D9">
      <w:pPr>
        <w:autoSpaceDE w:val="0"/>
        <w:autoSpaceDN w:val="0"/>
        <w:adjustRightInd w:val="0"/>
        <w:ind w:left="360"/>
        <w:jc w:val="both"/>
        <w:rPr>
          <w:rFonts w:ascii="Calibri" w:eastAsia="Calibri" w:hAnsi="Calibri" w:cs="Calibri"/>
          <w:lang w:val="es-GT"/>
        </w:rPr>
      </w:pPr>
      <w:r w:rsidRPr="00523BC1">
        <w:rPr>
          <w:rFonts w:ascii="Calibri" w:eastAsia="Calibri" w:hAnsi="Calibri" w:cs="Calibri"/>
          <w:lang w:val="es-GT"/>
        </w:rPr>
        <w:t xml:space="preserve">El </w:t>
      </w:r>
      <w:r w:rsidR="002E6EB9" w:rsidRPr="00523BC1">
        <w:rPr>
          <w:rFonts w:ascii="Calibri" w:eastAsia="Calibri" w:hAnsi="Calibri" w:cs="Calibri"/>
          <w:lang w:val="es-GT"/>
        </w:rPr>
        <w:t xml:space="preserve">marco </w:t>
      </w:r>
      <w:r w:rsidRPr="00523BC1">
        <w:rPr>
          <w:rFonts w:ascii="Calibri" w:eastAsia="Calibri" w:hAnsi="Calibri" w:cs="Calibri"/>
          <w:lang w:val="es-GT"/>
        </w:rPr>
        <w:t xml:space="preserve">metodológico </w:t>
      </w:r>
      <w:r w:rsidR="002E6EB9" w:rsidRPr="00523BC1">
        <w:rPr>
          <w:rFonts w:ascii="Calibri" w:eastAsia="Calibri" w:hAnsi="Calibri" w:cs="Calibri"/>
          <w:lang w:val="es-GT"/>
        </w:rPr>
        <w:t>utilizado</w:t>
      </w:r>
      <w:r w:rsidR="00141A70">
        <w:rPr>
          <w:rFonts w:ascii="Calibri" w:eastAsia="Calibri" w:hAnsi="Calibri" w:cs="Calibri"/>
          <w:lang w:val="es-GT"/>
        </w:rPr>
        <w:t xml:space="preserve"> </w:t>
      </w:r>
      <w:r w:rsidRPr="00523BC1">
        <w:rPr>
          <w:rFonts w:ascii="Calibri" w:eastAsia="Calibri" w:hAnsi="Calibri" w:cs="Calibri"/>
          <w:lang w:val="es-GT"/>
        </w:rPr>
        <w:t>para la realización del presente trabajo se basa fundamentalmente en una adaptación de las orientaciones desarrolladas en</w:t>
      </w:r>
      <w:r w:rsidR="008C1EE0">
        <w:rPr>
          <w:rFonts w:ascii="Calibri" w:eastAsia="Calibri" w:hAnsi="Calibri" w:cs="Calibri"/>
          <w:lang w:val="es-GT"/>
        </w:rPr>
        <w:t>:</w:t>
      </w:r>
      <w:r w:rsidRPr="00523BC1">
        <w:rPr>
          <w:rFonts w:ascii="Calibri" w:eastAsia="Calibri" w:hAnsi="Calibri" w:cs="Calibri"/>
          <w:lang w:val="es-GT"/>
        </w:rPr>
        <w:t xml:space="preserve"> “Conceptos, evolución y perspectivas de la Evaluación Ambiental Estratégica” (Partidario, 2011)</w:t>
      </w:r>
      <w:r w:rsidRPr="00523BC1">
        <w:rPr>
          <w:rStyle w:val="Refdenotaalpie"/>
          <w:rFonts w:ascii="Calibri" w:eastAsia="Calibri" w:hAnsi="Calibri" w:cs="Calibri"/>
          <w:lang w:val="es-GT"/>
        </w:rPr>
        <w:footnoteReference w:id="1"/>
      </w:r>
      <w:r w:rsidRPr="00523BC1">
        <w:rPr>
          <w:rFonts w:ascii="Calibri" w:eastAsia="Calibri" w:hAnsi="Calibri" w:cs="Calibri"/>
          <w:lang w:val="es-GT"/>
        </w:rPr>
        <w:t>.</w:t>
      </w:r>
      <w:r w:rsidR="001F68C4" w:rsidRPr="00523BC1">
        <w:rPr>
          <w:rFonts w:ascii="Calibri" w:eastAsia="Calibri" w:hAnsi="Calibri" w:cs="Calibri"/>
          <w:lang w:val="es-GT"/>
        </w:rPr>
        <w:t xml:space="preserve"> </w:t>
      </w:r>
    </w:p>
    <w:p w:rsidR="001F68C4" w:rsidRPr="00523BC1" w:rsidRDefault="001F68C4" w:rsidP="007032D9">
      <w:pPr>
        <w:autoSpaceDE w:val="0"/>
        <w:autoSpaceDN w:val="0"/>
        <w:adjustRightInd w:val="0"/>
        <w:ind w:left="360"/>
        <w:jc w:val="both"/>
        <w:rPr>
          <w:rFonts w:ascii="Calibri" w:eastAsia="Calibri" w:hAnsi="Calibri" w:cs="Calibri"/>
          <w:lang w:val="es-GT"/>
        </w:rPr>
      </w:pPr>
    </w:p>
    <w:p w:rsidR="00B93911" w:rsidRPr="00523BC1" w:rsidRDefault="00B93911" w:rsidP="007032D9">
      <w:pPr>
        <w:autoSpaceDE w:val="0"/>
        <w:autoSpaceDN w:val="0"/>
        <w:adjustRightInd w:val="0"/>
        <w:ind w:left="360"/>
        <w:jc w:val="both"/>
        <w:rPr>
          <w:rFonts w:ascii="Calibri" w:eastAsia="Calibri" w:hAnsi="Calibri" w:cs="Calibri"/>
          <w:lang w:val="es-GT"/>
        </w:rPr>
      </w:pPr>
      <w:r w:rsidRPr="00523BC1">
        <w:rPr>
          <w:rFonts w:ascii="Calibri" w:eastAsia="Calibri" w:hAnsi="Calibri" w:cs="Calibri"/>
          <w:lang w:val="es-GT"/>
        </w:rPr>
        <w:t xml:space="preserve">Dentro de este marco, la EAE es visualizada como un instrumento de apoyo a la </w:t>
      </w:r>
      <w:r w:rsidR="001F68C4" w:rsidRPr="00523BC1">
        <w:rPr>
          <w:rFonts w:ascii="Calibri" w:eastAsia="Calibri" w:hAnsi="Calibri" w:cs="Calibri"/>
          <w:lang w:val="es-GT"/>
        </w:rPr>
        <w:t>toma de</w:t>
      </w:r>
      <w:r w:rsidRPr="00523BC1">
        <w:rPr>
          <w:rFonts w:ascii="Calibri" w:eastAsia="Calibri" w:hAnsi="Calibri" w:cs="Calibri"/>
          <w:lang w:val="es-GT"/>
        </w:rPr>
        <w:t xml:space="preserve"> decisiones de naturaleza estratégica, normalmente traducidas en políticas, planes y programas (Figura 1), constituyéndose en un proceso sistemático de identificación, análisis y evaluación previa de impactos de naturaleza estratégica, es decir, aquellos que son generados por causas (acciones y decisiones) de naturaleza estratégica y cuyos efectos (consecuencias o resultados de esas acciones) deben ser interpretados bajo una óptica estratégica. </w:t>
      </w:r>
    </w:p>
    <w:p w:rsidR="00B93911" w:rsidRPr="00523BC1" w:rsidRDefault="00B93911" w:rsidP="007032D9">
      <w:pPr>
        <w:autoSpaceDE w:val="0"/>
        <w:autoSpaceDN w:val="0"/>
        <w:adjustRightInd w:val="0"/>
        <w:ind w:left="360"/>
        <w:jc w:val="both"/>
        <w:rPr>
          <w:rFonts w:ascii="Calibri" w:eastAsia="Calibri" w:hAnsi="Calibri" w:cs="Calibri"/>
          <w:lang w:val="es-GT"/>
        </w:rPr>
      </w:pPr>
    </w:p>
    <w:p w:rsidR="00B93911" w:rsidRPr="001A01AB" w:rsidRDefault="00B93911" w:rsidP="007032D9">
      <w:pPr>
        <w:autoSpaceDE w:val="0"/>
        <w:autoSpaceDN w:val="0"/>
        <w:adjustRightInd w:val="0"/>
        <w:ind w:left="360"/>
        <w:jc w:val="both"/>
        <w:rPr>
          <w:rFonts w:ascii="Calibri" w:eastAsia="Calibri" w:hAnsi="Calibri" w:cs="Calibri"/>
          <w:lang w:val="es-GT"/>
        </w:rPr>
      </w:pPr>
      <w:r w:rsidRPr="00523BC1">
        <w:rPr>
          <w:rFonts w:ascii="Calibri" w:eastAsia="Calibri" w:hAnsi="Calibri" w:cs="Calibri"/>
          <w:lang w:val="es-GT"/>
        </w:rPr>
        <w:t>En el ámbito de la planificación, la EAE actúa, preferentemente, sobre los procesos de concepción y formulación de políticas, planes y pro</w:t>
      </w:r>
      <w:r w:rsidR="008C1EE0">
        <w:rPr>
          <w:rFonts w:ascii="Calibri" w:eastAsia="Calibri" w:hAnsi="Calibri" w:cs="Calibri"/>
          <w:lang w:val="es-GT"/>
        </w:rPr>
        <w:t>gramas, y no sobre su resultado;</w:t>
      </w:r>
      <w:r w:rsidRPr="00523BC1">
        <w:rPr>
          <w:rFonts w:ascii="Calibri" w:eastAsia="Calibri" w:hAnsi="Calibri" w:cs="Calibri"/>
          <w:lang w:val="es-GT"/>
        </w:rPr>
        <w:t xml:space="preserve"> y busca influenciar el modo y las prioridades de decisión. En el caso específico de la presente EAE, la misma se encuadra en las etapas iniciales de diseño del i</w:t>
      </w:r>
      <w:r w:rsidR="001F68C4" w:rsidRPr="00523BC1">
        <w:rPr>
          <w:rFonts w:ascii="Calibri" w:eastAsia="Calibri" w:hAnsi="Calibri" w:cs="Calibri"/>
          <w:lang w:val="es-GT"/>
        </w:rPr>
        <w:t>nstrumento sujeto de evaluación, es decir,</w:t>
      </w:r>
      <w:r w:rsidRPr="00523BC1">
        <w:rPr>
          <w:rFonts w:ascii="Calibri" w:eastAsia="Calibri" w:hAnsi="Calibri" w:cs="Calibri"/>
          <w:lang w:val="es-GT"/>
        </w:rPr>
        <w:t xml:space="preserve"> el programa nacional del FIDA para Guatemala, denominado COSOP-BR Guatemala.</w:t>
      </w:r>
      <w:r w:rsidRPr="001A01AB">
        <w:rPr>
          <w:rFonts w:ascii="Calibri" w:eastAsia="Calibri" w:hAnsi="Calibri" w:cs="Calibri"/>
          <w:lang w:val="es-GT"/>
        </w:rPr>
        <w:t xml:space="preserve"> </w:t>
      </w:r>
    </w:p>
    <w:p w:rsidR="00B93911" w:rsidRPr="001A01AB" w:rsidRDefault="00B93911" w:rsidP="007032D9">
      <w:pPr>
        <w:autoSpaceDE w:val="0"/>
        <w:autoSpaceDN w:val="0"/>
        <w:adjustRightInd w:val="0"/>
        <w:ind w:left="360"/>
        <w:jc w:val="both"/>
        <w:rPr>
          <w:rFonts w:ascii="Calibri" w:eastAsia="Calibri" w:hAnsi="Calibri" w:cs="Calibri"/>
          <w:lang w:val="es-GT"/>
        </w:rPr>
      </w:pPr>
    </w:p>
    <w:p w:rsidR="00B93911" w:rsidRPr="001A01AB" w:rsidRDefault="00B93911" w:rsidP="00AF261A">
      <w:pPr>
        <w:spacing w:after="120"/>
        <w:jc w:val="center"/>
        <w:rPr>
          <w:rFonts w:ascii="Calibri" w:eastAsia="Calibri" w:hAnsi="Calibri" w:cs="Calibri"/>
          <w:b/>
          <w:color w:val="365F91"/>
          <w:sz w:val="22"/>
          <w:szCs w:val="22"/>
          <w:lang w:val="es-GT"/>
        </w:rPr>
      </w:pPr>
      <w:bookmarkStart w:id="25" w:name="_Toc347841224"/>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noProof/>
          <w:color w:val="365F91"/>
          <w:sz w:val="22"/>
          <w:szCs w:val="22"/>
          <w:lang w:val="es-GT"/>
        </w:rPr>
        <w:t>1</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Rol de la EAE en el proceso de decisión para políticas, planes y programas</w:t>
      </w:r>
      <w:bookmarkEnd w:id="25"/>
    </w:p>
    <w:p w:rsidR="00B93911" w:rsidRPr="001A01AB" w:rsidRDefault="00544A9F" w:rsidP="00B93911">
      <w:pPr>
        <w:jc w:val="center"/>
        <w:rPr>
          <w:rFonts w:ascii="Calibri" w:hAnsi="Calibri" w:cs="Calibri"/>
          <w:lang w:val="es-GT"/>
        </w:rPr>
      </w:pPr>
      <w:r>
        <w:rPr>
          <w:rFonts w:ascii="Calibri" w:hAnsi="Calibri" w:cs="Calibri"/>
          <w:noProof/>
          <w:lang w:val="es-GT" w:eastAsia="es-GT"/>
        </w:rPr>
        <w:drawing>
          <wp:inline distT="0" distB="0" distL="0" distR="0" wp14:anchorId="6455E75A" wp14:editId="4E994A27">
            <wp:extent cx="2867025" cy="2466975"/>
            <wp:effectExtent l="0" t="0" r="9525" b="9525"/>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67025" cy="2466975"/>
                    </a:xfrm>
                    <a:prstGeom prst="rect">
                      <a:avLst/>
                    </a:prstGeom>
                    <a:noFill/>
                    <a:ln>
                      <a:noFill/>
                    </a:ln>
                  </pic:spPr>
                </pic:pic>
              </a:graphicData>
            </a:graphic>
          </wp:inline>
        </w:drawing>
      </w:r>
    </w:p>
    <w:p w:rsidR="00B93911" w:rsidRDefault="00B93911" w:rsidP="00B93911">
      <w:pPr>
        <w:ind w:right="2178"/>
        <w:jc w:val="right"/>
        <w:rPr>
          <w:rFonts w:ascii="Calibri" w:hAnsi="Calibri" w:cs="Calibri"/>
          <w:sz w:val="20"/>
          <w:szCs w:val="20"/>
          <w:lang w:val="es-GT"/>
        </w:rPr>
      </w:pPr>
      <w:r w:rsidRPr="001A01AB">
        <w:rPr>
          <w:rFonts w:ascii="Calibri" w:eastAsia="Calibri" w:hAnsi="Calibri" w:cs="Calibri"/>
          <w:sz w:val="20"/>
          <w:szCs w:val="20"/>
          <w:lang w:val="es-GT"/>
        </w:rPr>
        <w:t>Fuente:</w:t>
      </w:r>
      <w:r w:rsidR="00B813FF">
        <w:rPr>
          <w:rFonts w:ascii="Calibri" w:hAnsi="Calibri" w:cs="Calibri"/>
          <w:sz w:val="20"/>
          <w:szCs w:val="20"/>
          <w:lang w:val="es-GT"/>
        </w:rPr>
        <w:t xml:space="preserve"> SEMARNAT (</w:t>
      </w:r>
      <w:r w:rsidRPr="001A01AB">
        <w:rPr>
          <w:rFonts w:ascii="Calibri" w:hAnsi="Calibri" w:cs="Calibri"/>
          <w:sz w:val="20"/>
          <w:szCs w:val="20"/>
          <w:lang w:val="es-GT"/>
        </w:rPr>
        <w:t>2011</w:t>
      </w:r>
      <w:r w:rsidR="00B813FF">
        <w:rPr>
          <w:rFonts w:ascii="Calibri" w:hAnsi="Calibri" w:cs="Calibri"/>
          <w:sz w:val="20"/>
          <w:szCs w:val="20"/>
          <w:lang w:val="es-GT"/>
        </w:rPr>
        <w:t>)</w:t>
      </w:r>
      <w:r w:rsidRPr="001A01AB">
        <w:rPr>
          <w:rFonts w:ascii="Calibri" w:hAnsi="Calibri" w:cs="Calibri"/>
          <w:sz w:val="20"/>
          <w:szCs w:val="20"/>
          <w:lang w:val="es-GT"/>
        </w:rPr>
        <w:t>.</w:t>
      </w:r>
    </w:p>
    <w:p w:rsidR="001F68C4" w:rsidRDefault="001F68C4" w:rsidP="00B93911">
      <w:pPr>
        <w:ind w:right="2178"/>
        <w:jc w:val="right"/>
        <w:rPr>
          <w:rFonts w:ascii="Calibri" w:hAnsi="Calibri" w:cs="Calibri"/>
          <w:sz w:val="20"/>
          <w:szCs w:val="20"/>
          <w:lang w:val="es-GT"/>
        </w:rPr>
      </w:pPr>
    </w:p>
    <w:p w:rsidR="001F68C4" w:rsidRPr="001A01AB" w:rsidRDefault="001F68C4" w:rsidP="00B93911">
      <w:pPr>
        <w:ind w:right="2178"/>
        <w:jc w:val="right"/>
        <w:rPr>
          <w:rFonts w:ascii="Calibri" w:hAnsi="Calibri" w:cs="Calibri"/>
          <w:sz w:val="20"/>
          <w:szCs w:val="20"/>
          <w:lang w:val="es-GT"/>
        </w:rPr>
      </w:pPr>
    </w:p>
    <w:p w:rsidR="00E14229" w:rsidRPr="001A01AB" w:rsidRDefault="00E14229" w:rsidP="002E6EB9">
      <w:pPr>
        <w:ind w:left="360"/>
        <w:jc w:val="both"/>
        <w:rPr>
          <w:rFonts w:ascii="Calibri" w:hAnsi="Calibri" w:cs="Calibri"/>
          <w:lang w:val="es-GT"/>
        </w:rPr>
      </w:pPr>
      <w:r w:rsidRPr="00523BC1">
        <w:rPr>
          <w:rFonts w:ascii="Calibri" w:hAnsi="Calibri" w:cs="Calibri"/>
          <w:lang w:val="es-GT"/>
        </w:rPr>
        <w:t>El proceso metodológico se estructur</w:t>
      </w:r>
      <w:r w:rsidR="004E2ECE">
        <w:rPr>
          <w:rFonts w:ascii="Calibri" w:hAnsi="Calibri" w:cs="Calibri"/>
          <w:lang w:val="es-GT"/>
        </w:rPr>
        <w:t>ó</w:t>
      </w:r>
      <w:r w:rsidRPr="00523BC1">
        <w:rPr>
          <w:rFonts w:ascii="Calibri" w:hAnsi="Calibri" w:cs="Calibri"/>
          <w:lang w:val="es-GT"/>
        </w:rPr>
        <w:t xml:space="preserve"> siguiendo las fases del Cuadro 1, las cuales se desarrolla</w:t>
      </w:r>
      <w:r w:rsidR="001F68C4" w:rsidRPr="00523BC1">
        <w:rPr>
          <w:rFonts w:ascii="Calibri" w:hAnsi="Calibri" w:cs="Calibri"/>
          <w:lang w:val="es-GT"/>
        </w:rPr>
        <w:t>n</w:t>
      </w:r>
      <w:r w:rsidRPr="00523BC1">
        <w:rPr>
          <w:rFonts w:ascii="Calibri" w:hAnsi="Calibri" w:cs="Calibri"/>
          <w:lang w:val="es-GT"/>
        </w:rPr>
        <w:t xml:space="preserve"> a continuación. En el Cuadro 2 también se muestra la relación entre el marco metodológico y los objetivos de la presente EAE.</w:t>
      </w:r>
    </w:p>
    <w:p w:rsidR="00C54ACC" w:rsidRDefault="00C54ACC" w:rsidP="00C470CE">
      <w:pPr>
        <w:pStyle w:val="Epgrafe"/>
        <w:jc w:val="center"/>
        <w:rPr>
          <w:rFonts w:asciiTheme="minorHAnsi" w:eastAsia="Calibri" w:hAnsiTheme="minorHAnsi" w:cstheme="minorHAnsi"/>
          <w:color w:val="365F91" w:themeColor="accent1" w:themeShade="BF"/>
          <w:sz w:val="22"/>
          <w:szCs w:val="22"/>
          <w:lang w:val="es-GT"/>
        </w:rPr>
      </w:pPr>
      <w:bookmarkStart w:id="26" w:name="_Toc347841183"/>
      <w:r w:rsidRPr="00C54ACC">
        <w:rPr>
          <w:rFonts w:asciiTheme="minorHAnsi" w:hAnsiTheme="minorHAnsi" w:cstheme="minorHAnsi"/>
          <w:color w:val="365F91" w:themeColor="accent1" w:themeShade="BF"/>
          <w:sz w:val="22"/>
          <w:szCs w:val="22"/>
          <w:lang w:val="es-GT"/>
        </w:rPr>
        <w:lastRenderedPageBreak/>
        <w:t xml:space="preserve">Cuadro </w:t>
      </w:r>
      <w:r w:rsidRPr="00C54ACC">
        <w:rPr>
          <w:rFonts w:asciiTheme="minorHAnsi" w:hAnsiTheme="minorHAnsi" w:cstheme="minorHAnsi"/>
          <w:color w:val="365F91" w:themeColor="accent1" w:themeShade="BF"/>
          <w:sz w:val="22"/>
          <w:szCs w:val="22"/>
        </w:rPr>
        <w:fldChar w:fldCharType="begin"/>
      </w:r>
      <w:r w:rsidRPr="00C54ACC">
        <w:rPr>
          <w:rFonts w:asciiTheme="minorHAnsi" w:hAnsiTheme="minorHAnsi" w:cstheme="minorHAnsi"/>
          <w:color w:val="365F91" w:themeColor="accent1" w:themeShade="BF"/>
          <w:sz w:val="22"/>
          <w:szCs w:val="22"/>
          <w:lang w:val="es-GT"/>
        </w:rPr>
        <w:instrText xml:space="preserve"> SEQ Cuadro \* ARABIC </w:instrText>
      </w:r>
      <w:r w:rsidRPr="00C54ACC">
        <w:rPr>
          <w:rFonts w:asciiTheme="minorHAnsi" w:hAnsiTheme="minorHAnsi" w:cstheme="minorHAnsi"/>
          <w:color w:val="365F91" w:themeColor="accent1" w:themeShade="BF"/>
          <w:sz w:val="22"/>
          <w:szCs w:val="22"/>
        </w:rPr>
        <w:fldChar w:fldCharType="separate"/>
      </w:r>
      <w:r w:rsidRPr="00C54ACC">
        <w:rPr>
          <w:rFonts w:asciiTheme="minorHAnsi" w:hAnsiTheme="minorHAnsi" w:cstheme="minorHAnsi"/>
          <w:noProof/>
          <w:color w:val="365F91" w:themeColor="accent1" w:themeShade="BF"/>
          <w:sz w:val="22"/>
          <w:szCs w:val="22"/>
          <w:lang w:val="es-GT"/>
        </w:rPr>
        <w:t>1</w:t>
      </w:r>
      <w:r w:rsidRPr="00C54ACC">
        <w:rPr>
          <w:rFonts w:asciiTheme="minorHAnsi" w:hAnsiTheme="minorHAnsi" w:cstheme="minorHAnsi"/>
          <w:color w:val="365F91" w:themeColor="accent1" w:themeShade="BF"/>
          <w:sz w:val="22"/>
          <w:szCs w:val="22"/>
        </w:rPr>
        <w:fldChar w:fldCharType="end"/>
      </w:r>
      <w:r w:rsidRPr="00C54ACC">
        <w:rPr>
          <w:rFonts w:asciiTheme="minorHAnsi" w:eastAsia="Calibri" w:hAnsiTheme="minorHAnsi" w:cstheme="minorHAnsi"/>
          <w:color w:val="365F91" w:themeColor="accent1" w:themeShade="BF"/>
          <w:sz w:val="22"/>
          <w:szCs w:val="22"/>
          <w:lang w:val="es-GT"/>
        </w:rPr>
        <w:t>. Resumen esquemático del proceso de formulación de la EAE</w:t>
      </w:r>
      <w:bookmarkEnd w:id="26"/>
    </w:p>
    <w:p w:rsidR="00C470CE" w:rsidRPr="00C470CE" w:rsidRDefault="00C470CE" w:rsidP="00C470CE">
      <w:pPr>
        <w:rPr>
          <w:rFonts w:eastAsia="Calibri"/>
          <w:lang w:val="es-GT"/>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776"/>
        <w:gridCol w:w="5202"/>
      </w:tblGrid>
      <w:tr w:rsidR="00B37BBB" w:rsidRPr="00C870E7" w:rsidTr="00C470CE">
        <w:trPr>
          <w:jc w:val="center"/>
        </w:trPr>
        <w:tc>
          <w:tcPr>
            <w:tcW w:w="3776" w:type="dxa"/>
            <w:shd w:val="clear" w:color="auto" w:fill="17365D"/>
          </w:tcPr>
          <w:p w:rsidR="00B37BBB" w:rsidRPr="001A01AB" w:rsidRDefault="00B37BBB" w:rsidP="001A01AB">
            <w:pPr>
              <w:spacing w:before="20"/>
              <w:jc w:val="center"/>
              <w:rPr>
                <w:rFonts w:ascii="Calibri" w:hAnsi="Calibri" w:cs="Calibri"/>
                <w:b/>
                <w:color w:val="FFFFFF"/>
                <w:sz w:val="22"/>
                <w:szCs w:val="22"/>
                <w:lang w:val="es-GT"/>
              </w:rPr>
            </w:pPr>
            <w:r w:rsidRPr="001A01AB">
              <w:rPr>
                <w:rFonts w:ascii="Calibri" w:hAnsi="Calibri" w:cs="Calibri"/>
                <w:b/>
                <w:color w:val="FFFFFF"/>
                <w:sz w:val="22"/>
                <w:szCs w:val="22"/>
                <w:lang w:val="es-GT"/>
              </w:rPr>
              <w:t>Proceso analítico</w:t>
            </w:r>
          </w:p>
        </w:tc>
        <w:tc>
          <w:tcPr>
            <w:tcW w:w="5202" w:type="dxa"/>
            <w:shd w:val="clear" w:color="auto" w:fill="17365D"/>
          </w:tcPr>
          <w:p w:rsidR="00B37BBB" w:rsidRPr="001A01AB" w:rsidRDefault="00B37BBB" w:rsidP="001A01AB">
            <w:pPr>
              <w:spacing w:before="20"/>
              <w:jc w:val="center"/>
              <w:rPr>
                <w:rFonts w:ascii="Calibri" w:hAnsi="Calibri" w:cs="Calibri"/>
                <w:b/>
                <w:color w:val="FFFFFF"/>
                <w:sz w:val="22"/>
                <w:szCs w:val="22"/>
                <w:lang w:val="es-GT"/>
              </w:rPr>
            </w:pPr>
            <w:r w:rsidRPr="001A01AB">
              <w:rPr>
                <w:rFonts w:ascii="Calibri" w:hAnsi="Calibri" w:cs="Calibri"/>
                <w:b/>
                <w:color w:val="FFFFFF"/>
                <w:sz w:val="22"/>
                <w:szCs w:val="22"/>
                <w:lang w:val="es-GT"/>
              </w:rPr>
              <w:t>Productos clave</w:t>
            </w:r>
          </w:p>
        </w:tc>
      </w:tr>
      <w:tr w:rsidR="00B37BBB" w:rsidRPr="00C870E7" w:rsidTr="001A01AB">
        <w:trPr>
          <w:jc w:val="center"/>
        </w:trPr>
        <w:tc>
          <w:tcPr>
            <w:tcW w:w="8978" w:type="dxa"/>
            <w:gridSpan w:val="2"/>
            <w:shd w:val="clear" w:color="auto" w:fill="C6D9F1"/>
          </w:tcPr>
          <w:p w:rsidR="00B37BBB" w:rsidRPr="001A01AB" w:rsidRDefault="00B37BBB" w:rsidP="001A01AB">
            <w:pPr>
              <w:spacing w:before="20"/>
              <w:rPr>
                <w:rFonts w:ascii="Calibri" w:hAnsi="Calibri" w:cs="Calibri"/>
                <w:b/>
                <w:i/>
                <w:sz w:val="22"/>
                <w:szCs w:val="22"/>
                <w:lang w:val="es-GT"/>
              </w:rPr>
            </w:pPr>
            <w:r w:rsidRPr="001A01AB">
              <w:rPr>
                <w:rFonts w:ascii="Calibri" w:hAnsi="Calibri" w:cs="Calibri"/>
                <w:b/>
                <w:i/>
                <w:sz w:val="22"/>
                <w:szCs w:val="22"/>
                <w:lang w:val="es-GT"/>
              </w:rPr>
              <w:t>Análisis de contexto</w:t>
            </w:r>
          </w:p>
        </w:tc>
      </w:tr>
      <w:tr w:rsidR="00B37BBB" w:rsidRPr="000364C9"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Definición del ámbito de la EAE</w:t>
            </w:r>
          </w:p>
        </w:tc>
        <w:tc>
          <w:tcPr>
            <w:tcW w:w="5202"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Definición</w:t>
            </w:r>
            <w:r w:rsidR="004E2ECE">
              <w:rPr>
                <w:rFonts w:ascii="Calibri" w:hAnsi="Calibri" w:cs="Calibri"/>
                <w:sz w:val="22"/>
                <w:szCs w:val="22"/>
                <w:lang w:val="es-GT"/>
              </w:rPr>
              <w:t xml:space="preserve"> del</w:t>
            </w:r>
            <w:r w:rsidRPr="001A01AB">
              <w:rPr>
                <w:rFonts w:ascii="Calibri" w:hAnsi="Calibri" w:cs="Calibri"/>
                <w:sz w:val="22"/>
                <w:szCs w:val="22"/>
                <w:lang w:val="es-GT"/>
              </w:rPr>
              <w:t xml:space="preserve"> ámbito de evaluación</w:t>
            </w:r>
            <w:r w:rsidR="004E2ECE">
              <w:rPr>
                <w:rFonts w:ascii="Calibri" w:hAnsi="Calibri" w:cs="Calibri"/>
                <w:sz w:val="22"/>
                <w:szCs w:val="22"/>
                <w:lang w:val="es-GT"/>
              </w:rPr>
              <w:t>.</w:t>
            </w:r>
          </w:p>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Selección del método y enfoque de la EAE</w:t>
            </w:r>
            <w:r w:rsidR="004E2ECE">
              <w:rPr>
                <w:rFonts w:ascii="Calibri" w:hAnsi="Calibri" w:cs="Calibri"/>
                <w:sz w:val="22"/>
                <w:szCs w:val="22"/>
                <w:lang w:val="es-GT"/>
              </w:rPr>
              <w:t>.</w:t>
            </w:r>
          </w:p>
        </w:tc>
      </w:tr>
      <w:tr w:rsidR="00B37BBB" w:rsidRPr="000364C9"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Caracterización del contexto nacional</w:t>
            </w:r>
          </w:p>
        </w:tc>
        <w:tc>
          <w:tcPr>
            <w:tcW w:w="5202"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Conocimiento sistémico del país y del ámbito de evaluación</w:t>
            </w:r>
            <w:r w:rsidR="004E2ECE">
              <w:rPr>
                <w:rFonts w:ascii="Calibri" w:hAnsi="Calibri" w:cs="Calibri"/>
                <w:sz w:val="22"/>
                <w:szCs w:val="22"/>
                <w:lang w:val="es-GT"/>
              </w:rPr>
              <w:t>.</w:t>
            </w:r>
          </w:p>
        </w:tc>
      </w:tr>
      <w:tr w:rsidR="00B37BBB" w:rsidRPr="00C870E7" w:rsidTr="001A01AB">
        <w:trPr>
          <w:jc w:val="center"/>
        </w:trPr>
        <w:tc>
          <w:tcPr>
            <w:tcW w:w="8978" w:type="dxa"/>
            <w:gridSpan w:val="2"/>
            <w:shd w:val="clear" w:color="auto" w:fill="C6D9F1"/>
          </w:tcPr>
          <w:p w:rsidR="00B37BBB" w:rsidRPr="001A01AB" w:rsidRDefault="00B37BBB" w:rsidP="001A01AB">
            <w:pPr>
              <w:spacing w:before="20"/>
              <w:rPr>
                <w:rFonts w:ascii="Calibri" w:hAnsi="Calibri" w:cs="Calibri"/>
                <w:b/>
                <w:i/>
                <w:sz w:val="22"/>
                <w:szCs w:val="22"/>
                <w:lang w:val="es-GT"/>
              </w:rPr>
            </w:pPr>
            <w:r w:rsidRPr="001A01AB">
              <w:rPr>
                <w:rFonts w:ascii="Calibri" w:hAnsi="Calibri" w:cs="Calibri"/>
                <w:b/>
                <w:i/>
                <w:sz w:val="22"/>
                <w:szCs w:val="22"/>
                <w:lang w:val="es-GT"/>
              </w:rPr>
              <w:t>Análisis estratégico</w:t>
            </w:r>
          </w:p>
        </w:tc>
      </w:tr>
      <w:tr w:rsidR="00B37BBB" w:rsidRPr="000364C9"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Revisión del Marco de Referencia Estratégico (MRE)</w:t>
            </w:r>
          </w:p>
        </w:tc>
        <w:tc>
          <w:tcPr>
            <w:tcW w:w="5202"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Síntesis del marco político, legal e institucional nacional e internacional de relevancia para los propósitos de la evaluación</w:t>
            </w:r>
            <w:r w:rsidR="004E2ECE">
              <w:rPr>
                <w:rFonts w:ascii="Calibri" w:hAnsi="Calibri" w:cs="Calibri"/>
                <w:sz w:val="22"/>
                <w:szCs w:val="22"/>
                <w:lang w:val="es-GT"/>
              </w:rPr>
              <w:t>.</w:t>
            </w:r>
          </w:p>
        </w:tc>
      </w:tr>
      <w:tr w:rsidR="00B37BBB" w:rsidRPr="000364C9"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Revisión y análisis de Cuestiones Estratégicas (CE) a partir de Objetivos Estratégicos (OE) relativos al ámbito de evaluación</w:t>
            </w:r>
          </w:p>
        </w:tc>
        <w:tc>
          <w:tcPr>
            <w:tcW w:w="5202" w:type="dxa"/>
            <w:shd w:val="clear" w:color="auto" w:fill="auto"/>
          </w:tcPr>
          <w:p w:rsidR="00B37BBB" w:rsidRPr="001A01AB" w:rsidRDefault="00B37BBB" w:rsidP="004E2ECE">
            <w:pPr>
              <w:spacing w:before="20"/>
              <w:rPr>
                <w:rFonts w:ascii="Calibri" w:hAnsi="Calibri" w:cs="Calibri"/>
                <w:sz w:val="22"/>
                <w:szCs w:val="22"/>
                <w:lang w:val="es-GT"/>
              </w:rPr>
            </w:pPr>
            <w:r w:rsidRPr="001A01AB">
              <w:rPr>
                <w:rFonts w:ascii="Calibri" w:hAnsi="Calibri" w:cs="Calibri"/>
                <w:sz w:val="22"/>
                <w:szCs w:val="22"/>
                <w:lang w:val="es-GT"/>
              </w:rPr>
              <w:t>Síntesis de las cuestiones que son clave (de primer orden) pa</w:t>
            </w:r>
            <w:r w:rsidR="004E2ECE">
              <w:rPr>
                <w:rFonts w:ascii="Calibri" w:hAnsi="Calibri" w:cs="Calibri"/>
                <w:sz w:val="22"/>
                <w:szCs w:val="22"/>
                <w:lang w:val="es-GT"/>
              </w:rPr>
              <w:t>ra la consecución de los objetiv</w:t>
            </w:r>
            <w:r w:rsidRPr="001A01AB">
              <w:rPr>
                <w:rFonts w:ascii="Calibri" w:hAnsi="Calibri" w:cs="Calibri"/>
                <w:sz w:val="22"/>
                <w:szCs w:val="22"/>
                <w:lang w:val="es-GT"/>
              </w:rPr>
              <w:t>os estratégicos relativos al ámbito de evaluación</w:t>
            </w:r>
            <w:r w:rsidR="004E2ECE">
              <w:rPr>
                <w:rFonts w:ascii="Calibri" w:hAnsi="Calibri" w:cs="Calibri"/>
                <w:sz w:val="22"/>
                <w:szCs w:val="22"/>
                <w:lang w:val="es-GT"/>
              </w:rPr>
              <w:t>.</w:t>
            </w:r>
          </w:p>
        </w:tc>
      </w:tr>
      <w:tr w:rsidR="00B37BBB" w:rsidRPr="000364C9"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Revisión y análisis de Aspectos Socio-Ambientales relevantes (ASA)</w:t>
            </w:r>
          </w:p>
        </w:tc>
        <w:tc>
          <w:tcPr>
            <w:tcW w:w="5202"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Síntesis de los principales aspectos del ambiente natural que se ven involucrados en el impulso de las cuestiones estratégicas</w:t>
            </w:r>
            <w:r w:rsidR="004E2ECE">
              <w:rPr>
                <w:rFonts w:ascii="Calibri" w:hAnsi="Calibri" w:cs="Calibri"/>
                <w:sz w:val="22"/>
                <w:szCs w:val="22"/>
                <w:lang w:val="es-GT"/>
              </w:rPr>
              <w:t>.</w:t>
            </w:r>
          </w:p>
        </w:tc>
      </w:tr>
      <w:tr w:rsidR="00B37BBB" w:rsidRPr="00C870E7"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Identificación de los Factores Críticos de Decisión (FCD)</w:t>
            </w:r>
          </w:p>
        </w:tc>
        <w:tc>
          <w:tcPr>
            <w:tcW w:w="5202"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Síntesis de aquellos factores que se consideran críticos para alcanzar los objetivos de desarrollo</w:t>
            </w:r>
            <w:r w:rsidR="00141A70">
              <w:rPr>
                <w:rFonts w:ascii="Calibri" w:hAnsi="Calibri" w:cs="Calibri"/>
                <w:sz w:val="22"/>
                <w:szCs w:val="22"/>
                <w:lang w:val="es-GT"/>
              </w:rPr>
              <w:t xml:space="preserve"> </w:t>
            </w:r>
            <w:r w:rsidRPr="001A01AB">
              <w:rPr>
                <w:rFonts w:ascii="Calibri" w:hAnsi="Calibri" w:cs="Calibri"/>
                <w:sz w:val="22"/>
                <w:szCs w:val="22"/>
                <w:lang w:val="es-GT"/>
              </w:rPr>
              <w:t>para el ámbito y el territorio de interés en consideración al MRE, las CE y el OE y los ASA. No debe ser una lista extensa.</w:t>
            </w:r>
          </w:p>
        </w:tc>
      </w:tr>
      <w:tr w:rsidR="00B37BBB" w:rsidRPr="000364C9"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Selección y análisis de criterios de evaluación de los Factores Críticos de Decisión</w:t>
            </w:r>
          </w:p>
        </w:tc>
        <w:tc>
          <w:tcPr>
            <w:tcW w:w="5202"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Síntesis analítica de indicadores que muestran antecedentes, situación actual y tendencias relacionada con los FCD. Son el insumo medular de la EAE y la clave para elegir opciones.</w:t>
            </w:r>
          </w:p>
        </w:tc>
      </w:tr>
      <w:tr w:rsidR="00B37BBB" w:rsidRPr="000364C9"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Identificación y evaluación de Opciones Estratégicas</w:t>
            </w:r>
          </w:p>
        </w:tc>
        <w:tc>
          <w:tcPr>
            <w:tcW w:w="5202"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Síntesis de opciones que resultan estratégicas para mantener o desestimar cuestiones estratégicas (CE) en consideración a los FCD. Se suele elaborar una matriz resumen de evaluación que confronta cada opción estratégica con los FCD, revisando si la opción en relación al FCD es: muy buena, buena, neutra, regular, deficiente.</w:t>
            </w:r>
          </w:p>
        </w:tc>
      </w:tr>
      <w:tr w:rsidR="00B37BBB" w:rsidRPr="000364C9"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Directrices de sostenibilidad</w:t>
            </w:r>
          </w:p>
        </w:tc>
        <w:tc>
          <w:tcPr>
            <w:tcW w:w="5202"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Síntesis de indicaciones para asegurar mejoras cuantitativas y cualitativas que pueden sostenerse en el tiempo</w:t>
            </w:r>
            <w:r w:rsidR="004E2ECE">
              <w:rPr>
                <w:rFonts w:ascii="Calibri" w:hAnsi="Calibri" w:cs="Calibri"/>
                <w:sz w:val="22"/>
                <w:szCs w:val="22"/>
                <w:lang w:val="es-GT"/>
              </w:rPr>
              <w:t>.</w:t>
            </w:r>
          </w:p>
        </w:tc>
      </w:tr>
      <w:tr w:rsidR="00B37BBB" w:rsidRPr="000364C9"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Orientaciones para el Monitoreo y la Evaluación (M&amp;E)</w:t>
            </w:r>
          </w:p>
        </w:tc>
        <w:tc>
          <w:tcPr>
            <w:tcW w:w="5202"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Síntesis de cuestiones clave que deben incluirse de manera prioritaria en los ejercicios de M&amp;E de las intervenciones</w:t>
            </w:r>
            <w:r w:rsidR="004E2ECE">
              <w:rPr>
                <w:rFonts w:ascii="Calibri" w:hAnsi="Calibri" w:cs="Calibri"/>
                <w:sz w:val="22"/>
                <w:szCs w:val="22"/>
                <w:lang w:val="es-GT"/>
              </w:rPr>
              <w:t>.</w:t>
            </w:r>
          </w:p>
        </w:tc>
      </w:tr>
      <w:tr w:rsidR="00B37BBB" w:rsidRPr="00C870E7" w:rsidTr="001A01AB">
        <w:trPr>
          <w:jc w:val="center"/>
        </w:trPr>
        <w:tc>
          <w:tcPr>
            <w:tcW w:w="8978" w:type="dxa"/>
            <w:gridSpan w:val="2"/>
            <w:shd w:val="clear" w:color="auto" w:fill="C6D9F1"/>
          </w:tcPr>
          <w:p w:rsidR="00B37BBB" w:rsidRPr="001A01AB" w:rsidRDefault="00B37BBB" w:rsidP="001A01AB">
            <w:pPr>
              <w:spacing w:before="20"/>
              <w:rPr>
                <w:rFonts w:ascii="Calibri" w:hAnsi="Calibri" w:cs="Calibri"/>
                <w:b/>
                <w:i/>
                <w:sz w:val="22"/>
                <w:szCs w:val="22"/>
                <w:lang w:val="es-GT"/>
              </w:rPr>
            </w:pPr>
            <w:r w:rsidRPr="001A01AB">
              <w:rPr>
                <w:rFonts w:ascii="Calibri" w:hAnsi="Calibri" w:cs="Calibri"/>
                <w:b/>
                <w:i/>
                <w:sz w:val="22"/>
                <w:szCs w:val="22"/>
                <w:lang w:val="es-GT"/>
              </w:rPr>
              <w:t>Validación</w:t>
            </w:r>
          </w:p>
        </w:tc>
      </w:tr>
      <w:tr w:rsidR="00B37BBB" w:rsidRPr="000364C9" w:rsidTr="00C470CE">
        <w:trPr>
          <w:jc w:val="center"/>
        </w:trPr>
        <w:tc>
          <w:tcPr>
            <w:tcW w:w="3776"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Validación interactiva del Análisis Estratégico (a lo largo del proceso de formulación de la EAE)</w:t>
            </w:r>
          </w:p>
        </w:tc>
        <w:tc>
          <w:tcPr>
            <w:tcW w:w="5202" w:type="dxa"/>
            <w:shd w:val="clear" w:color="auto" w:fill="auto"/>
          </w:tcPr>
          <w:p w:rsidR="00B37BBB" w:rsidRPr="001A01AB" w:rsidRDefault="00B37BBB" w:rsidP="001A01AB">
            <w:pPr>
              <w:spacing w:before="20"/>
              <w:rPr>
                <w:rFonts w:ascii="Calibri" w:hAnsi="Calibri" w:cs="Calibri"/>
                <w:sz w:val="22"/>
                <w:szCs w:val="22"/>
                <w:lang w:val="es-GT"/>
              </w:rPr>
            </w:pPr>
            <w:r w:rsidRPr="001A01AB">
              <w:rPr>
                <w:rFonts w:ascii="Calibri" w:hAnsi="Calibri" w:cs="Calibri"/>
                <w:sz w:val="22"/>
                <w:szCs w:val="22"/>
                <w:lang w:val="es-GT"/>
              </w:rPr>
              <w:t>Análisis estratégico basado en el conocimiento científico, el conocimiento tradicional y las experiencias de actores clave en el ámbito de interés</w:t>
            </w:r>
            <w:r w:rsidR="004E2ECE">
              <w:rPr>
                <w:rFonts w:ascii="Calibri" w:hAnsi="Calibri" w:cs="Calibri"/>
                <w:sz w:val="22"/>
                <w:szCs w:val="22"/>
                <w:lang w:val="es-GT"/>
              </w:rPr>
              <w:t>.</w:t>
            </w:r>
          </w:p>
        </w:tc>
      </w:tr>
    </w:tbl>
    <w:p w:rsidR="00B37BBB" w:rsidRPr="001A01AB" w:rsidRDefault="00B37BBB" w:rsidP="00B37BBB">
      <w:pPr>
        <w:ind w:right="378"/>
        <w:jc w:val="right"/>
        <w:rPr>
          <w:rFonts w:ascii="Calibri" w:eastAsia="Calibri" w:hAnsi="Calibri" w:cs="Calibri"/>
          <w:sz w:val="20"/>
          <w:szCs w:val="18"/>
          <w:lang w:val="es-GT"/>
        </w:rPr>
      </w:pPr>
      <w:r w:rsidRPr="001A01AB">
        <w:rPr>
          <w:rFonts w:ascii="Calibri" w:eastAsia="Calibri" w:hAnsi="Calibri" w:cs="Calibri"/>
          <w:sz w:val="20"/>
          <w:szCs w:val="18"/>
          <w:lang w:val="es-GT"/>
        </w:rPr>
        <w:t>Fuente: Elaboración propia.</w:t>
      </w:r>
    </w:p>
    <w:p w:rsidR="00C470CE" w:rsidRDefault="00C470CE" w:rsidP="00C54ACC">
      <w:pPr>
        <w:pStyle w:val="Epgrafe"/>
        <w:jc w:val="center"/>
        <w:rPr>
          <w:rFonts w:asciiTheme="minorHAnsi" w:hAnsiTheme="minorHAnsi" w:cstheme="minorHAnsi"/>
          <w:color w:val="365F91" w:themeColor="accent1" w:themeShade="BF"/>
          <w:sz w:val="22"/>
          <w:szCs w:val="22"/>
          <w:lang w:val="es-GT"/>
        </w:rPr>
      </w:pPr>
    </w:p>
    <w:p w:rsidR="00B37BBB" w:rsidRDefault="00C54ACC" w:rsidP="00C54ACC">
      <w:pPr>
        <w:pStyle w:val="Epgrafe"/>
        <w:jc w:val="center"/>
        <w:rPr>
          <w:rFonts w:asciiTheme="minorHAnsi" w:hAnsiTheme="minorHAnsi" w:cstheme="minorHAnsi"/>
          <w:color w:val="365F91" w:themeColor="accent1" w:themeShade="BF"/>
          <w:sz w:val="22"/>
          <w:szCs w:val="22"/>
          <w:lang w:val="es-GT"/>
        </w:rPr>
      </w:pPr>
      <w:bookmarkStart w:id="27" w:name="_Toc347841184"/>
      <w:r w:rsidRPr="00C54ACC">
        <w:rPr>
          <w:rFonts w:asciiTheme="minorHAnsi" w:hAnsiTheme="minorHAnsi" w:cstheme="minorHAnsi"/>
          <w:color w:val="365F91" w:themeColor="accent1" w:themeShade="BF"/>
          <w:sz w:val="22"/>
          <w:szCs w:val="22"/>
          <w:lang w:val="es-GT"/>
        </w:rPr>
        <w:lastRenderedPageBreak/>
        <w:t xml:space="preserve">Cuadro </w:t>
      </w:r>
      <w:r w:rsidRPr="00C54ACC">
        <w:rPr>
          <w:rFonts w:asciiTheme="minorHAnsi" w:hAnsiTheme="minorHAnsi" w:cstheme="minorHAnsi"/>
          <w:color w:val="365F91" w:themeColor="accent1" w:themeShade="BF"/>
          <w:sz w:val="22"/>
          <w:szCs w:val="22"/>
          <w:lang w:val="es-GT"/>
        </w:rPr>
        <w:fldChar w:fldCharType="begin"/>
      </w:r>
      <w:r w:rsidRPr="00C54ACC">
        <w:rPr>
          <w:rFonts w:asciiTheme="minorHAnsi" w:hAnsiTheme="minorHAnsi" w:cstheme="minorHAnsi"/>
          <w:color w:val="365F91" w:themeColor="accent1" w:themeShade="BF"/>
          <w:sz w:val="22"/>
          <w:szCs w:val="22"/>
          <w:lang w:val="es-GT"/>
        </w:rPr>
        <w:instrText xml:space="preserve"> SEQ Cuadro \* ARABIC </w:instrText>
      </w:r>
      <w:r w:rsidRPr="00C54ACC">
        <w:rPr>
          <w:rFonts w:asciiTheme="minorHAnsi" w:hAnsiTheme="minorHAnsi" w:cstheme="minorHAnsi"/>
          <w:color w:val="365F91" w:themeColor="accent1" w:themeShade="BF"/>
          <w:sz w:val="22"/>
          <w:szCs w:val="22"/>
          <w:lang w:val="es-GT"/>
        </w:rPr>
        <w:fldChar w:fldCharType="separate"/>
      </w:r>
      <w:r w:rsidRPr="00C54ACC">
        <w:rPr>
          <w:rFonts w:asciiTheme="minorHAnsi" w:hAnsiTheme="minorHAnsi" w:cstheme="minorHAnsi"/>
          <w:color w:val="365F91" w:themeColor="accent1" w:themeShade="BF"/>
          <w:sz w:val="22"/>
          <w:szCs w:val="22"/>
          <w:lang w:val="es-GT"/>
        </w:rPr>
        <w:t>2</w:t>
      </w:r>
      <w:r w:rsidRPr="00C54ACC">
        <w:rPr>
          <w:rFonts w:asciiTheme="minorHAnsi" w:hAnsiTheme="minorHAnsi" w:cstheme="minorHAnsi"/>
          <w:color w:val="365F91" w:themeColor="accent1" w:themeShade="BF"/>
          <w:sz w:val="22"/>
          <w:szCs w:val="22"/>
          <w:lang w:val="es-GT"/>
        </w:rPr>
        <w:fldChar w:fldCharType="end"/>
      </w:r>
      <w:r w:rsidRPr="00C54ACC">
        <w:rPr>
          <w:rFonts w:asciiTheme="minorHAnsi" w:hAnsiTheme="minorHAnsi" w:cstheme="minorHAnsi"/>
          <w:color w:val="365F91" w:themeColor="accent1" w:themeShade="BF"/>
          <w:sz w:val="22"/>
          <w:szCs w:val="22"/>
          <w:lang w:val="es-GT"/>
        </w:rPr>
        <w:t>. Relación entre el marco metodológico y los objetivos de la EAE</w:t>
      </w:r>
      <w:bookmarkEnd w:id="27"/>
    </w:p>
    <w:p w:rsidR="00C54ACC" w:rsidRPr="00C54ACC" w:rsidRDefault="00C54ACC" w:rsidP="00C54ACC">
      <w:pPr>
        <w:rPr>
          <w:rFonts w:eastAsia="Calibri"/>
          <w:lang w:val="es-GT"/>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219"/>
        <w:gridCol w:w="4759"/>
      </w:tblGrid>
      <w:tr w:rsidR="00B37BBB" w:rsidRPr="00C870E7" w:rsidTr="001A01AB">
        <w:trPr>
          <w:jc w:val="center"/>
        </w:trPr>
        <w:tc>
          <w:tcPr>
            <w:tcW w:w="4219" w:type="dxa"/>
            <w:shd w:val="clear" w:color="auto" w:fill="17365D"/>
          </w:tcPr>
          <w:p w:rsidR="00B37BBB" w:rsidRPr="001A01AB" w:rsidRDefault="00B37BBB" w:rsidP="001A01AB">
            <w:pPr>
              <w:spacing w:before="40" w:after="20"/>
              <w:jc w:val="center"/>
              <w:rPr>
                <w:rFonts w:ascii="Calibri" w:hAnsi="Calibri" w:cs="Calibri"/>
                <w:b/>
                <w:color w:val="FFFFFF"/>
                <w:sz w:val="22"/>
                <w:szCs w:val="22"/>
                <w:lang w:val="es-GT"/>
              </w:rPr>
            </w:pPr>
            <w:r w:rsidRPr="001A01AB">
              <w:rPr>
                <w:rFonts w:ascii="Calibri" w:hAnsi="Calibri" w:cs="Calibri"/>
                <w:b/>
                <w:color w:val="FFFFFF"/>
                <w:sz w:val="22"/>
                <w:szCs w:val="22"/>
                <w:lang w:val="es-GT"/>
              </w:rPr>
              <w:t>P</w:t>
            </w:r>
            <w:r w:rsidR="004E2ECE" w:rsidRPr="001A01AB">
              <w:rPr>
                <w:rFonts w:ascii="Calibri" w:hAnsi="Calibri" w:cs="Calibri"/>
                <w:b/>
                <w:color w:val="FFFFFF"/>
                <w:sz w:val="22"/>
                <w:szCs w:val="22"/>
                <w:lang w:val="es-GT"/>
              </w:rPr>
              <w:t>roceso analítico</w:t>
            </w:r>
          </w:p>
        </w:tc>
        <w:tc>
          <w:tcPr>
            <w:tcW w:w="4759" w:type="dxa"/>
            <w:shd w:val="clear" w:color="auto" w:fill="17365D"/>
          </w:tcPr>
          <w:p w:rsidR="00B37BBB" w:rsidRPr="001A01AB" w:rsidRDefault="00B37BBB" w:rsidP="001A01AB">
            <w:pPr>
              <w:spacing w:before="40" w:after="20"/>
              <w:jc w:val="center"/>
              <w:rPr>
                <w:rFonts w:ascii="Calibri" w:hAnsi="Calibri" w:cs="Calibri"/>
                <w:b/>
                <w:color w:val="FFFFFF"/>
                <w:sz w:val="22"/>
                <w:szCs w:val="22"/>
                <w:lang w:val="es-GT"/>
              </w:rPr>
            </w:pPr>
            <w:r w:rsidRPr="001A01AB">
              <w:rPr>
                <w:rFonts w:ascii="Calibri" w:hAnsi="Calibri" w:cs="Calibri"/>
                <w:b/>
                <w:color w:val="FFFFFF"/>
                <w:sz w:val="22"/>
                <w:szCs w:val="22"/>
                <w:lang w:val="es-GT"/>
              </w:rPr>
              <w:t>O</w:t>
            </w:r>
            <w:r w:rsidR="004E2ECE" w:rsidRPr="001A01AB">
              <w:rPr>
                <w:rFonts w:ascii="Calibri" w:hAnsi="Calibri" w:cs="Calibri"/>
                <w:b/>
                <w:color w:val="FFFFFF"/>
                <w:sz w:val="22"/>
                <w:szCs w:val="22"/>
                <w:lang w:val="es-GT"/>
              </w:rPr>
              <w:t xml:space="preserve">bjetivos de la </w:t>
            </w:r>
            <w:r w:rsidRPr="001A01AB">
              <w:rPr>
                <w:rFonts w:ascii="Calibri" w:hAnsi="Calibri" w:cs="Calibri"/>
                <w:b/>
                <w:color w:val="FFFFFF"/>
                <w:sz w:val="22"/>
                <w:szCs w:val="22"/>
                <w:lang w:val="es-GT"/>
              </w:rPr>
              <w:t>EAE</w:t>
            </w:r>
          </w:p>
        </w:tc>
      </w:tr>
      <w:tr w:rsidR="00B37BBB" w:rsidRPr="00C870E7" w:rsidTr="001A01AB">
        <w:trPr>
          <w:jc w:val="center"/>
        </w:trPr>
        <w:tc>
          <w:tcPr>
            <w:tcW w:w="8978" w:type="dxa"/>
            <w:gridSpan w:val="2"/>
            <w:shd w:val="clear" w:color="auto" w:fill="C6D9F1"/>
          </w:tcPr>
          <w:p w:rsidR="00B37BBB" w:rsidRPr="001A01AB" w:rsidRDefault="00B37BBB" w:rsidP="001A01AB">
            <w:pPr>
              <w:spacing w:before="40" w:after="20"/>
              <w:rPr>
                <w:rFonts w:ascii="Calibri" w:hAnsi="Calibri" w:cs="Calibri"/>
                <w:b/>
                <w:i/>
                <w:sz w:val="22"/>
                <w:szCs w:val="22"/>
                <w:lang w:val="es-GT"/>
              </w:rPr>
            </w:pPr>
            <w:r w:rsidRPr="001A01AB">
              <w:rPr>
                <w:rFonts w:ascii="Calibri" w:hAnsi="Calibri" w:cs="Calibri"/>
                <w:b/>
                <w:i/>
                <w:sz w:val="22"/>
                <w:szCs w:val="22"/>
                <w:lang w:val="es-GT"/>
              </w:rPr>
              <w:t>Análisis de contexto</w:t>
            </w:r>
          </w:p>
        </w:tc>
      </w:tr>
      <w:tr w:rsidR="00B37BBB" w:rsidRPr="000364C9"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Definición del ámbito de la EAE</w:t>
            </w:r>
          </w:p>
        </w:tc>
        <w:tc>
          <w:tcPr>
            <w:tcW w:w="4759" w:type="dxa"/>
            <w:vMerge w:val="restart"/>
            <w:shd w:val="clear" w:color="auto" w:fill="auto"/>
          </w:tcPr>
          <w:p w:rsidR="00B37BBB" w:rsidRPr="001A01AB" w:rsidRDefault="00B37BBB" w:rsidP="001A01AB">
            <w:pPr>
              <w:pStyle w:val="Prrafodelista"/>
              <w:numPr>
                <w:ilvl w:val="0"/>
                <w:numId w:val="19"/>
              </w:numPr>
              <w:spacing w:before="40" w:after="20" w:line="240" w:lineRule="auto"/>
              <w:contextualSpacing w:val="0"/>
              <w:rPr>
                <w:rFonts w:cs="Calibri"/>
              </w:rPr>
            </w:pPr>
            <w:r w:rsidRPr="001A01AB">
              <w:rPr>
                <w:rFonts w:cs="Calibri"/>
                <w:bCs/>
              </w:rPr>
              <w:t>Determinar los vínculos más importantes entre la pobreza rural y el medio ambiente</w:t>
            </w:r>
            <w:r w:rsidR="004E2ECE">
              <w:rPr>
                <w:rFonts w:cs="Calibri"/>
                <w:bCs/>
              </w:rPr>
              <w:t>.</w:t>
            </w:r>
          </w:p>
        </w:tc>
      </w:tr>
      <w:tr w:rsidR="00B37BBB" w:rsidRPr="00C870E7"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Caracterización del contexto nacional</w:t>
            </w:r>
          </w:p>
        </w:tc>
        <w:tc>
          <w:tcPr>
            <w:tcW w:w="4759" w:type="dxa"/>
            <w:vMerge/>
            <w:shd w:val="clear" w:color="auto" w:fill="auto"/>
          </w:tcPr>
          <w:p w:rsidR="00B37BBB" w:rsidRPr="001A01AB" w:rsidRDefault="00B37BBB" w:rsidP="001A01AB">
            <w:pPr>
              <w:spacing w:before="40" w:after="20"/>
              <w:rPr>
                <w:rFonts w:ascii="Calibri" w:hAnsi="Calibri" w:cs="Calibri"/>
                <w:sz w:val="22"/>
                <w:szCs w:val="22"/>
                <w:lang w:val="es-GT"/>
              </w:rPr>
            </w:pPr>
          </w:p>
        </w:tc>
      </w:tr>
      <w:tr w:rsidR="00B37BBB" w:rsidRPr="00C870E7" w:rsidTr="001A01AB">
        <w:trPr>
          <w:jc w:val="center"/>
        </w:trPr>
        <w:tc>
          <w:tcPr>
            <w:tcW w:w="8978" w:type="dxa"/>
            <w:gridSpan w:val="2"/>
            <w:shd w:val="clear" w:color="auto" w:fill="C6D9F1"/>
          </w:tcPr>
          <w:p w:rsidR="00B37BBB" w:rsidRPr="001A01AB" w:rsidRDefault="00B37BBB" w:rsidP="001A01AB">
            <w:pPr>
              <w:spacing w:before="40" w:after="20"/>
              <w:rPr>
                <w:rFonts w:ascii="Calibri" w:hAnsi="Calibri" w:cs="Calibri"/>
                <w:b/>
                <w:i/>
                <w:sz w:val="22"/>
                <w:szCs w:val="22"/>
                <w:lang w:val="es-GT"/>
              </w:rPr>
            </w:pPr>
            <w:r w:rsidRPr="001A01AB">
              <w:rPr>
                <w:rFonts w:ascii="Calibri" w:hAnsi="Calibri" w:cs="Calibri"/>
                <w:b/>
                <w:i/>
                <w:sz w:val="22"/>
                <w:szCs w:val="22"/>
                <w:lang w:val="es-GT"/>
              </w:rPr>
              <w:t>Análisis estratégico</w:t>
            </w:r>
          </w:p>
        </w:tc>
      </w:tr>
      <w:tr w:rsidR="00B37BBB" w:rsidRPr="000364C9"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Revisión del Marco de Referencia Estratégico (MRE)</w:t>
            </w:r>
          </w:p>
        </w:tc>
        <w:tc>
          <w:tcPr>
            <w:tcW w:w="4759" w:type="dxa"/>
            <w:vMerge w:val="restart"/>
            <w:shd w:val="clear" w:color="auto" w:fill="auto"/>
          </w:tcPr>
          <w:p w:rsidR="00B37BBB" w:rsidRPr="000364C9" w:rsidRDefault="00B37BBB" w:rsidP="001A01AB">
            <w:pPr>
              <w:pStyle w:val="Prrafodelista"/>
              <w:numPr>
                <w:ilvl w:val="0"/>
                <w:numId w:val="19"/>
              </w:numPr>
              <w:spacing w:before="40" w:after="120" w:line="240" w:lineRule="auto"/>
              <w:contextualSpacing w:val="0"/>
              <w:rPr>
                <w:rFonts w:cs="Calibri"/>
                <w:bCs/>
              </w:rPr>
            </w:pPr>
            <w:r w:rsidRPr="001A01AB">
              <w:rPr>
                <w:rFonts w:cs="Calibri"/>
                <w:bCs/>
              </w:rPr>
              <w:t xml:space="preserve">Señalar oportunidades y formular recomendaciones fundamentales en materia </w:t>
            </w:r>
            <w:r w:rsidRPr="000364C9">
              <w:rPr>
                <w:rFonts w:cs="Calibri"/>
                <w:bCs/>
              </w:rPr>
              <w:t>social y ambiental para influir en la planificación del apoyo del FIDA a las iniciativas de desarrollo de Guatemala, con enfoque de sostenibilidad ambiental y el cambio climático</w:t>
            </w:r>
            <w:r w:rsidR="004E2ECE" w:rsidRPr="000364C9">
              <w:rPr>
                <w:rFonts w:cs="Calibri"/>
                <w:bCs/>
              </w:rPr>
              <w:t>.</w:t>
            </w:r>
          </w:p>
          <w:p w:rsidR="00B37BBB" w:rsidRPr="001A01AB" w:rsidRDefault="00B37BBB" w:rsidP="001A01AB">
            <w:pPr>
              <w:pStyle w:val="Prrafodelista"/>
              <w:numPr>
                <w:ilvl w:val="0"/>
                <w:numId w:val="19"/>
              </w:numPr>
              <w:spacing w:before="40" w:after="120" w:line="240" w:lineRule="auto"/>
              <w:contextualSpacing w:val="0"/>
              <w:rPr>
                <w:rFonts w:cs="Calibri"/>
              </w:rPr>
            </w:pPr>
            <w:r w:rsidRPr="000364C9">
              <w:rPr>
                <w:rFonts w:cs="Calibri"/>
                <w:bCs/>
              </w:rPr>
              <w:t xml:space="preserve">Señalar aspectos prioritarios en el ámbito de la </w:t>
            </w:r>
            <w:r w:rsidR="004E2ECE" w:rsidRPr="000364C9">
              <w:rPr>
                <w:rFonts w:cs="Calibri"/>
              </w:rPr>
              <w:t>gestión del ambiente y los recursos naturales y el cambio climático</w:t>
            </w:r>
            <w:r w:rsidRPr="000364C9">
              <w:rPr>
                <w:rFonts w:cs="Calibri"/>
              </w:rPr>
              <w:t>,</w:t>
            </w:r>
            <w:r w:rsidRPr="000364C9">
              <w:rPr>
                <w:rFonts w:cs="Calibri"/>
                <w:bCs/>
              </w:rPr>
              <w:t xml:space="preserve"> teniendo en cuenta la ventaja comparativa del FIDA para el diálogo sobre políticas con el Gobierno</w:t>
            </w:r>
            <w:r w:rsidR="004E2ECE" w:rsidRPr="000364C9">
              <w:rPr>
                <w:rFonts w:cs="Calibri"/>
                <w:bCs/>
              </w:rPr>
              <w:t>.</w:t>
            </w:r>
          </w:p>
        </w:tc>
      </w:tr>
      <w:tr w:rsidR="00B37BBB" w:rsidRPr="000364C9"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Revisión y análisis de Cuestiones Estratégicas (CE) a partir de Objetivos Estratégicos (OE) relativos al ámbito de evaluación</w:t>
            </w:r>
          </w:p>
        </w:tc>
        <w:tc>
          <w:tcPr>
            <w:tcW w:w="4759" w:type="dxa"/>
            <w:vMerge/>
            <w:shd w:val="clear" w:color="auto" w:fill="auto"/>
          </w:tcPr>
          <w:p w:rsidR="00B37BBB" w:rsidRPr="001A01AB" w:rsidRDefault="00B37BBB" w:rsidP="001A01AB">
            <w:pPr>
              <w:spacing w:before="40" w:after="20"/>
              <w:rPr>
                <w:rFonts w:ascii="Calibri" w:hAnsi="Calibri" w:cs="Calibri"/>
                <w:sz w:val="22"/>
                <w:szCs w:val="22"/>
                <w:lang w:val="es-GT"/>
              </w:rPr>
            </w:pPr>
          </w:p>
        </w:tc>
      </w:tr>
      <w:tr w:rsidR="00B37BBB" w:rsidRPr="000364C9"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Revisión y análisis de Aspectos Socio-Ambientales relevantes (ASA)</w:t>
            </w:r>
          </w:p>
        </w:tc>
        <w:tc>
          <w:tcPr>
            <w:tcW w:w="4759" w:type="dxa"/>
            <w:vMerge/>
            <w:shd w:val="clear" w:color="auto" w:fill="auto"/>
          </w:tcPr>
          <w:p w:rsidR="00B37BBB" w:rsidRPr="001A01AB" w:rsidRDefault="00B37BBB" w:rsidP="001A01AB">
            <w:pPr>
              <w:spacing w:before="40" w:after="20"/>
              <w:rPr>
                <w:rFonts w:ascii="Calibri" w:hAnsi="Calibri" w:cs="Calibri"/>
                <w:sz w:val="22"/>
                <w:szCs w:val="22"/>
                <w:lang w:val="es-GT"/>
              </w:rPr>
            </w:pPr>
          </w:p>
        </w:tc>
      </w:tr>
      <w:tr w:rsidR="00B37BBB" w:rsidRPr="000364C9"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Identificación de los Factores Críticos de Decisión (FCD)</w:t>
            </w:r>
          </w:p>
        </w:tc>
        <w:tc>
          <w:tcPr>
            <w:tcW w:w="4759" w:type="dxa"/>
            <w:vMerge/>
            <w:shd w:val="clear" w:color="auto" w:fill="auto"/>
          </w:tcPr>
          <w:p w:rsidR="00B37BBB" w:rsidRPr="001A01AB" w:rsidRDefault="00B37BBB" w:rsidP="001A01AB">
            <w:pPr>
              <w:spacing w:before="40" w:after="20"/>
              <w:rPr>
                <w:rFonts w:ascii="Calibri" w:hAnsi="Calibri" w:cs="Calibri"/>
                <w:sz w:val="22"/>
                <w:szCs w:val="22"/>
                <w:lang w:val="es-GT"/>
              </w:rPr>
            </w:pPr>
          </w:p>
        </w:tc>
      </w:tr>
      <w:tr w:rsidR="00B37BBB" w:rsidRPr="000364C9"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Selección y análisis de criterios de evaluación de los Factores Críticos de Decisión</w:t>
            </w:r>
          </w:p>
        </w:tc>
        <w:tc>
          <w:tcPr>
            <w:tcW w:w="4759" w:type="dxa"/>
            <w:vMerge/>
            <w:shd w:val="clear" w:color="auto" w:fill="auto"/>
          </w:tcPr>
          <w:p w:rsidR="00B37BBB" w:rsidRPr="001A01AB" w:rsidRDefault="00B37BBB" w:rsidP="001A01AB">
            <w:pPr>
              <w:spacing w:before="40" w:after="20"/>
              <w:rPr>
                <w:rFonts w:ascii="Calibri" w:hAnsi="Calibri" w:cs="Calibri"/>
                <w:sz w:val="22"/>
                <w:szCs w:val="22"/>
                <w:lang w:val="es-GT"/>
              </w:rPr>
            </w:pPr>
          </w:p>
        </w:tc>
      </w:tr>
      <w:tr w:rsidR="00B37BBB" w:rsidRPr="000364C9"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Identificación y evaluación de Opciones Estratégicas</w:t>
            </w:r>
          </w:p>
        </w:tc>
        <w:tc>
          <w:tcPr>
            <w:tcW w:w="4759" w:type="dxa"/>
            <w:vMerge/>
            <w:shd w:val="clear" w:color="auto" w:fill="auto"/>
          </w:tcPr>
          <w:p w:rsidR="00B37BBB" w:rsidRPr="001A01AB" w:rsidRDefault="00B37BBB" w:rsidP="001A01AB">
            <w:pPr>
              <w:spacing w:before="40" w:after="20"/>
              <w:rPr>
                <w:rFonts w:ascii="Calibri" w:hAnsi="Calibri" w:cs="Calibri"/>
                <w:sz w:val="22"/>
                <w:szCs w:val="22"/>
                <w:lang w:val="es-GT"/>
              </w:rPr>
            </w:pPr>
          </w:p>
        </w:tc>
      </w:tr>
      <w:tr w:rsidR="00B37BBB" w:rsidRPr="00C870E7"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Directrices de sostenibilidad</w:t>
            </w:r>
          </w:p>
        </w:tc>
        <w:tc>
          <w:tcPr>
            <w:tcW w:w="4759" w:type="dxa"/>
            <w:vMerge/>
            <w:shd w:val="clear" w:color="auto" w:fill="auto"/>
          </w:tcPr>
          <w:p w:rsidR="00B37BBB" w:rsidRPr="001A01AB" w:rsidRDefault="00B37BBB" w:rsidP="001A01AB">
            <w:pPr>
              <w:spacing w:before="40" w:after="20"/>
              <w:rPr>
                <w:rFonts w:ascii="Calibri" w:hAnsi="Calibri" w:cs="Calibri"/>
                <w:sz w:val="22"/>
                <w:szCs w:val="22"/>
                <w:lang w:val="es-GT"/>
              </w:rPr>
            </w:pPr>
          </w:p>
        </w:tc>
      </w:tr>
      <w:tr w:rsidR="00B37BBB" w:rsidRPr="000364C9"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Orientaciones para el monitoreo y la evaluación (M&amp;E)</w:t>
            </w:r>
          </w:p>
        </w:tc>
        <w:tc>
          <w:tcPr>
            <w:tcW w:w="4759" w:type="dxa"/>
            <w:vMerge/>
            <w:shd w:val="clear" w:color="auto" w:fill="auto"/>
          </w:tcPr>
          <w:p w:rsidR="00B37BBB" w:rsidRPr="001A01AB" w:rsidRDefault="00B37BBB" w:rsidP="001A01AB">
            <w:pPr>
              <w:spacing w:before="40" w:after="20"/>
              <w:rPr>
                <w:rFonts w:ascii="Calibri" w:hAnsi="Calibri" w:cs="Calibri"/>
                <w:sz w:val="22"/>
                <w:szCs w:val="22"/>
                <w:lang w:val="es-GT"/>
              </w:rPr>
            </w:pPr>
          </w:p>
        </w:tc>
      </w:tr>
      <w:tr w:rsidR="00B37BBB" w:rsidRPr="00C870E7" w:rsidTr="001A01AB">
        <w:trPr>
          <w:jc w:val="center"/>
        </w:trPr>
        <w:tc>
          <w:tcPr>
            <w:tcW w:w="8978" w:type="dxa"/>
            <w:gridSpan w:val="2"/>
            <w:shd w:val="clear" w:color="auto" w:fill="C6D9F1"/>
          </w:tcPr>
          <w:p w:rsidR="00B37BBB" w:rsidRPr="001A01AB" w:rsidRDefault="00B37BBB" w:rsidP="001A01AB">
            <w:pPr>
              <w:spacing w:before="40" w:after="20"/>
              <w:rPr>
                <w:rFonts w:ascii="Calibri" w:hAnsi="Calibri" w:cs="Calibri"/>
                <w:b/>
                <w:i/>
                <w:sz w:val="22"/>
                <w:szCs w:val="22"/>
                <w:lang w:val="es-GT"/>
              </w:rPr>
            </w:pPr>
            <w:r w:rsidRPr="001A01AB">
              <w:rPr>
                <w:rFonts w:ascii="Calibri" w:hAnsi="Calibri" w:cs="Calibri"/>
                <w:b/>
                <w:i/>
                <w:sz w:val="22"/>
                <w:szCs w:val="22"/>
                <w:lang w:val="es-GT"/>
              </w:rPr>
              <w:t>Validación</w:t>
            </w:r>
          </w:p>
        </w:tc>
      </w:tr>
      <w:tr w:rsidR="00B37BBB" w:rsidRPr="000364C9" w:rsidTr="001A01AB">
        <w:trPr>
          <w:jc w:val="center"/>
        </w:trPr>
        <w:tc>
          <w:tcPr>
            <w:tcW w:w="4219" w:type="dxa"/>
            <w:shd w:val="clear" w:color="auto" w:fill="auto"/>
          </w:tcPr>
          <w:p w:rsidR="00B37BBB" w:rsidRPr="001A01AB" w:rsidRDefault="00B37BBB" w:rsidP="001A01AB">
            <w:pPr>
              <w:spacing w:before="40" w:after="20"/>
              <w:rPr>
                <w:rFonts w:ascii="Calibri" w:hAnsi="Calibri" w:cs="Calibri"/>
                <w:sz w:val="22"/>
                <w:szCs w:val="22"/>
                <w:lang w:val="es-GT"/>
              </w:rPr>
            </w:pPr>
            <w:r w:rsidRPr="001A01AB">
              <w:rPr>
                <w:rFonts w:ascii="Calibri" w:hAnsi="Calibri" w:cs="Calibri"/>
                <w:sz w:val="22"/>
                <w:szCs w:val="22"/>
                <w:lang w:val="es-GT"/>
              </w:rPr>
              <w:t>Validación interactiva del Análisis Estratégico (a lo largo del proceso de formulación de la EAE)</w:t>
            </w:r>
          </w:p>
        </w:tc>
        <w:tc>
          <w:tcPr>
            <w:tcW w:w="4759" w:type="dxa"/>
            <w:shd w:val="clear" w:color="auto" w:fill="auto"/>
          </w:tcPr>
          <w:p w:rsidR="00B37BBB" w:rsidRPr="001A01AB" w:rsidRDefault="00B37BBB" w:rsidP="001A01AB">
            <w:pPr>
              <w:pStyle w:val="Prrafodelista"/>
              <w:numPr>
                <w:ilvl w:val="0"/>
                <w:numId w:val="20"/>
              </w:numPr>
              <w:spacing w:before="40" w:after="120" w:line="240" w:lineRule="auto"/>
              <w:ind w:left="360"/>
              <w:contextualSpacing w:val="0"/>
              <w:rPr>
                <w:rFonts w:cs="Calibri"/>
                <w:bCs/>
              </w:rPr>
            </w:pPr>
            <w:r w:rsidRPr="001A01AB">
              <w:rPr>
                <w:rFonts w:cs="Calibri"/>
                <w:bCs/>
              </w:rPr>
              <w:t>Ensayar y demostrar oportunidades de aplicación práctica de la EAE en Guatemala</w:t>
            </w:r>
            <w:r w:rsidR="00172475">
              <w:rPr>
                <w:rFonts w:cs="Calibri"/>
                <w:bCs/>
              </w:rPr>
              <w:t>.</w:t>
            </w:r>
          </w:p>
          <w:p w:rsidR="00B37BBB" w:rsidRPr="001A01AB" w:rsidRDefault="00B37BBB" w:rsidP="001A01AB">
            <w:pPr>
              <w:pStyle w:val="Prrafodelista"/>
              <w:numPr>
                <w:ilvl w:val="0"/>
                <w:numId w:val="20"/>
              </w:numPr>
              <w:spacing w:before="40" w:after="120" w:line="240" w:lineRule="auto"/>
              <w:ind w:left="360"/>
              <w:contextualSpacing w:val="0"/>
              <w:rPr>
                <w:rFonts w:cs="Calibri"/>
              </w:rPr>
            </w:pPr>
            <w:r w:rsidRPr="001A01AB">
              <w:rPr>
                <w:rFonts w:cs="Calibri"/>
                <w:bCs/>
              </w:rPr>
              <w:t>Demostrar la aplicabilidad del enfoque metodológico y el procedimiento de EAE descrito en el capítulo 2 de los Procedimientos del FIDA para la Evaluación Ambiental y Social, titulado “Evaluación Ambiental Estratégica”</w:t>
            </w:r>
            <w:r w:rsidR="00172475">
              <w:rPr>
                <w:rFonts w:cs="Calibri"/>
                <w:bCs/>
              </w:rPr>
              <w:t>.</w:t>
            </w:r>
          </w:p>
        </w:tc>
      </w:tr>
    </w:tbl>
    <w:p w:rsidR="00B37BBB" w:rsidRPr="001A01AB" w:rsidRDefault="00172475" w:rsidP="00B37BBB">
      <w:pPr>
        <w:ind w:right="378"/>
        <w:jc w:val="right"/>
        <w:rPr>
          <w:rFonts w:ascii="Calibri" w:hAnsi="Calibri" w:cs="Calibri"/>
          <w:sz w:val="20"/>
          <w:szCs w:val="22"/>
          <w:lang w:val="es-GT"/>
        </w:rPr>
      </w:pPr>
      <w:r>
        <w:rPr>
          <w:rFonts w:ascii="Calibri" w:hAnsi="Calibri" w:cs="Calibri"/>
          <w:sz w:val="20"/>
          <w:szCs w:val="22"/>
          <w:lang w:val="es-GT"/>
        </w:rPr>
        <w:t>Fuente: E</w:t>
      </w:r>
      <w:r w:rsidR="00B37BBB" w:rsidRPr="001A01AB">
        <w:rPr>
          <w:rFonts w:ascii="Calibri" w:hAnsi="Calibri" w:cs="Calibri"/>
          <w:sz w:val="20"/>
          <w:szCs w:val="22"/>
          <w:lang w:val="es-GT"/>
        </w:rPr>
        <w:t>laboración propia</w:t>
      </w:r>
      <w:r>
        <w:rPr>
          <w:rFonts w:ascii="Calibri" w:hAnsi="Calibri" w:cs="Calibri"/>
          <w:sz w:val="20"/>
          <w:szCs w:val="22"/>
          <w:lang w:val="es-GT"/>
        </w:rPr>
        <w:t>.</w:t>
      </w:r>
    </w:p>
    <w:p w:rsidR="00B37BBB" w:rsidRPr="001A01AB" w:rsidRDefault="00B37BBB" w:rsidP="00DC4259">
      <w:pPr>
        <w:ind w:left="360"/>
        <w:jc w:val="both"/>
        <w:rPr>
          <w:rFonts w:ascii="Calibri" w:hAnsi="Calibri" w:cs="Calibri"/>
          <w:sz w:val="22"/>
          <w:lang w:val="es-GT"/>
        </w:rPr>
      </w:pPr>
    </w:p>
    <w:p w:rsidR="00B37BBB" w:rsidRDefault="00B37BBB" w:rsidP="00DC4259">
      <w:pPr>
        <w:ind w:left="360"/>
        <w:jc w:val="both"/>
        <w:rPr>
          <w:rFonts w:ascii="Calibri" w:hAnsi="Calibri" w:cs="Calibri"/>
          <w:sz w:val="22"/>
          <w:lang w:val="es-GT"/>
        </w:rPr>
      </w:pPr>
    </w:p>
    <w:p w:rsidR="001F68C4" w:rsidRDefault="001F68C4" w:rsidP="00DC4259">
      <w:pPr>
        <w:ind w:left="360"/>
        <w:jc w:val="both"/>
        <w:rPr>
          <w:rFonts w:ascii="Calibri" w:hAnsi="Calibri" w:cs="Calibri"/>
          <w:sz w:val="22"/>
          <w:lang w:val="es-GT"/>
        </w:rPr>
      </w:pPr>
    </w:p>
    <w:p w:rsidR="001F68C4" w:rsidRDefault="001F68C4" w:rsidP="00DC4259">
      <w:pPr>
        <w:ind w:left="360"/>
        <w:jc w:val="both"/>
        <w:rPr>
          <w:rFonts w:ascii="Calibri" w:hAnsi="Calibri" w:cs="Calibri"/>
          <w:sz w:val="22"/>
          <w:lang w:val="es-GT"/>
        </w:rPr>
      </w:pPr>
    </w:p>
    <w:p w:rsidR="001F68C4" w:rsidRDefault="001F68C4" w:rsidP="00DC4259">
      <w:pPr>
        <w:ind w:left="360"/>
        <w:jc w:val="both"/>
        <w:rPr>
          <w:rFonts w:ascii="Calibri" w:hAnsi="Calibri" w:cs="Calibri"/>
          <w:sz w:val="22"/>
          <w:lang w:val="es-GT"/>
        </w:rPr>
      </w:pPr>
    </w:p>
    <w:p w:rsidR="00523BC1" w:rsidRDefault="00523BC1" w:rsidP="00DC4259">
      <w:pPr>
        <w:ind w:left="360"/>
        <w:jc w:val="both"/>
        <w:rPr>
          <w:rFonts w:ascii="Calibri" w:hAnsi="Calibri" w:cs="Calibri"/>
          <w:sz w:val="22"/>
          <w:lang w:val="es-GT"/>
        </w:rPr>
      </w:pPr>
    </w:p>
    <w:p w:rsidR="001F68C4" w:rsidRDefault="001F68C4" w:rsidP="00DC4259">
      <w:pPr>
        <w:ind w:left="360"/>
        <w:jc w:val="both"/>
        <w:rPr>
          <w:rFonts w:ascii="Calibri" w:hAnsi="Calibri" w:cs="Calibri"/>
          <w:sz w:val="22"/>
          <w:lang w:val="es-GT"/>
        </w:rPr>
      </w:pPr>
    </w:p>
    <w:p w:rsidR="001F68C4" w:rsidRDefault="001F68C4" w:rsidP="00DC4259">
      <w:pPr>
        <w:ind w:left="360"/>
        <w:jc w:val="both"/>
        <w:rPr>
          <w:rFonts w:ascii="Calibri" w:hAnsi="Calibri" w:cs="Calibri"/>
          <w:sz w:val="22"/>
          <w:lang w:val="es-GT"/>
        </w:rPr>
      </w:pPr>
    </w:p>
    <w:p w:rsidR="001F68C4" w:rsidRPr="001A01AB" w:rsidRDefault="001F68C4" w:rsidP="00DC4259">
      <w:pPr>
        <w:ind w:left="360"/>
        <w:jc w:val="both"/>
        <w:rPr>
          <w:rFonts w:ascii="Calibri" w:hAnsi="Calibri" w:cs="Calibri"/>
          <w:sz w:val="22"/>
          <w:lang w:val="es-GT"/>
        </w:rPr>
      </w:pPr>
    </w:p>
    <w:p w:rsidR="00B93911" w:rsidRDefault="00FF3856"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28" w:name="_Toc340065156"/>
      <w:bookmarkStart w:id="29" w:name="_Toc340065248"/>
      <w:bookmarkStart w:id="30" w:name="_Toc340565840"/>
      <w:bookmarkStart w:id="31" w:name="_Toc347841290"/>
      <w:r w:rsidRPr="001A01AB">
        <w:rPr>
          <w:rFonts w:cs="Calibri"/>
          <w:b/>
          <w:color w:val="365F91"/>
          <w:sz w:val="28"/>
          <w:lang w:eastAsia="es-GT"/>
        </w:rPr>
        <w:lastRenderedPageBreak/>
        <w:t>Análisis de contexto</w:t>
      </w:r>
      <w:bookmarkEnd w:id="28"/>
      <w:bookmarkEnd w:id="29"/>
      <w:bookmarkEnd w:id="30"/>
      <w:bookmarkEnd w:id="31"/>
    </w:p>
    <w:p w:rsidR="00523BC1" w:rsidRPr="001A01AB" w:rsidRDefault="00523BC1" w:rsidP="00523BC1">
      <w:pPr>
        <w:pStyle w:val="Prrafodelista"/>
        <w:autoSpaceDE w:val="0"/>
        <w:autoSpaceDN w:val="0"/>
        <w:adjustRightInd w:val="0"/>
        <w:spacing w:after="120" w:line="264" w:lineRule="auto"/>
        <w:ind w:left="0"/>
        <w:jc w:val="both"/>
        <w:outlineLvl w:val="1"/>
        <w:rPr>
          <w:rFonts w:cs="Calibri"/>
          <w:b/>
          <w:color w:val="365F91"/>
          <w:sz w:val="28"/>
          <w:lang w:eastAsia="es-GT"/>
        </w:rPr>
      </w:pPr>
    </w:p>
    <w:p w:rsidR="00B93911" w:rsidRPr="001A01AB" w:rsidRDefault="00B93911" w:rsidP="006B0A31">
      <w:pPr>
        <w:pStyle w:val="Prrafodelista"/>
        <w:numPr>
          <w:ilvl w:val="2"/>
          <w:numId w:val="47"/>
        </w:numPr>
        <w:spacing w:after="120"/>
        <w:jc w:val="both"/>
        <w:rPr>
          <w:rFonts w:cs="Calibri"/>
          <w:b/>
          <w:i/>
          <w:color w:val="365F91"/>
          <w:sz w:val="24"/>
          <w:szCs w:val="24"/>
        </w:rPr>
      </w:pPr>
      <w:r w:rsidRPr="001A01AB">
        <w:rPr>
          <w:rFonts w:cs="Calibri"/>
          <w:b/>
          <w:i/>
          <w:color w:val="365F91"/>
          <w:sz w:val="24"/>
          <w:szCs w:val="24"/>
        </w:rPr>
        <w:t>Fase 1. Definición del ámbito o enfoque de la EAE</w:t>
      </w:r>
    </w:p>
    <w:p w:rsidR="00B93911" w:rsidRPr="00523BC1" w:rsidRDefault="001F68C4" w:rsidP="00DC4259">
      <w:pPr>
        <w:ind w:left="360"/>
        <w:jc w:val="both"/>
        <w:rPr>
          <w:rFonts w:ascii="Calibri" w:hAnsi="Calibri" w:cs="Calibri"/>
          <w:lang w:val="es-GT"/>
        </w:rPr>
      </w:pPr>
      <w:r w:rsidRPr="00523BC1">
        <w:rPr>
          <w:rFonts w:ascii="Calibri" w:hAnsi="Calibri" w:cs="Calibri"/>
          <w:lang w:val="es-GT"/>
        </w:rPr>
        <w:t>E</w:t>
      </w:r>
      <w:r w:rsidR="00B93911" w:rsidRPr="00523BC1">
        <w:rPr>
          <w:rFonts w:ascii="Calibri" w:hAnsi="Calibri" w:cs="Calibri"/>
          <w:lang w:val="es-GT"/>
        </w:rPr>
        <w:t xml:space="preserve">sta etapa </w:t>
      </w:r>
      <w:r w:rsidR="00E06A01" w:rsidRPr="00523BC1">
        <w:rPr>
          <w:rFonts w:ascii="Calibri" w:hAnsi="Calibri" w:cs="Calibri"/>
          <w:lang w:val="es-GT"/>
        </w:rPr>
        <w:t xml:space="preserve">permitió definir </w:t>
      </w:r>
      <w:r w:rsidR="00B93911" w:rsidRPr="00523BC1">
        <w:rPr>
          <w:rFonts w:ascii="Calibri" w:hAnsi="Calibri" w:cs="Calibri"/>
          <w:lang w:val="es-GT"/>
        </w:rPr>
        <w:t>y caracteriza</w:t>
      </w:r>
      <w:r w:rsidR="00E06A01" w:rsidRPr="00523BC1">
        <w:rPr>
          <w:rFonts w:ascii="Calibri" w:hAnsi="Calibri" w:cs="Calibri"/>
          <w:lang w:val="es-GT"/>
        </w:rPr>
        <w:t>r</w:t>
      </w:r>
      <w:r w:rsidR="00B93911" w:rsidRPr="00523BC1">
        <w:rPr>
          <w:rFonts w:ascii="Calibri" w:hAnsi="Calibri" w:cs="Calibri"/>
          <w:lang w:val="es-GT"/>
        </w:rPr>
        <w:t xml:space="preserve"> el ámbito de evaluación, así como el modelo de EAE a </w:t>
      </w:r>
      <w:r w:rsidR="00E06A01" w:rsidRPr="00523BC1">
        <w:rPr>
          <w:rFonts w:ascii="Calibri" w:hAnsi="Calibri" w:cs="Calibri"/>
          <w:lang w:val="es-GT"/>
        </w:rPr>
        <w:t>emplear</w:t>
      </w:r>
      <w:r w:rsidR="00B93911" w:rsidRPr="00523BC1">
        <w:rPr>
          <w:rFonts w:ascii="Calibri" w:hAnsi="Calibri" w:cs="Calibri"/>
          <w:lang w:val="es-GT"/>
        </w:rPr>
        <w:t>, en función del momento de formulación y planificación en que se encuentra el objeto de evaluación. En el presente caso, el objeto de evaluación es el programa nacional del FIDA para Guatemala, denominado COSOP-BR Guatemala y el m</w:t>
      </w:r>
      <w:r w:rsidR="00172475">
        <w:rPr>
          <w:rFonts w:ascii="Calibri" w:hAnsi="Calibri" w:cs="Calibri"/>
          <w:lang w:val="es-GT"/>
        </w:rPr>
        <w:t>odelo seleccionado</w:t>
      </w:r>
      <w:r w:rsidR="00B93911" w:rsidRPr="00523BC1">
        <w:rPr>
          <w:rFonts w:ascii="Calibri" w:hAnsi="Calibri" w:cs="Calibri"/>
          <w:lang w:val="es-GT"/>
        </w:rPr>
        <w:t xml:space="preserve"> es el “</w:t>
      </w:r>
      <w:r w:rsidR="00172475" w:rsidRPr="00523BC1">
        <w:rPr>
          <w:rFonts w:ascii="Calibri" w:hAnsi="Calibri" w:cs="Calibri"/>
          <w:lang w:val="es-GT"/>
        </w:rPr>
        <w:t>modelo paralelo</w:t>
      </w:r>
      <w:r w:rsidR="00B93911" w:rsidRPr="00523BC1">
        <w:rPr>
          <w:rFonts w:ascii="Calibri" w:hAnsi="Calibri" w:cs="Calibri"/>
          <w:lang w:val="es-GT"/>
        </w:rPr>
        <w:t>”, en función de que el objeto de evaluación se diseña de forma paralela, independiente, pero coordinada con la EAE (Partidario, 2011).</w:t>
      </w:r>
    </w:p>
    <w:p w:rsidR="00B93911" w:rsidRPr="00523BC1" w:rsidRDefault="00B93911" w:rsidP="00AC2686">
      <w:pPr>
        <w:ind w:left="360"/>
        <w:jc w:val="both"/>
        <w:rPr>
          <w:rFonts w:ascii="Calibri" w:hAnsi="Calibri" w:cs="Calibri"/>
          <w:sz w:val="18"/>
          <w:lang w:val="es-GT"/>
        </w:rPr>
      </w:pPr>
    </w:p>
    <w:p w:rsidR="00B93911" w:rsidRPr="00523BC1" w:rsidRDefault="00B93911" w:rsidP="006B0A31">
      <w:pPr>
        <w:pStyle w:val="Prrafodelista"/>
        <w:numPr>
          <w:ilvl w:val="2"/>
          <w:numId w:val="47"/>
        </w:numPr>
        <w:spacing w:after="120"/>
        <w:jc w:val="both"/>
        <w:rPr>
          <w:rFonts w:cs="Calibri"/>
          <w:b/>
          <w:i/>
          <w:color w:val="365F91"/>
          <w:sz w:val="24"/>
          <w:szCs w:val="24"/>
        </w:rPr>
      </w:pPr>
      <w:r w:rsidRPr="00523BC1">
        <w:rPr>
          <w:rFonts w:cs="Calibri"/>
          <w:b/>
          <w:i/>
          <w:color w:val="365F91"/>
          <w:sz w:val="24"/>
          <w:szCs w:val="24"/>
        </w:rPr>
        <w:t>Fase 2. Caracterización del contexto nacional</w:t>
      </w:r>
    </w:p>
    <w:p w:rsidR="00172475" w:rsidRDefault="00E06A01" w:rsidP="00AC2686">
      <w:pPr>
        <w:ind w:left="360"/>
        <w:jc w:val="both"/>
        <w:rPr>
          <w:rFonts w:ascii="Calibri" w:hAnsi="Calibri" w:cs="Calibri"/>
          <w:lang w:val="es-GT"/>
        </w:rPr>
      </w:pPr>
      <w:r w:rsidRPr="00523BC1">
        <w:rPr>
          <w:rFonts w:ascii="Calibri" w:hAnsi="Calibri" w:cs="Calibri"/>
          <w:lang w:val="es-GT"/>
        </w:rPr>
        <w:t xml:space="preserve">Dentro de esta </w:t>
      </w:r>
      <w:r w:rsidR="00B93911" w:rsidRPr="00523BC1">
        <w:rPr>
          <w:rFonts w:ascii="Calibri" w:hAnsi="Calibri" w:cs="Calibri"/>
          <w:lang w:val="es-GT"/>
        </w:rPr>
        <w:t xml:space="preserve">etapa </w:t>
      </w:r>
      <w:r w:rsidRPr="00523BC1">
        <w:rPr>
          <w:rFonts w:ascii="Calibri" w:hAnsi="Calibri" w:cs="Calibri"/>
          <w:lang w:val="es-GT"/>
        </w:rPr>
        <w:t>se</w:t>
      </w:r>
      <w:r w:rsidR="00B93911" w:rsidRPr="00523BC1">
        <w:rPr>
          <w:rFonts w:ascii="Calibri" w:hAnsi="Calibri" w:cs="Calibri"/>
          <w:lang w:val="es-GT"/>
        </w:rPr>
        <w:t xml:space="preserve"> </w:t>
      </w:r>
      <w:r w:rsidRPr="00523BC1">
        <w:rPr>
          <w:rFonts w:ascii="Calibri" w:hAnsi="Calibri" w:cs="Calibri"/>
          <w:lang w:val="es-GT"/>
        </w:rPr>
        <w:t>estableció</w:t>
      </w:r>
      <w:r w:rsidR="00B93911" w:rsidRPr="00523BC1">
        <w:rPr>
          <w:rFonts w:ascii="Calibri" w:hAnsi="Calibri" w:cs="Calibri"/>
          <w:lang w:val="es-GT"/>
        </w:rPr>
        <w:t xml:space="preserve"> y caracteriz</w:t>
      </w:r>
      <w:r w:rsidR="00172475">
        <w:rPr>
          <w:rFonts w:ascii="Calibri" w:hAnsi="Calibri" w:cs="Calibri"/>
          <w:lang w:val="es-GT"/>
        </w:rPr>
        <w:t>ó</w:t>
      </w:r>
      <w:r w:rsidRPr="00523BC1">
        <w:rPr>
          <w:rFonts w:ascii="Calibri" w:hAnsi="Calibri" w:cs="Calibri"/>
          <w:lang w:val="es-GT"/>
        </w:rPr>
        <w:t xml:space="preserve"> </w:t>
      </w:r>
      <w:r w:rsidR="00B93911" w:rsidRPr="00523BC1">
        <w:rPr>
          <w:rFonts w:ascii="Calibri" w:hAnsi="Calibri" w:cs="Calibri"/>
          <w:lang w:val="es-GT"/>
        </w:rPr>
        <w:t xml:space="preserve">el contexto nacional en el que se desarrolla el objeto de evaluación, en este caso, el COSOP-BR </w:t>
      </w:r>
      <w:r w:rsidR="00DC4259" w:rsidRPr="00523BC1">
        <w:rPr>
          <w:rFonts w:ascii="Calibri" w:hAnsi="Calibri" w:cs="Calibri"/>
          <w:lang w:val="es-GT"/>
        </w:rPr>
        <w:t xml:space="preserve">para </w:t>
      </w:r>
      <w:r w:rsidR="00B93911" w:rsidRPr="00523BC1">
        <w:rPr>
          <w:rFonts w:ascii="Calibri" w:hAnsi="Calibri" w:cs="Calibri"/>
          <w:lang w:val="es-GT"/>
        </w:rPr>
        <w:t xml:space="preserve">Guatemala. </w:t>
      </w:r>
      <w:r w:rsidRPr="00523BC1">
        <w:rPr>
          <w:rFonts w:ascii="Calibri" w:hAnsi="Calibri" w:cs="Calibri"/>
          <w:lang w:val="es-GT"/>
        </w:rPr>
        <w:t>Para esta</w:t>
      </w:r>
      <w:r w:rsidR="00B93911" w:rsidRPr="00523BC1">
        <w:rPr>
          <w:rFonts w:ascii="Calibri" w:hAnsi="Calibri" w:cs="Calibri"/>
          <w:lang w:val="es-GT"/>
        </w:rPr>
        <w:t xml:space="preserve"> caracterización</w:t>
      </w:r>
      <w:r w:rsidRPr="00523BC1">
        <w:rPr>
          <w:rFonts w:ascii="Calibri" w:hAnsi="Calibri" w:cs="Calibri"/>
          <w:lang w:val="es-GT"/>
        </w:rPr>
        <w:t xml:space="preserve"> se </w:t>
      </w:r>
      <w:r w:rsidR="001F68C4" w:rsidRPr="00523BC1">
        <w:rPr>
          <w:rFonts w:ascii="Calibri" w:hAnsi="Calibri" w:cs="Calibri"/>
          <w:lang w:val="es-GT"/>
        </w:rPr>
        <w:t>recurrió a</w:t>
      </w:r>
      <w:r w:rsidR="00B93911" w:rsidRPr="00523BC1">
        <w:rPr>
          <w:rFonts w:ascii="Calibri" w:hAnsi="Calibri" w:cs="Calibri"/>
          <w:lang w:val="es-GT"/>
        </w:rPr>
        <w:t xml:space="preserve"> </w:t>
      </w:r>
      <w:r w:rsidRPr="00523BC1">
        <w:rPr>
          <w:rFonts w:ascii="Calibri" w:hAnsi="Calibri" w:cs="Calibri"/>
          <w:lang w:val="es-GT"/>
        </w:rPr>
        <w:t xml:space="preserve">las </w:t>
      </w:r>
      <w:r w:rsidR="00B93911" w:rsidRPr="00523BC1">
        <w:rPr>
          <w:rFonts w:ascii="Calibri" w:hAnsi="Calibri" w:cs="Calibri"/>
          <w:lang w:val="es-GT"/>
        </w:rPr>
        <w:t>experiencias</w:t>
      </w:r>
      <w:r w:rsidRPr="00523BC1">
        <w:rPr>
          <w:rFonts w:ascii="Calibri" w:hAnsi="Calibri" w:cs="Calibri"/>
          <w:lang w:val="es-GT"/>
        </w:rPr>
        <w:t xml:space="preserve"> del IARNA-URL</w:t>
      </w:r>
      <w:r w:rsidR="00B93911" w:rsidRPr="00523BC1">
        <w:rPr>
          <w:rFonts w:ascii="Calibri" w:hAnsi="Calibri" w:cs="Calibri"/>
          <w:lang w:val="es-GT"/>
        </w:rPr>
        <w:t xml:space="preserve"> </w:t>
      </w:r>
      <w:r w:rsidR="001F68C4" w:rsidRPr="00523BC1">
        <w:rPr>
          <w:rFonts w:ascii="Calibri" w:hAnsi="Calibri" w:cs="Calibri"/>
          <w:lang w:val="es-GT"/>
        </w:rPr>
        <w:t>respecto a</w:t>
      </w:r>
      <w:r w:rsidR="00B93911" w:rsidRPr="00523BC1">
        <w:rPr>
          <w:rFonts w:ascii="Calibri" w:hAnsi="Calibri" w:cs="Calibri"/>
          <w:lang w:val="es-GT"/>
        </w:rPr>
        <w:t>l análisis del desarrollo desde la perspectiva sistémica (IARNA</w:t>
      </w:r>
      <w:r w:rsidR="00172475">
        <w:rPr>
          <w:rFonts w:ascii="Calibri" w:hAnsi="Calibri" w:cs="Calibri"/>
          <w:lang w:val="es-GT"/>
        </w:rPr>
        <w:t>-URL</w:t>
      </w:r>
      <w:r w:rsidR="00B93911" w:rsidRPr="00523BC1">
        <w:rPr>
          <w:rFonts w:ascii="Calibri" w:hAnsi="Calibri" w:cs="Calibri"/>
          <w:lang w:val="es-GT"/>
        </w:rPr>
        <w:t>, 2009).</w:t>
      </w:r>
      <w:r w:rsidR="00A85AB0" w:rsidRPr="00523BC1">
        <w:rPr>
          <w:rFonts w:ascii="Calibri" w:hAnsi="Calibri" w:cs="Calibri"/>
          <w:lang w:val="es-GT"/>
        </w:rPr>
        <w:t xml:space="preserve"> </w:t>
      </w:r>
    </w:p>
    <w:p w:rsidR="00172475" w:rsidRDefault="00172475" w:rsidP="00AC2686">
      <w:pPr>
        <w:ind w:left="360"/>
        <w:jc w:val="both"/>
        <w:rPr>
          <w:rFonts w:ascii="Calibri" w:hAnsi="Calibri" w:cs="Calibri"/>
          <w:lang w:val="es-GT"/>
        </w:rPr>
      </w:pPr>
    </w:p>
    <w:p w:rsidR="00A85AB0" w:rsidRPr="001A01AB" w:rsidRDefault="00A85AB0" w:rsidP="00AC2686">
      <w:pPr>
        <w:ind w:left="360"/>
        <w:jc w:val="both"/>
        <w:rPr>
          <w:rFonts w:ascii="Calibri" w:hAnsi="Calibri" w:cs="Calibri"/>
          <w:lang w:val="es-GT"/>
        </w:rPr>
      </w:pPr>
      <w:r w:rsidRPr="00523BC1">
        <w:rPr>
          <w:rFonts w:ascii="Calibri" w:hAnsi="Calibri" w:cs="Calibri"/>
          <w:lang w:val="es-GT"/>
        </w:rPr>
        <w:t xml:space="preserve">La perspectiva sistémica del desarrollo sostenible </w:t>
      </w:r>
      <w:r w:rsidR="002E6EB9" w:rsidRPr="00523BC1">
        <w:rPr>
          <w:rFonts w:ascii="Calibri" w:hAnsi="Calibri" w:cs="Calibri"/>
          <w:lang w:val="es-GT"/>
        </w:rPr>
        <w:t>plantea</w:t>
      </w:r>
      <w:r w:rsidRPr="00523BC1">
        <w:rPr>
          <w:rFonts w:ascii="Calibri" w:hAnsi="Calibri" w:cs="Calibri"/>
          <w:lang w:val="es-GT"/>
        </w:rPr>
        <w:t xml:space="preserve"> que el desarrollo es el resultado de la gestión balanceada</w:t>
      </w:r>
      <w:r w:rsidR="002E6EB9" w:rsidRPr="00523BC1">
        <w:rPr>
          <w:rFonts w:ascii="Calibri" w:hAnsi="Calibri" w:cs="Calibri"/>
          <w:lang w:val="es-GT"/>
        </w:rPr>
        <w:t>,</w:t>
      </w:r>
      <w:r w:rsidRPr="00523BC1">
        <w:rPr>
          <w:rFonts w:ascii="Calibri" w:hAnsi="Calibri" w:cs="Calibri"/>
          <w:lang w:val="es-GT"/>
        </w:rPr>
        <w:t xml:space="preserve"> al menos, de las dimensiones económica, social, natural e institucional. Plantea </w:t>
      </w:r>
      <w:r w:rsidR="00AC2686" w:rsidRPr="00523BC1">
        <w:rPr>
          <w:rFonts w:ascii="Calibri" w:hAnsi="Calibri" w:cs="Calibri"/>
          <w:lang w:val="es-GT"/>
        </w:rPr>
        <w:t>también</w:t>
      </w:r>
      <w:r w:rsidRPr="00523BC1">
        <w:rPr>
          <w:rFonts w:ascii="Calibri" w:hAnsi="Calibri" w:cs="Calibri"/>
          <w:lang w:val="es-GT"/>
        </w:rPr>
        <w:t xml:space="preserve"> que el desarrollo es sistémico no sectorial. El Sistema </w:t>
      </w:r>
      <w:r w:rsidR="00F44183" w:rsidRPr="00523BC1">
        <w:rPr>
          <w:rFonts w:ascii="Calibri" w:hAnsi="Calibri" w:cs="Calibri"/>
          <w:lang w:val="es-GT"/>
        </w:rPr>
        <w:t>Socio</w:t>
      </w:r>
      <w:r w:rsidRPr="00523BC1">
        <w:rPr>
          <w:rFonts w:ascii="Calibri" w:hAnsi="Calibri" w:cs="Calibri"/>
          <w:lang w:val="es-GT"/>
        </w:rPr>
        <w:t xml:space="preserve">ecológico, es un marco </w:t>
      </w:r>
      <w:r w:rsidR="00AC2686" w:rsidRPr="00523BC1">
        <w:rPr>
          <w:rFonts w:ascii="Calibri" w:hAnsi="Calibri" w:cs="Calibri"/>
          <w:lang w:val="es-GT"/>
        </w:rPr>
        <w:t>analítico</w:t>
      </w:r>
      <w:r w:rsidRPr="00523BC1">
        <w:rPr>
          <w:rFonts w:ascii="Calibri" w:hAnsi="Calibri" w:cs="Calibri"/>
          <w:lang w:val="es-GT"/>
        </w:rPr>
        <w:t xml:space="preserve"> que permite hacer operativos estos planteamientos. Los flujos, las interrelaciones o los acoplamientos funcionales principales entre los subsistemas de un sistema socioecológico a escala nacional se representan en la Figura </w:t>
      </w:r>
      <w:r w:rsidR="00B9385E">
        <w:rPr>
          <w:rFonts w:ascii="Calibri" w:hAnsi="Calibri" w:cs="Calibri"/>
          <w:lang w:val="es-GT"/>
        </w:rPr>
        <w:t>2</w:t>
      </w:r>
      <w:r w:rsidRPr="00523BC1">
        <w:rPr>
          <w:rFonts w:ascii="Calibri" w:hAnsi="Calibri" w:cs="Calibri"/>
          <w:lang w:val="es-GT"/>
        </w:rPr>
        <w:t>.</w:t>
      </w:r>
    </w:p>
    <w:p w:rsidR="00A85AB0" w:rsidRDefault="00A85AB0" w:rsidP="00AC2686">
      <w:pPr>
        <w:ind w:left="360"/>
        <w:jc w:val="both"/>
        <w:rPr>
          <w:rFonts w:ascii="Calibri" w:hAnsi="Calibri" w:cs="Calibri"/>
          <w:sz w:val="20"/>
          <w:lang w:val="es-GT"/>
        </w:rPr>
      </w:pPr>
    </w:p>
    <w:p w:rsidR="00C470CE" w:rsidRPr="001A01AB" w:rsidRDefault="00C470CE" w:rsidP="00C470CE">
      <w:pPr>
        <w:ind w:left="360"/>
        <w:jc w:val="both"/>
        <w:rPr>
          <w:rFonts w:ascii="Calibri" w:hAnsi="Calibri" w:cs="Calibri"/>
          <w:lang w:val="es-GT"/>
        </w:rPr>
      </w:pPr>
      <w:r w:rsidRPr="001A01AB">
        <w:rPr>
          <w:rFonts w:ascii="Calibri" w:hAnsi="Calibri" w:cs="Calibri"/>
          <w:lang w:val="es-GT"/>
        </w:rPr>
        <w:t xml:space="preserve">Como se puede observar, el subsistema social tiene prioridad especial, pues contiene el fin último del desarrollo, esto es, la mejora </w:t>
      </w:r>
      <w:r>
        <w:rPr>
          <w:rFonts w:ascii="Calibri" w:hAnsi="Calibri" w:cs="Calibri"/>
          <w:lang w:val="es-GT"/>
        </w:rPr>
        <w:t>de</w:t>
      </w:r>
      <w:r w:rsidRPr="001A01AB">
        <w:rPr>
          <w:rFonts w:ascii="Calibri" w:hAnsi="Calibri" w:cs="Calibri"/>
          <w:lang w:val="es-GT"/>
        </w:rPr>
        <w:t xml:space="preserve"> la calidad de vida de los seres humanos. El subsistema está definido en sentido amplio, incluyendo las variables de calidad de la vida y aspectos demográficos.</w:t>
      </w:r>
    </w:p>
    <w:p w:rsidR="00C470CE" w:rsidRPr="001A01AB" w:rsidRDefault="00C470CE" w:rsidP="00C470CE">
      <w:pPr>
        <w:ind w:left="360"/>
        <w:jc w:val="both"/>
        <w:rPr>
          <w:rFonts w:ascii="Calibri" w:hAnsi="Calibri" w:cs="Calibri"/>
          <w:lang w:val="es-GT"/>
        </w:rPr>
      </w:pPr>
    </w:p>
    <w:p w:rsidR="00C470CE" w:rsidRPr="001A01AB" w:rsidRDefault="00C470CE" w:rsidP="00C470CE">
      <w:pPr>
        <w:ind w:left="360"/>
        <w:jc w:val="both"/>
        <w:rPr>
          <w:rFonts w:ascii="Calibri" w:hAnsi="Calibri" w:cs="Calibri"/>
          <w:lang w:val="es-GT"/>
        </w:rPr>
      </w:pPr>
      <w:r w:rsidRPr="001A01AB">
        <w:rPr>
          <w:rFonts w:ascii="Calibri" w:hAnsi="Calibri" w:cs="Calibri"/>
          <w:lang w:val="es-GT"/>
        </w:rPr>
        <w:t>De igual manera, el subsistema económico incluye la producción y consumo de bienes y servicios, el comercio, el estado general de la economía, la infraestructura y los asentamientos humanos, así como en la generación de desechos por el consumo y la producción. Este subsistema está definido principalmente por las actividades que realiza el ser humano para alcanzar una mejor calidad de vida (</w:t>
      </w:r>
      <w:r>
        <w:rPr>
          <w:rFonts w:ascii="Calibri" w:hAnsi="Calibri" w:cs="Calibri"/>
          <w:lang w:val="es-GT"/>
        </w:rPr>
        <w:t>IARNA-URL y SEGEPLAN</w:t>
      </w:r>
      <w:r w:rsidRPr="001A01AB">
        <w:rPr>
          <w:rFonts w:ascii="Calibri" w:hAnsi="Calibri" w:cs="Calibri"/>
          <w:lang w:val="es-GT"/>
        </w:rPr>
        <w:t>, 2009).</w:t>
      </w:r>
    </w:p>
    <w:p w:rsidR="00C470CE" w:rsidRPr="001A01AB" w:rsidRDefault="00C470CE" w:rsidP="00C470CE">
      <w:pPr>
        <w:ind w:left="360"/>
        <w:jc w:val="both"/>
        <w:rPr>
          <w:rFonts w:ascii="Calibri" w:hAnsi="Calibri" w:cs="Calibri"/>
          <w:lang w:val="es-GT"/>
        </w:rPr>
      </w:pPr>
    </w:p>
    <w:p w:rsidR="00C470CE" w:rsidRPr="00523BC1" w:rsidRDefault="00C470CE" w:rsidP="00C470CE">
      <w:pPr>
        <w:ind w:left="360"/>
        <w:jc w:val="both"/>
        <w:rPr>
          <w:rFonts w:ascii="Calibri" w:hAnsi="Calibri" w:cs="Calibri"/>
          <w:lang w:val="es-GT"/>
        </w:rPr>
      </w:pPr>
      <w:r w:rsidRPr="00523BC1">
        <w:rPr>
          <w:rFonts w:ascii="Calibri" w:hAnsi="Calibri" w:cs="Calibri"/>
          <w:lang w:val="es-GT"/>
        </w:rPr>
        <w:t>El subsistema natural incluye los bienes y servicios naturales, los procesos ecológicos, las condiciones de soporte vital y la biodiversidad. Este subsistema está definido principalmente por los recursos e insumos o materia prima, que el ser humano utiliza o necesita para lograr una mejor calidad de vida (</w:t>
      </w:r>
      <w:r>
        <w:rPr>
          <w:rFonts w:ascii="Calibri" w:hAnsi="Calibri" w:cs="Calibri"/>
          <w:lang w:val="es-GT"/>
        </w:rPr>
        <w:t>IARNA-URL y SEGEPLAN</w:t>
      </w:r>
      <w:r w:rsidRPr="001A01AB">
        <w:rPr>
          <w:rFonts w:ascii="Calibri" w:hAnsi="Calibri" w:cs="Calibri"/>
          <w:lang w:val="es-GT"/>
        </w:rPr>
        <w:t>, 2009</w:t>
      </w:r>
      <w:r w:rsidRPr="00523BC1">
        <w:rPr>
          <w:rFonts w:ascii="Calibri" w:hAnsi="Calibri" w:cs="Calibri"/>
          <w:lang w:val="es-GT"/>
        </w:rPr>
        <w:t>).</w:t>
      </w:r>
    </w:p>
    <w:p w:rsidR="00172475" w:rsidRDefault="00172475" w:rsidP="00AC2686">
      <w:pPr>
        <w:ind w:left="360"/>
        <w:jc w:val="both"/>
        <w:rPr>
          <w:rFonts w:ascii="Calibri" w:hAnsi="Calibri" w:cs="Calibri"/>
          <w:sz w:val="20"/>
          <w:lang w:val="es-GT"/>
        </w:rPr>
      </w:pPr>
    </w:p>
    <w:p w:rsidR="00172475" w:rsidRDefault="00172475" w:rsidP="00AC2686">
      <w:pPr>
        <w:ind w:left="360"/>
        <w:jc w:val="both"/>
        <w:rPr>
          <w:rFonts w:ascii="Calibri" w:hAnsi="Calibri" w:cs="Calibri"/>
          <w:sz w:val="20"/>
          <w:lang w:val="es-GT"/>
        </w:rPr>
      </w:pPr>
    </w:p>
    <w:p w:rsidR="00C470CE" w:rsidRPr="00523BC1" w:rsidRDefault="00C470CE" w:rsidP="00C470CE">
      <w:pPr>
        <w:ind w:left="360"/>
        <w:jc w:val="both"/>
        <w:rPr>
          <w:rFonts w:ascii="Calibri" w:hAnsi="Calibri" w:cs="Calibri"/>
          <w:lang w:val="es-GT"/>
        </w:rPr>
      </w:pPr>
      <w:r>
        <w:rPr>
          <w:rFonts w:ascii="Calibri" w:hAnsi="Calibri" w:cs="Calibri"/>
          <w:lang w:val="es-GT"/>
        </w:rPr>
        <w:t>F</w:t>
      </w:r>
      <w:r w:rsidRPr="00523BC1">
        <w:rPr>
          <w:rFonts w:ascii="Calibri" w:hAnsi="Calibri" w:cs="Calibri"/>
          <w:lang w:val="es-GT"/>
        </w:rPr>
        <w:t xml:space="preserve">inalmente, el subsistema institucional está formado por las instituciones formales e informales de la sociedad, las leyes, las regulaciones y las políticas. También incluye las estructuras y procesos sociales principales (agentes sociopolíticos, procesos políticos, </w:t>
      </w:r>
      <w:r w:rsidRPr="00523BC1">
        <w:rPr>
          <w:rFonts w:ascii="Calibri" w:hAnsi="Calibri" w:cs="Calibri"/>
          <w:lang w:val="es-GT"/>
        </w:rPr>
        <w:lastRenderedPageBreak/>
        <w:t>estructuras de poder, etc.), así como el conocimiento y los valores de la sociedad. El subsistema institucional puede ser considerado como parte del social, pero se analiza de forma individual puesto que es el único desde el cual se pueden revertir tendencias degradantes y dirigir los procesos de desarrollo. Este subsistema está definido principalmente por los instrumentos, herramientas y procesos sociopolíticos, que establece el ser humano para alcanzar una mejor calidad de vida.</w:t>
      </w:r>
    </w:p>
    <w:p w:rsidR="00172475" w:rsidRDefault="00172475" w:rsidP="00AC2686">
      <w:pPr>
        <w:ind w:left="360"/>
        <w:jc w:val="both"/>
        <w:rPr>
          <w:rFonts w:ascii="Calibri" w:hAnsi="Calibri" w:cs="Calibri"/>
          <w:sz w:val="20"/>
          <w:lang w:val="es-GT"/>
        </w:rPr>
      </w:pPr>
    </w:p>
    <w:p w:rsidR="00A85AB0" w:rsidRPr="001A01AB" w:rsidRDefault="00A85AB0" w:rsidP="00A85AB0">
      <w:pPr>
        <w:spacing w:after="120"/>
        <w:jc w:val="center"/>
        <w:rPr>
          <w:rFonts w:ascii="Calibri" w:eastAsia="Calibri" w:hAnsi="Calibri" w:cs="Calibri"/>
          <w:b/>
          <w:color w:val="365F91"/>
          <w:sz w:val="22"/>
          <w:szCs w:val="22"/>
          <w:lang w:val="es-GT"/>
        </w:rPr>
      </w:pPr>
      <w:bookmarkStart w:id="32" w:name="_Toc347841225"/>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2</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Representación del Sistema Soc</w:t>
      </w:r>
      <w:r w:rsidR="00172475">
        <w:rPr>
          <w:rFonts w:ascii="Calibri" w:eastAsia="Calibri" w:hAnsi="Calibri" w:cs="Calibri"/>
          <w:b/>
          <w:color w:val="365F91"/>
          <w:sz w:val="22"/>
          <w:szCs w:val="22"/>
          <w:lang w:val="es-GT"/>
        </w:rPr>
        <w:t xml:space="preserve">ioecológico utilizado por </w:t>
      </w:r>
      <w:r w:rsidR="00B95B27">
        <w:rPr>
          <w:rFonts w:ascii="Calibri" w:eastAsia="Calibri" w:hAnsi="Calibri" w:cs="Calibri"/>
          <w:b/>
          <w:color w:val="365F91"/>
          <w:sz w:val="22"/>
          <w:szCs w:val="22"/>
          <w:lang w:val="es-GT"/>
        </w:rPr>
        <w:t xml:space="preserve">el </w:t>
      </w:r>
      <w:r w:rsidR="00172475">
        <w:rPr>
          <w:rFonts w:ascii="Calibri" w:eastAsia="Calibri" w:hAnsi="Calibri" w:cs="Calibri"/>
          <w:b/>
          <w:color w:val="365F91"/>
          <w:sz w:val="22"/>
          <w:szCs w:val="22"/>
          <w:lang w:val="es-GT"/>
        </w:rPr>
        <w:t>IARNA-</w:t>
      </w:r>
      <w:r w:rsidRPr="001A01AB">
        <w:rPr>
          <w:rFonts w:ascii="Calibri" w:eastAsia="Calibri" w:hAnsi="Calibri" w:cs="Calibri"/>
          <w:b/>
          <w:color w:val="365F91"/>
          <w:sz w:val="22"/>
          <w:szCs w:val="22"/>
          <w:lang w:val="es-GT"/>
        </w:rPr>
        <w:t>URL para Guatemala</w:t>
      </w:r>
      <w:bookmarkEnd w:id="32"/>
    </w:p>
    <w:p w:rsidR="00A85AB0" w:rsidRPr="001A01AB" w:rsidRDefault="00544A9F" w:rsidP="00A85AB0">
      <w:pPr>
        <w:ind w:left="360"/>
        <w:jc w:val="center"/>
        <w:rPr>
          <w:rFonts w:ascii="Calibri" w:hAnsi="Calibri" w:cs="Calibri"/>
          <w:lang w:val="es-GT"/>
        </w:rPr>
      </w:pPr>
      <w:r>
        <w:rPr>
          <w:rFonts w:ascii="Calibri" w:hAnsi="Calibri" w:cs="Calibri"/>
          <w:noProof/>
          <w:lang w:val="es-GT" w:eastAsia="es-GT"/>
        </w:rPr>
        <w:drawing>
          <wp:inline distT="0" distB="0" distL="0" distR="0" wp14:anchorId="528C6F32" wp14:editId="7092B7BD">
            <wp:extent cx="4772025" cy="347662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a:extLst>
                        <a:ext uri="{28A0092B-C50C-407E-A947-70E740481C1C}">
                          <a14:useLocalDpi xmlns:a14="http://schemas.microsoft.com/office/drawing/2010/main" val="0"/>
                        </a:ext>
                      </a:extLst>
                    </a:blip>
                    <a:srcRect l="24651" t="22890" r="22710" b="9074"/>
                    <a:stretch>
                      <a:fillRect/>
                    </a:stretch>
                  </pic:blipFill>
                  <pic:spPr bwMode="auto">
                    <a:xfrm>
                      <a:off x="0" y="0"/>
                      <a:ext cx="4772025" cy="3476625"/>
                    </a:xfrm>
                    <a:prstGeom prst="rect">
                      <a:avLst/>
                    </a:prstGeom>
                    <a:noFill/>
                    <a:ln>
                      <a:noFill/>
                    </a:ln>
                  </pic:spPr>
                </pic:pic>
              </a:graphicData>
            </a:graphic>
          </wp:inline>
        </w:drawing>
      </w:r>
    </w:p>
    <w:p w:rsidR="00A85AB0" w:rsidRPr="001A01AB" w:rsidRDefault="00B813FF" w:rsidP="00A85AB0">
      <w:pPr>
        <w:tabs>
          <w:tab w:val="left" w:pos="9000"/>
        </w:tabs>
        <w:ind w:left="720" w:right="648"/>
        <w:jc w:val="right"/>
        <w:rPr>
          <w:rFonts w:ascii="Calibri" w:hAnsi="Calibri" w:cs="Calibri"/>
          <w:sz w:val="20"/>
          <w:lang w:val="es-GT"/>
        </w:rPr>
      </w:pPr>
      <w:r>
        <w:rPr>
          <w:rFonts w:ascii="Calibri" w:hAnsi="Calibri" w:cs="Calibri"/>
          <w:sz w:val="20"/>
          <w:lang w:val="es-GT"/>
        </w:rPr>
        <w:t>Fuente: Gallopín (</w:t>
      </w:r>
      <w:r w:rsidR="00A85AB0" w:rsidRPr="001A01AB">
        <w:rPr>
          <w:rFonts w:ascii="Calibri" w:hAnsi="Calibri" w:cs="Calibri"/>
          <w:sz w:val="20"/>
          <w:lang w:val="es-GT"/>
        </w:rPr>
        <w:t>2006</w:t>
      </w:r>
      <w:r>
        <w:rPr>
          <w:rFonts w:ascii="Calibri" w:hAnsi="Calibri" w:cs="Calibri"/>
          <w:sz w:val="20"/>
          <w:lang w:val="es-GT"/>
        </w:rPr>
        <w:t>)</w:t>
      </w:r>
      <w:r w:rsidR="00A85AB0" w:rsidRPr="001A01AB">
        <w:rPr>
          <w:rFonts w:ascii="Calibri" w:hAnsi="Calibri" w:cs="Calibri"/>
          <w:sz w:val="20"/>
          <w:lang w:val="es-GT"/>
        </w:rPr>
        <w:t xml:space="preserve">, tomado de </w:t>
      </w:r>
      <w:r>
        <w:rPr>
          <w:rFonts w:ascii="Calibri" w:hAnsi="Calibri" w:cs="Calibri"/>
          <w:sz w:val="20"/>
          <w:lang w:val="es-GT"/>
        </w:rPr>
        <w:t>MARN, IARNA-URL y PNUD (</w:t>
      </w:r>
      <w:r w:rsidR="00A85AB0" w:rsidRPr="001A01AB">
        <w:rPr>
          <w:rFonts w:ascii="Calibri" w:hAnsi="Calibri" w:cs="Calibri"/>
          <w:sz w:val="20"/>
          <w:lang w:val="es-GT"/>
        </w:rPr>
        <w:t>2009).</w:t>
      </w:r>
    </w:p>
    <w:p w:rsidR="00B95B27" w:rsidRDefault="00B95B27" w:rsidP="002F3360">
      <w:pPr>
        <w:ind w:left="360"/>
        <w:jc w:val="both"/>
        <w:rPr>
          <w:rFonts w:ascii="Calibri" w:hAnsi="Calibri" w:cs="Calibri"/>
          <w:lang w:val="es-GT"/>
        </w:rPr>
      </w:pPr>
    </w:p>
    <w:p w:rsidR="001F68C4" w:rsidRPr="00523BC1" w:rsidRDefault="001F68C4" w:rsidP="002F3360">
      <w:pPr>
        <w:ind w:left="360"/>
        <w:jc w:val="both"/>
        <w:rPr>
          <w:rFonts w:ascii="Calibri" w:hAnsi="Calibri" w:cs="Calibri"/>
          <w:lang w:val="es-GT"/>
        </w:rPr>
      </w:pPr>
    </w:p>
    <w:p w:rsidR="00A85AB0" w:rsidRPr="00523BC1" w:rsidRDefault="00A85AB0" w:rsidP="002F3360">
      <w:pPr>
        <w:ind w:left="360"/>
        <w:jc w:val="both"/>
        <w:rPr>
          <w:rFonts w:ascii="Calibri" w:hAnsi="Calibri" w:cs="Calibri"/>
          <w:lang w:val="es-GT"/>
        </w:rPr>
      </w:pPr>
    </w:p>
    <w:p w:rsidR="00A85AB0" w:rsidRPr="001A01AB" w:rsidRDefault="00A85AB0" w:rsidP="002F3360">
      <w:pPr>
        <w:ind w:left="360"/>
        <w:jc w:val="both"/>
        <w:rPr>
          <w:rFonts w:ascii="Calibri" w:hAnsi="Calibri" w:cs="Calibri"/>
          <w:lang w:val="es-GT"/>
        </w:rPr>
      </w:pPr>
      <w:r w:rsidRPr="00523BC1">
        <w:rPr>
          <w:rFonts w:ascii="Calibri" w:hAnsi="Calibri" w:cs="Calibri"/>
          <w:lang w:val="es-GT"/>
        </w:rPr>
        <w:t>Las dos flechas cortas en la parte superior de la caja grande muestran las interacciones entre el sistema y su entorno, tal</w:t>
      </w:r>
      <w:r w:rsidR="00B95B27">
        <w:rPr>
          <w:rFonts w:ascii="Calibri" w:hAnsi="Calibri" w:cs="Calibri"/>
          <w:lang w:val="es-GT"/>
        </w:rPr>
        <w:t>es como</w:t>
      </w:r>
      <w:r w:rsidR="001F68C4" w:rsidRPr="00523BC1">
        <w:rPr>
          <w:rFonts w:ascii="Calibri" w:hAnsi="Calibri" w:cs="Calibri"/>
          <w:lang w:val="es-GT"/>
        </w:rPr>
        <w:t xml:space="preserve"> </w:t>
      </w:r>
      <w:r w:rsidRPr="00523BC1">
        <w:rPr>
          <w:rFonts w:ascii="Calibri" w:hAnsi="Calibri" w:cs="Calibri"/>
          <w:lang w:val="es-GT"/>
        </w:rPr>
        <w:t xml:space="preserve">el comercio internacional, las entradas y salidas de materiales, </w:t>
      </w:r>
      <w:r w:rsidR="001F68C4" w:rsidRPr="00523BC1">
        <w:rPr>
          <w:rFonts w:ascii="Calibri" w:hAnsi="Calibri" w:cs="Calibri"/>
          <w:lang w:val="es-GT"/>
        </w:rPr>
        <w:t>entre otros</w:t>
      </w:r>
      <w:r w:rsidRPr="00523BC1">
        <w:rPr>
          <w:rFonts w:ascii="Calibri" w:hAnsi="Calibri" w:cs="Calibri"/>
          <w:lang w:val="es-GT"/>
        </w:rPr>
        <w:t>. Por su parte, las flechas largas representan la influencia o las interacciones entre cada subsistema.</w:t>
      </w:r>
    </w:p>
    <w:p w:rsidR="00A85AB0" w:rsidRPr="001A01AB" w:rsidRDefault="00A85AB0" w:rsidP="00DC4259">
      <w:pPr>
        <w:ind w:left="360"/>
        <w:jc w:val="both"/>
        <w:rPr>
          <w:rFonts w:ascii="Calibri" w:hAnsi="Calibri" w:cs="Calibri"/>
          <w:lang w:val="es-GT"/>
        </w:rPr>
      </w:pPr>
    </w:p>
    <w:p w:rsidR="00B93911" w:rsidRPr="001A01AB" w:rsidRDefault="00B93911" w:rsidP="00DC4259">
      <w:pPr>
        <w:ind w:left="360"/>
        <w:jc w:val="both"/>
        <w:rPr>
          <w:rFonts w:ascii="Calibri" w:hAnsi="Calibri" w:cs="Calibri"/>
          <w:sz w:val="22"/>
          <w:lang w:val="es-GT"/>
        </w:rPr>
      </w:pPr>
    </w:p>
    <w:p w:rsidR="00B93911" w:rsidRPr="001A01AB" w:rsidRDefault="00896CC1"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33" w:name="_Toc340065157"/>
      <w:bookmarkStart w:id="34" w:name="_Toc340065249"/>
      <w:bookmarkStart w:id="35" w:name="_Toc340565841"/>
      <w:bookmarkStart w:id="36" w:name="_Toc347841291"/>
      <w:r w:rsidRPr="001A01AB">
        <w:rPr>
          <w:rFonts w:cs="Calibri"/>
          <w:b/>
          <w:color w:val="365F91"/>
          <w:sz w:val="28"/>
          <w:lang w:eastAsia="es-GT"/>
        </w:rPr>
        <w:t xml:space="preserve">Análisis </w:t>
      </w:r>
      <w:r w:rsidR="00FF3856" w:rsidRPr="001A01AB">
        <w:rPr>
          <w:rFonts w:cs="Calibri"/>
          <w:b/>
          <w:color w:val="365F91"/>
          <w:sz w:val="28"/>
          <w:lang w:eastAsia="es-GT"/>
        </w:rPr>
        <w:t>es</w:t>
      </w:r>
      <w:r w:rsidRPr="001A01AB">
        <w:rPr>
          <w:rFonts w:cs="Calibri"/>
          <w:b/>
          <w:color w:val="365F91"/>
          <w:sz w:val="28"/>
          <w:lang w:eastAsia="es-GT"/>
        </w:rPr>
        <w:t>tratégico</w:t>
      </w:r>
      <w:bookmarkEnd w:id="33"/>
      <w:bookmarkEnd w:id="34"/>
      <w:bookmarkEnd w:id="35"/>
      <w:bookmarkEnd w:id="36"/>
    </w:p>
    <w:p w:rsidR="00B93911" w:rsidRPr="001A01AB" w:rsidRDefault="00B93911" w:rsidP="00DC4259">
      <w:pPr>
        <w:ind w:left="360"/>
        <w:jc w:val="both"/>
        <w:rPr>
          <w:rFonts w:ascii="Calibri" w:hAnsi="Calibri" w:cs="Calibri"/>
          <w:sz w:val="22"/>
          <w:lang w:val="es-GT"/>
        </w:rPr>
      </w:pPr>
    </w:p>
    <w:p w:rsidR="00B93911" w:rsidRPr="001A01AB" w:rsidRDefault="00B95B27" w:rsidP="006B0A31">
      <w:pPr>
        <w:pStyle w:val="Prrafodelista"/>
        <w:numPr>
          <w:ilvl w:val="2"/>
          <w:numId w:val="49"/>
        </w:numPr>
        <w:spacing w:after="120"/>
        <w:jc w:val="both"/>
        <w:rPr>
          <w:rFonts w:cs="Calibri"/>
          <w:b/>
          <w:i/>
          <w:color w:val="365F91"/>
          <w:sz w:val="24"/>
          <w:szCs w:val="24"/>
        </w:rPr>
      </w:pPr>
      <w:r>
        <w:rPr>
          <w:rFonts w:cs="Calibri"/>
          <w:b/>
          <w:i/>
          <w:color w:val="365F91"/>
          <w:sz w:val="24"/>
          <w:szCs w:val="24"/>
        </w:rPr>
        <w:t>Fase 3. Análisis e</w:t>
      </w:r>
      <w:r w:rsidR="00B93911" w:rsidRPr="001A01AB">
        <w:rPr>
          <w:rFonts w:cs="Calibri"/>
          <w:b/>
          <w:i/>
          <w:color w:val="365F91"/>
          <w:sz w:val="24"/>
          <w:szCs w:val="24"/>
        </w:rPr>
        <w:t>stratégico</w:t>
      </w:r>
    </w:p>
    <w:p w:rsidR="00B93911" w:rsidRPr="001A01AB" w:rsidRDefault="00B93911" w:rsidP="00DC4259">
      <w:pPr>
        <w:ind w:left="360"/>
        <w:jc w:val="both"/>
        <w:rPr>
          <w:rFonts w:ascii="Calibri" w:hAnsi="Calibri" w:cs="Calibri"/>
          <w:lang w:val="es-GT"/>
        </w:rPr>
      </w:pPr>
      <w:r w:rsidRPr="001A01AB">
        <w:rPr>
          <w:rFonts w:ascii="Calibri" w:hAnsi="Calibri" w:cs="Calibri"/>
          <w:lang w:val="es-GT"/>
        </w:rPr>
        <w:t xml:space="preserve">Esta fase constituye la parte medular de la EAE y se </w:t>
      </w:r>
      <w:r w:rsidR="001F68C4">
        <w:rPr>
          <w:rFonts w:ascii="Calibri" w:hAnsi="Calibri" w:cs="Calibri"/>
          <w:lang w:val="es-GT"/>
        </w:rPr>
        <w:t>centra</w:t>
      </w:r>
      <w:r w:rsidRPr="001A01AB">
        <w:rPr>
          <w:rFonts w:ascii="Calibri" w:hAnsi="Calibri" w:cs="Calibri"/>
          <w:lang w:val="es-GT"/>
        </w:rPr>
        <w:t xml:space="preserve"> en </w:t>
      </w:r>
      <w:r w:rsidR="001A1426" w:rsidRPr="001A01AB">
        <w:rPr>
          <w:rFonts w:ascii="Calibri" w:hAnsi="Calibri" w:cs="Calibri"/>
          <w:lang w:val="es-GT"/>
        </w:rPr>
        <w:t xml:space="preserve">la aplicación de </w:t>
      </w:r>
      <w:r w:rsidRPr="001A01AB">
        <w:rPr>
          <w:rFonts w:ascii="Calibri" w:hAnsi="Calibri" w:cs="Calibri"/>
          <w:lang w:val="es-GT"/>
        </w:rPr>
        <w:t xml:space="preserve">herramientas de análisis estratégico para la orientación de la toma de decisiones, en este caso, la incorporación </w:t>
      </w:r>
      <w:r w:rsidRPr="001A01AB">
        <w:rPr>
          <w:rFonts w:ascii="Calibri" w:hAnsi="Calibri" w:cs="Calibri"/>
          <w:lang w:val="es-GT"/>
        </w:rPr>
        <w:lastRenderedPageBreak/>
        <w:t xml:space="preserve">de consideraciones ambientales en el diseño del objeto de evaluación. Esta fase, </w:t>
      </w:r>
      <w:r w:rsidR="002E6EB9" w:rsidRPr="001A01AB">
        <w:rPr>
          <w:rFonts w:ascii="Calibri" w:hAnsi="Calibri" w:cs="Calibri"/>
          <w:lang w:val="es-GT"/>
        </w:rPr>
        <w:t xml:space="preserve">incluye </w:t>
      </w:r>
      <w:r w:rsidRPr="001A01AB">
        <w:rPr>
          <w:rFonts w:ascii="Calibri" w:hAnsi="Calibri" w:cs="Calibri"/>
          <w:lang w:val="es-GT"/>
        </w:rPr>
        <w:t>a su vez</w:t>
      </w:r>
      <w:r w:rsidR="002E6EB9" w:rsidRPr="001A01AB">
        <w:rPr>
          <w:rFonts w:ascii="Calibri" w:hAnsi="Calibri" w:cs="Calibri"/>
          <w:lang w:val="es-GT"/>
        </w:rPr>
        <w:t>,</w:t>
      </w:r>
      <w:r w:rsidRPr="001A01AB">
        <w:rPr>
          <w:rFonts w:ascii="Calibri" w:hAnsi="Calibri" w:cs="Calibri"/>
          <w:lang w:val="es-GT"/>
        </w:rPr>
        <w:t xml:space="preserve"> las siguientes actividades:</w:t>
      </w:r>
    </w:p>
    <w:p w:rsidR="002F3360" w:rsidRPr="001A01AB" w:rsidRDefault="002F3360" w:rsidP="00DC4259">
      <w:pPr>
        <w:ind w:left="360"/>
        <w:jc w:val="both"/>
        <w:rPr>
          <w:rFonts w:ascii="Calibri" w:hAnsi="Calibri" w:cs="Calibri"/>
          <w:sz w:val="22"/>
          <w:lang w:val="es-GT"/>
        </w:rPr>
      </w:pPr>
    </w:p>
    <w:p w:rsidR="00B93911" w:rsidRPr="001A01AB" w:rsidRDefault="00B93911" w:rsidP="006B0A31">
      <w:pPr>
        <w:pStyle w:val="Prrafodelista"/>
        <w:numPr>
          <w:ilvl w:val="0"/>
          <w:numId w:val="48"/>
        </w:numPr>
        <w:jc w:val="both"/>
        <w:rPr>
          <w:rFonts w:cs="Calibri"/>
          <w:b/>
          <w:color w:val="365F91"/>
        </w:rPr>
      </w:pPr>
      <w:r w:rsidRPr="001A01AB">
        <w:rPr>
          <w:rFonts w:cs="Calibri"/>
          <w:b/>
          <w:color w:val="365F91"/>
        </w:rPr>
        <w:t>Caracterización del</w:t>
      </w:r>
      <w:r w:rsidR="00B95B27">
        <w:rPr>
          <w:rFonts w:cs="Calibri"/>
          <w:b/>
          <w:color w:val="365F91"/>
        </w:rPr>
        <w:t xml:space="preserve"> Marco de Referencia Estratégico</w:t>
      </w:r>
      <w:r w:rsidRPr="001A01AB">
        <w:rPr>
          <w:rFonts w:cs="Calibri"/>
          <w:b/>
          <w:color w:val="365F91"/>
        </w:rPr>
        <w:t xml:space="preserve"> (MRE)</w:t>
      </w:r>
    </w:p>
    <w:p w:rsidR="00B93911" w:rsidRPr="00523BC1" w:rsidRDefault="00B93911" w:rsidP="00B37BBB">
      <w:pPr>
        <w:ind w:left="360"/>
        <w:jc w:val="both"/>
        <w:rPr>
          <w:rFonts w:ascii="Calibri" w:hAnsi="Calibri" w:cs="Calibri"/>
          <w:lang w:val="es-GT"/>
        </w:rPr>
      </w:pPr>
      <w:r w:rsidRPr="00B95B27">
        <w:rPr>
          <w:rFonts w:ascii="Calibri" w:hAnsi="Calibri" w:cs="Calibri"/>
          <w:lang w:val="es-GT"/>
        </w:rPr>
        <w:t xml:space="preserve">El Marco de Referencia Estratégico (MRE) </w:t>
      </w:r>
      <w:r w:rsidR="001A1426" w:rsidRPr="00B95B27">
        <w:rPr>
          <w:rFonts w:ascii="Calibri" w:hAnsi="Calibri" w:cs="Calibri"/>
          <w:lang w:val="es-GT"/>
        </w:rPr>
        <w:t xml:space="preserve">constituye </w:t>
      </w:r>
      <w:r w:rsidRPr="00B95B27">
        <w:rPr>
          <w:rFonts w:ascii="Calibri" w:hAnsi="Calibri" w:cs="Calibri"/>
          <w:lang w:val="es-GT"/>
        </w:rPr>
        <w:t>un referente de evaluación a partir de objetivos ambientales, sectoriales y de desarrollo relevantes. Está compuesto por el ámbito de planes, políticas y programas</w:t>
      </w:r>
      <w:r w:rsidR="002E6EB9" w:rsidRPr="00B95B27">
        <w:rPr>
          <w:rFonts w:ascii="Calibri" w:hAnsi="Calibri" w:cs="Calibri"/>
          <w:lang w:val="es-GT"/>
        </w:rPr>
        <w:t xml:space="preserve"> (PPP)</w:t>
      </w:r>
      <w:r w:rsidRPr="00B95B27">
        <w:rPr>
          <w:rFonts w:ascii="Calibri" w:hAnsi="Calibri" w:cs="Calibri"/>
          <w:lang w:val="es-GT"/>
        </w:rPr>
        <w:t xml:space="preserve"> en el que </w:t>
      </w:r>
      <w:r w:rsidR="001A1426" w:rsidRPr="00B95B27">
        <w:rPr>
          <w:rFonts w:ascii="Calibri" w:hAnsi="Calibri" w:cs="Calibri"/>
          <w:lang w:val="es-GT"/>
        </w:rPr>
        <w:t>está</w:t>
      </w:r>
      <w:r w:rsidRPr="00B95B27">
        <w:rPr>
          <w:rFonts w:ascii="Calibri" w:hAnsi="Calibri" w:cs="Calibri"/>
          <w:lang w:val="es-GT"/>
        </w:rPr>
        <w:t xml:space="preserve"> inserto y se desarrolla el </w:t>
      </w:r>
      <w:r w:rsidR="00723BFB" w:rsidRPr="00B95B27">
        <w:rPr>
          <w:rFonts w:ascii="Calibri" w:hAnsi="Calibri" w:cs="Calibri"/>
          <w:lang w:val="es-GT"/>
        </w:rPr>
        <w:t>objeto</w:t>
      </w:r>
      <w:r w:rsidRPr="00B95B27">
        <w:rPr>
          <w:rFonts w:ascii="Calibri" w:hAnsi="Calibri" w:cs="Calibri"/>
          <w:lang w:val="es-GT"/>
        </w:rPr>
        <w:t xml:space="preserve"> de evaluación. El MRE se conforma por todas aquellas políticas nacionales, regionales y locales, requisitos legales</w:t>
      </w:r>
      <w:r w:rsidR="000B067C" w:rsidRPr="00B95B27">
        <w:rPr>
          <w:rFonts w:ascii="Calibri" w:hAnsi="Calibri" w:cs="Calibri"/>
          <w:lang w:val="es-GT"/>
        </w:rPr>
        <w:t>,</w:t>
      </w:r>
      <w:r w:rsidRPr="00B95B27">
        <w:rPr>
          <w:rFonts w:ascii="Calibri" w:hAnsi="Calibri" w:cs="Calibri"/>
          <w:lang w:val="es-GT"/>
        </w:rPr>
        <w:t xml:space="preserve"> principios y compromisos institucionales relacionados con el desarrollo rural.</w:t>
      </w:r>
      <w:r w:rsidRPr="00523BC1">
        <w:rPr>
          <w:rFonts w:ascii="Calibri" w:hAnsi="Calibri" w:cs="Calibri"/>
          <w:lang w:val="es-GT"/>
        </w:rPr>
        <w:t xml:space="preserve"> </w:t>
      </w:r>
    </w:p>
    <w:p w:rsidR="00B93911" w:rsidRPr="00523BC1" w:rsidRDefault="00B93911" w:rsidP="00A13498">
      <w:pPr>
        <w:ind w:left="360"/>
        <w:jc w:val="both"/>
        <w:rPr>
          <w:rFonts w:ascii="Calibri" w:hAnsi="Calibri" w:cs="Calibri"/>
          <w:lang w:val="es-GT"/>
        </w:rPr>
      </w:pPr>
    </w:p>
    <w:p w:rsidR="00B93911" w:rsidRPr="00523BC1" w:rsidRDefault="00B93911" w:rsidP="00A13498">
      <w:pPr>
        <w:ind w:left="360"/>
        <w:jc w:val="both"/>
        <w:rPr>
          <w:rFonts w:ascii="Calibri" w:hAnsi="Calibri" w:cs="Calibri"/>
          <w:lang w:val="es-GT"/>
        </w:rPr>
      </w:pPr>
      <w:r w:rsidRPr="00523BC1">
        <w:rPr>
          <w:rFonts w:ascii="Calibri" w:hAnsi="Calibri" w:cs="Calibri"/>
          <w:lang w:val="es-GT"/>
        </w:rPr>
        <w:t xml:space="preserve">De igual manera, </w:t>
      </w:r>
      <w:r w:rsidR="001A1426" w:rsidRPr="00523BC1">
        <w:rPr>
          <w:rFonts w:ascii="Calibri" w:hAnsi="Calibri" w:cs="Calibri"/>
          <w:lang w:val="es-GT"/>
        </w:rPr>
        <w:t xml:space="preserve">se revisaron </w:t>
      </w:r>
      <w:r w:rsidR="00436A41" w:rsidRPr="00523BC1">
        <w:rPr>
          <w:rFonts w:ascii="Calibri" w:hAnsi="Calibri" w:cs="Calibri"/>
          <w:lang w:val="es-GT"/>
        </w:rPr>
        <w:t xml:space="preserve">otros programas y planes </w:t>
      </w:r>
      <w:r w:rsidR="00723BFB" w:rsidRPr="00523BC1">
        <w:rPr>
          <w:rFonts w:ascii="Calibri" w:hAnsi="Calibri" w:cs="Calibri"/>
          <w:lang w:val="es-GT"/>
        </w:rPr>
        <w:t xml:space="preserve">relacionados </w:t>
      </w:r>
      <w:r w:rsidR="00436A41" w:rsidRPr="00523BC1">
        <w:rPr>
          <w:rFonts w:ascii="Calibri" w:hAnsi="Calibri" w:cs="Calibri"/>
          <w:lang w:val="es-GT"/>
        </w:rPr>
        <w:t xml:space="preserve">con el </w:t>
      </w:r>
      <w:r w:rsidR="00723BFB" w:rsidRPr="00523BC1">
        <w:rPr>
          <w:rFonts w:ascii="Calibri" w:hAnsi="Calibri" w:cs="Calibri"/>
          <w:lang w:val="es-GT"/>
        </w:rPr>
        <w:t xml:space="preserve">objeto </w:t>
      </w:r>
      <w:r w:rsidR="00436A41" w:rsidRPr="00523BC1">
        <w:rPr>
          <w:rFonts w:ascii="Calibri" w:hAnsi="Calibri" w:cs="Calibri"/>
          <w:lang w:val="es-GT"/>
        </w:rPr>
        <w:t>de evaluación de la EAE</w:t>
      </w:r>
      <w:r w:rsidRPr="00523BC1">
        <w:rPr>
          <w:rFonts w:ascii="Calibri" w:hAnsi="Calibri" w:cs="Calibri"/>
          <w:lang w:val="es-GT"/>
        </w:rPr>
        <w:t xml:space="preserve">. </w:t>
      </w:r>
      <w:r w:rsidR="001A1426" w:rsidRPr="00523BC1">
        <w:rPr>
          <w:rFonts w:ascii="Calibri" w:hAnsi="Calibri" w:cs="Calibri"/>
          <w:lang w:val="es-GT"/>
        </w:rPr>
        <w:t>E</w:t>
      </w:r>
      <w:r w:rsidRPr="00523BC1">
        <w:rPr>
          <w:rFonts w:ascii="Calibri" w:hAnsi="Calibri" w:cs="Calibri"/>
          <w:lang w:val="es-GT"/>
        </w:rPr>
        <w:t xml:space="preserve">sta actividad </w:t>
      </w:r>
      <w:r w:rsidR="001A1426" w:rsidRPr="00523BC1">
        <w:rPr>
          <w:rFonts w:ascii="Calibri" w:hAnsi="Calibri" w:cs="Calibri"/>
          <w:lang w:val="es-GT"/>
        </w:rPr>
        <w:t xml:space="preserve">requirió </w:t>
      </w:r>
      <w:r w:rsidR="009E5B66">
        <w:rPr>
          <w:rFonts w:ascii="Calibri" w:hAnsi="Calibri" w:cs="Calibri"/>
          <w:lang w:val="es-GT"/>
        </w:rPr>
        <w:t xml:space="preserve">de </w:t>
      </w:r>
      <w:r w:rsidRPr="00523BC1">
        <w:rPr>
          <w:rFonts w:ascii="Calibri" w:hAnsi="Calibri" w:cs="Calibri"/>
          <w:lang w:val="es-GT"/>
        </w:rPr>
        <w:t>una extensa revisión y comprensión de dicho marco y de los documentos que le dan soporte al mismo.</w:t>
      </w:r>
    </w:p>
    <w:p w:rsidR="00AC2686" w:rsidRPr="00523BC1" w:rsidRDefault="00AC2686" w:rsidP="00A13498">
      <w:pPr>
        <w:ind w:left="360"/>
        <w:jc w:val="both"/>
        <w:rPr>
          <w:rFonts w:ascii="Calibri" w:hAnsi="Calibri" w:cs="Calibri"/>
          <w:lang w:val="es-GT"/>
        </w:rPr>
      </w:pPr>
    </w:p>
    <w:p w:rsidR="00B93911" w:rsidRPr="00523BC1" w:rsidRDefault="00D079C3" w:rsidP="006B0A31">
      <w:pPr>
        <w:pStyle w:val="Prrafodelista"/>
        <w:numPr>
          <w:ilvl w:val="0"/>
          <w:numId w:val="48"/>
        </w:numPr>
        <w:jc w:val="both"/>
        <w:rPr>
          <w:rFonts w:cs="Calibri"/>
          <w:b/>
          <w:color w:val="365F91"/>
        </w:rPr>
      </w:pPr>
      <w:r w:rsidRPr="00523BC1">
        <w:rPr>
          <w:rFonts w:cs="Calibri"/>
          <w:b/>
          <w:color w:val="365F91"/>
        </w:rPr>
        <w:t xml:space="preserve">Definición </w:t>
      </w:r>
      <w:r w:rsidR="009E5B66">
        <w:rPr>
          <w:rFonts w:cs="Calibri"/>
          <w:b/>
          <w:color w:val="365F91"/>
        </w:rPr>
        <w:t xml:space="preserve">de </w:t>
      </w:r>
      <w:r w:rsidRPr="00523BC1">
        <w:rPr>
          <w:rFonts w:cs="Calibri"/>
          <w:b/>
          <w:color w:val="365F91"/>
        </w:rPr>
        <w:t>las p</w:t>
      </w:r>
      <w:r w:rsidR="00B93911" w:rsidRPr="00523BC1">
        <w:rPr>
          <w:rFonts w:cs="Calibri"/>
          <w:b/>
          <w:color w:val="365F91"/>
        </w:rPr>
        <w:t>rincipales Cuestiones Estratégicas (CE) a partir del Objetivo Estratégico (OE)</w:t>
      </w:r>
    </w:p>
    <w:p w:rsidR="00B93911" w:rsidRPr="00523BC1" w:rsidRDefault="00B93911" w:rsidP="00A13498">
      <w:pPr>
        <w:ind w:left="360"/>
        <w:jc w:val="both"/>
        <w:rPr>
          <w:rFonts w:ascii="Calibri" w:hAnsi="Calibri" w:cs="Calibri"/>
          <w:lang w:val="es-GT"/>
        </w:rPr>
      </w:pPr>
      <w:r w:rsidRPr="00523BC1">
        <w:rPr>
          <w:rFonts w:ascii="Calibri" w:hAnsi="Calibri" w:cs="Calibri"/>
          <w:lang w:val="es-GT"/>
        </w:rPr>
        <w:t xml:space="preserve">Esta actividad corresponde a la identificación, discusión y análisis de aquellas cuestiones clave para la consecución del Objetivo Estratégico identificado para el </w:t>
      </w:r>
      <w:r w:rsidR="00270DF7" w:rsidRPr="00523BC1">
        <w:rPr>
          <w:rFonts w:ascii="Calibri" w:hAnsi="Calibri" w:cs="Calibri"/>
          <w:lang w:val="es-GT"/>
        </w:rPr>
        <w:t>objeto</w:t>
      </w:r>
      <w:r w:rsidRPr="00523BC1">
        <w:rPr>
          <w:rFonts w:ascii="Calibri" w:hAnsi="Calibri" w:cs="Calibri"/>
          <w:lang w:val="es-GT"/>
        </w:rPr>
        <w:t xml:space="preserve"> de evaluación. Dicho de otro modo, se trata de identificar aquellas cuestiones que necesariamente </w:t>
      </w:r>
      <w:r w:rsidR="009E5B66" w:rsidRPr="00523BC1">
        <w:rPr>
          <w:rFonts w:ascii="Calibri" w:hAnsi="Calibri" w:cs="Calibri"/>
          <w:lang w:val="es-GT"/>
        </w:rPr>
        <w:t xml:space="preserve">deben </w:t>
      </w:r>
      <w:r w:rsidRPr="00523BC1">
        <w:rPr>
          <w:rFonts w:ascii="Calibri" w:hAnsi="Calibri" w:cs="Calibri"/>
          <w:lang w:val="es-GT"/>
        </w:rPr>
        <w:t xml:space="preserve">estar planteadas para asegurar el logro del Objetivo Estratégico, que en el caso de la intervención del FIDA en Guatemala, se encuentra </w:t>
      </w:r>
      <w:r w:rsidR="00270DF7" w:rsidRPr="00523BC1">
        <w:rPr>
          <w:rFonts w:ascii="Calibri" w:hAnsi="Calibri" w:cs="Calibri"/>
          <w:lang w:val="es-GT"/>
        </w:rPr>
        <w:t>íntimamente vinculado a</w:t>
      </w:r>
      <w:r w:rsidRPr="00523BC1">
        <w:rPr>
          <w:rFonts w:ascii="Calibri" w:hAnsi="Calibri" w:cs="Calibri"/>
          <w:lang w:val="es-GT"/>
        </w:rPr>
        <w:t>l desarrollo rural.</w:t>
      </w:r>
      <w:r w:rsidR="009E5B66">
        <w:rPr>
          <w:rFonts w:ascii="Calibri" w:hAnsi="Calibri" w:cs="Calibri"/>
          <w:lang w:val="es-GT"/>
        </w:rPr>
        <w:t xml:space="preserve"> </w:t>
      </w:r>
    </w:p>
    <w:p w:rsidR="00B93911" w:rsidRPr="00523BC1" w:rsidRDefault="00B93911" w:rsidP="00A13498">
      <w:pPr>
        <w:ind w:left="360"/>
        <w:jc w:val="both"/>
        <w:rPr>
          <w:rFonts w:ascii="Calibri" w:hAnsi="Calibri" w:cs="Calibri"/>
          <w:lang w:val="es-GT"/>
        </w:rPr>
      </w:pPr>
    </w:p>
    <w:p w:rsidR="00B93911" w:rsidRPr="00523BC1" w:rsidRDefault="00B93911" w:rsidP="006B0A31">
      <w:pPr>
        <w:pStyle w:val="Prrafodelista"/>
        <w:numPr>
          <w:ilvl w:val="0"/>
          <w:numId w:val="48"/>
        </w:numPr>
        <w:jc w:val="both"/>
        <w:rPr>
          <w:rFonts w:cs="Calibri"/>
          <w:b/>
          <w:color w:val="365F91"/>
        </w:rPr>
      </w:pPr>
      <w:r w:rsidRPr="00523BC1">
        <w:rPr>
          <w:rFonts w:cs="Calibri"/>
          <w:b/>
          <w:color w:val="365F91"/>
        </w:rPr>
        <w:t xml:space="preserve">Definición de los </w:t>
      </w:r>
      <w:r w:rsidR="00F639BE" w:rsidRPr="00523BC1">
        <w:rPr>
          <w:rFonts w:cs="Calibri"/>
          <w:b/>
          <w:color w:val="365F91"/>
        </w:rPr>
        <w:t>p</w:t>
      </w:r>
      <w:r w:rsidRPr="00523BC1">
        <w:rPr>
          <w:rFonts w:cs="Calibri"/>
          <w:b/>
          <w:color w:val="365F91"/>
        </w:rPr>
        <w:t>rincipales Aspectos Socio-Ambientales (ASA)</w:t>
      </w:r>
    </w:p>
    <w:p w:rsidR="00B93911" w:rsidRPr="00523BC1" w:rsidRDefault="00B93911" w:rsidP="00A13498">
      <w:pPr>
        <w:ind w:left="360"/>
        <w:jc w:val="both"/>
        <w:rPr>
          <w:rFonts w:ascii="Calibri" w:hAnsi="Calibri" w:cs="Calibri"/>
          <w:lang w:val="es-GT"/>
        </w:rPr>
      </w:pPr>
      <w:r w:rsidRPr="00523BC1">
        <w:rPr>
          <w:rFonts w:ascii="Calibri" w:hAnsi="Calibri" w:cs="Calibri"/>
          <w:lang w:val="es-GT"/>
        </w:rPr>
        <w:t>A partir del análisis del contexto nacional actual, y con base en el marco analítico del sistema socio-ecológico, se identificaron los principales aspectos de la problemática que caracteriza al ambiente natural de Guatemala. Asimismo, se analizan las actividades que directamente causan los problemas identificados, y cuáles son los actores responsables de estas actividades. En este caso, se hace especial referencia a</w:t>
      </w:r>
      <w:r w:rsidR="00ED06B0">
        <w:rPr>
          <w:rFonts w:ascii="Calibri" w:hAnsi="Calibri" w:cs="Calibri"/>
          <w:lang w:val="es-GT"/>
        </w:rPr>
        <w:t>l</w:t>
      </w:r>
      <w:r w:rsidRPr="00523BC1">
        <w:rPr>
          <w:rFonts w:ascii="Calibri" w:hAnsi="Calibri" w:cs="Calibri"/>
          <w:lang w:val="es-GT"/>
        </w:rPr>
        <w:t xml:space="preserve"> nivel de los segmentos de pequeños productores agropecuarios en que se centra el Objetivo Estratégico.</w:t>
      </w:r>
    </w:p>
    <w:p w:rsidR="00B93911" w:rsidRPr="00523BC1" w:rsidRDefault="00B93911" w:rsidP="00A13498">
      <w:pPr>
        <w:ind w:left="360"/>
        <w:jc w:val="both"/>
        <w:rPr>
          <w:rFonts w:ascii="Calibri" w:hAnsi="Calibri" w:cs="Calibri"/>
          <w:lang w:val="es-GT"/>
        </w:rPr>
      </w:pPr>
    </w:p>
    <w:p w:rsidR="00B93911" w:rsidRPr="001A01AB" w:rsidRDefault="00B93911" w:rsidP="00A13498">
      <w:pPr>
        <w:ind w:left="360"/>
        <w:jc w:val="both"/>
        <w:rPr>
          <w:rFonts w:ascii="Calibri" w:hAnsi="Calibri" w:cs="Calibri"/>
          <w:lang w:val="es-GT"/>
        </w:rPr>
      </w:pPr>
      <w:r w:rsidRPr="00523BC1">
        <w:rPr>
          <w:rFonts w:ascii="Calibri" w:hAnsi="Calibri" w:cs="Calibri"/>
          <w:lang w:val="es-GT"/>
        </w:rPr>
        <w:t>La ide</w:t>
      </w:r>
      <w:r w:rsidR="00270DF7" w:rsidRPr="00523BC1">
        <w:rPr>
          <w:rFonts w:ascii="Calibri" w:hAnsi="Calibri" w:cs="Calibri"/>
          <w:lang w:val="es-GT"/>
        </w:rPr>
        <w:t>ntificación de los principales a</w:t>
      </w:r>
      <w:r w:rsidRPr="00523BC1">
        <w:rPr>
          <w:rFonts w:ascii="Calibri" w:hAnsi="Calibri" w:cs="Calibri"/>
          <w:lang w:val="es-GT"/>
        </w:rPr>
        <w:t xml:space="preserve">spectos </w:t>
      </w:r>
      <w:r w:rsidR="00ED06B0" w:rsidRPr="00523BC1">
        <w:rPr>
          <w:rFonts w:ascii="Calibri" w:hAnsi="Calibri" w:cs="Calibri"/>
          <w:lang w:val="es-GT"/>
        </w:rPr>
        <w:t xml:space="preserve">socio-ambientales </w:t>
      </w:r>
      <w:r w:rsidRPr="00523BC1">
        <w:rPr>
          <w:rFonts w:ascii="Calibri" w:hAnsi="Calibri" w:cs="Calibri"/>
          <w:lang w:val="es-GT"/>
        </w:rPr>
        <w:t xml:space="preserve">es una etapa de alta importancia en este proceso de análisis estratégico, ya que </w:t>
      </w:r>
      <w:r w:rsidR="00270DF7" w:rsidRPr="00523BC1">
        <w:rPr>
          <w:rFonts w:ascii="Calibri" w:hAnsi="Calibri" w:cs="Calibri"/>
          <w:lang w:val="es-GT"/>
        </w:rPr>
        <w:t>tales aspectos, junto a dos de los anteriores</w:t>
      </w:r>
      <w:r w:rsidR="003C4210" w:rsidRPr="00523BC1">
        <w:rPr>
          <w:rFonts w:ascii="Calibri" w:hAnsi="Calibri" w:cs="Calibri"/>
          <w:lang w:val="es-GT"/>
        </w:rPr>
        <w:t xml:space="preserve"> (MRE y CE)</w:t>
      </w:r>
      <w:r w:rsidR="00270DF7" w:rsidRPr="00523BC1">
        <w:rPr>
          <w:rFonts w:ascii="Calibri" w:hAnsi="Calibri" w:cs="Calibri"/>
          <w:lang w:val="es-GT"/>
        </w:rPr>
        <w:t>,</w:t>
      </w:r>
      <w:r w:rsidR="00141A70">
        <w:rPr>
          <w:rFonts w:ascii="Calibri" w:hAnsi="Calibri" w:cs="Calibri"/>
          <w:lang w:val="es-GT"/>
        </w:rPr>
        <w:t xml:space="preserve"> </w:t>
      </w:r>
      <w:r w:rsidR="00270DF7" w:rsidRPr="00523BC1">
        <w:rPr>
          <w:rFonts w:ascii="Calibri" w:hAnsi="Calibri" w:cs="Calibri"/>
          <w:lang w:val="es-GT"/>
        </w:rPr>
        <w:t xml:space="preserve">constituyen la base para </w:t>
      </w:r>
      <w:r w:rsidRPr="00523BC1">
        <w:rPr>
          <w:rFonts w:ascii="Calibri" w:hAnsi="Calibri" w:cs="Calibri"/>
          <w:lang w:val="es-GT"/>
        </w:rPr>
        <w:t>la identificación de los Factores Críticos para la Decisión (FCD), a partir de los cuales</w:t>
      </w:r>
      <w:r w:rsidR="003C4210" w:rsidRPr="00523BC1">
        <w:rPr>
          <w:rFonts w:ascii="Calibri" w:hAnsi="Calibri" w:cs="Calibri"/>
          <w:lang w:val="es-GT"/>
        </w:rPr>
        <w:t>,</w:t>
      </w:r>
      <w:r w:rsidRPr="00523BC1">
        <w:rPr>
          <w:rFonts w:ascii="Calibri" w:hAnsi="Calibri" w:cs="Calibri"/>
          <w:lang w:val="es-GT"/>
        </w:rPr>
        <w:t xml:space="preserve"> se formulan recomendaciones para el diseño del </w:t>
      </w:r>
      <w:r w:rsidR="00270DF7" w:rsidRPr="00523BC1">
        <w:rPr>
          <w:rFonts w:ascii="Calibri" w:hAnsi="Calibri" w:cs="Calibri"/>
          <w:lang w:val="es-GT"/>
        </w:rPr>
        <w:t>objeto</w:t>
      </w:r>
      <w:r w:rsidRPr="00523BC1">
        <w:rPr>
          <w:rFonts w:ascii="Calibri" w:hAnsi="Calibri" w:cs="Calibri"/>
          <w:lang w:val="es-GT"/>
        </w:rPr>
        <w:t xml:space="preserve"> de evaluación.</w:t>
      </w:r>
    </w:p>
    <w:p w:rsidR="00B93911" w:rsidRPr="001A01AB" w:rsidRDefault="00B93911" w:rsidP="00A13498">
      <w:pPr>
        <w:ind w:left="360"/>
        <w:jc w:val="both"/>
        <w:rPr>
          <w:rFonts w:ascii="Calibri" w:hAnsi="Calibri" w:cs="Calibri"/>
          <w:lang w:val="es-GT"/>
        </w:rPr>
      </w:pPr>
    </w:p>
    <w:p w:rsidR="00B93911" w:rsidRPr="001A01AB" w:rsidRDefault="00B93911" w:rsidP="006B0A31">
      <w:pPr>
        <w:pStyle w:val="Prrafodelista"/>
        <w:numPr>
          <w:ilvl w:val="0"/>
          <w:numId w:val="48"/>
        </w:numPr>
        <w:jc w:val="both"/>
        <w:rPr>
          <w:rFonts w:cs="Calibri"/>
          <w:b/>
          <w:color w:val="365F91"/>
        </w:rPr>
      </w:pPr>
      <w:r w:rsidRPr="001A01AB">
        <w:rPr>
          <w:rFonts w:cs="Calibri"/>
          <w:b/>
          <w:color w:val="365F91"/>
        </w:rPr>
        <w:t>Identificación de los Factores Críticos para la Decisión (FCD)</w:t>
      </w:r>
    </w:p>
    <w:p w:rsidR="003C4210" w:rsidRDefault="00B93911" w:rsidP="003C4210">
      <w:pPr>
        <w:ind w:left="360"/>
        <w:jc w:val="both"/>
        <w:rPr>
          <w:rFonts w:ascii="Calibri" w:hAnsi="Calibri" w:cs="Calibri"/>
          <w:lang w:val="es-GT"/>
        </w:rPr>
      </w:pPr>
      <w:r w:rsidRPr="001A01AB">
        <w:rPr>
          <w:rFonts w:ascii="Calibri" w:hAnsi="Calibri" w:cs="Calibri"/>
          <w:lang w:val="es-GT"/>
        </w:rPr>
        <w:t xml:space="preserve">Los </w:t>
      </w:r>
      <w:r w:rsidR="00A875E2" w:rsidRPr="001A01AB">
        <w:rPr>
          <w:rFonts w:ascii="Calibri" w:hAnsi="Calibri" w:cs="Calibri"/>
          <w:lang w:val="es-GT"/>
        </w:rPr>
        <w:t xml:space="preserve">Factores Críticos para la Decisión </w:t>
      </w:r>
      <w:r w:rsidRPr="001A01AB">
        <w:rPr>
          <w:rFonts w:ascii="Calibri" w:hAnsi="Calibri" w:cs="Calibri"/>
          <w:lang w:val="es-GT"/>
        </w:rPr>
        <w:t xml:space="preserve">(FCD) son temas integradores que </w:t>
      </w:r>
      <w:r w:rsidR="00270DF7">
        <w:rPr>
          <w:rFonts w:ascii="Calibri" w:hAnsi="Calibri" w:cs="Calibri"/>
          <w:lang w:val="es-GT"/>
        </w:rPr>
        <w:t xml:space="preserve">se hacen evidentes cuando se confrontan </w:t>
      </w:r>
      <w:r w:rsidRPr="001A01AB">
        <w:rPr>
          <w:rFonts w:ascii="Calibri" w:hAnsi="Calibri" w:cs="Calibri"/>
          <w:lang w:val="es-GT"/>
        </w:rPr>
        <w:t xml:space="preserve">los lineamientos del </w:t>
      </w:r>
      <w:r w:rsidR="00A875E2" w:rsidRPr="001A01AB">
        <w:rPr>
          <w:rFonts w:ascii="Calibri" w:hAnsi="Calibri" w:cs="Calibri"/>
          <w:lang w:val="es-GT"/>
        </w:rPr>
        <w:t xml:space="preserve">Marco </w:t>
      </w:r>
      <w:r w:rsidRPr="001A01AB">
        <w:rPr>
          <w:rFonts w:ascii="Calibri" w:hAnsi="Calibri" w:cs="Calibri"/>
          <w:lang w:val="es-GT"/>
        </w:rPr>
        <w:t xml:space="preserve">de </w:t>
      </w:r>
      <w:r w:rsidR="00A875E2" w:rsidRPr="001A01AB">
        <w:rPr>
          <w:rFonts w:ascii="Calibri" w:hAnsi="Calibri" w:cs="Calibri"/>
          <w:lang w:val="es-GT"/>
        </w:rPr>
        <w:t>Referencia Estratégico</w:t>
      </w:r>
      <w:r w:rsidR="003C4210">
        <w:rPr>
          <w:rFonts w:ascii="Calibri" w:hAnsi="Calibri" w:cs="Calibri"/>
          <w:lang w:val="es-GT"/>
        </w:rPr>
        <w:t xml:space="preserve"> (MRE)</w:t>
      </w:r>
      <w:r w:rsidRPr="001A01AB">
        <w:rPr>
          <w:rFonts w:ascii="Calibri" w:hAnsi="Calibri" w:cs="Calibri"/>
          <w:lang w:val="es-GT"/>
        </w:rPr>
        <w:t xml:space="preserve">, las </w:t>
      </w:r>
      <w:r w:rsidR="00A875E2" w:rsidRPr="001A01AB">
        <w:rPr>
          <w:rFonts w:ascii="Calibri" w:hAnsi="Calibri" w:cs="Calibri"/>
          <w:lang w:val="es-GT"/>
        </w:rPr>
        <w:t xml:space="preserve">Cuestiones Estratégicas </w:t>
      </w:r>
      <w:r w:rsidR="003C4210">
        <w:rPr>
          <w:rFonts w:ascii="Calibri" w:hAnsi="Calibri" w:cs="Calibri"/>
          <w:lang w:val="es-GT"/>
        </w:rPr>
        <w:t xml:space="preserve">(CE) </w:t>
      </w:r>
      <w:r w:rsidRPr="001A01AB">
        <w:rPr>
          <w:rFonts w:ascii="Calibri" w:hAnsi="Calibri" w:cs="Calibri"/>
          <w:lang w:val="es-GT"/>
        </w:rPr>
        <w:t xml:space="preserve">del objeto de evaluación y </w:t>
      </w:r>
      <w:r w:rsidR="003C4210">
        <w:rPr>
          <w:rFonts w:ascii="Calibri" w:hAnsi="Calibri" w:cs="Calibri"/>
          <w:lang w:val="es-GT"/>
        </w:rPr>
        <w:t>los</w:t>
      </w:r>
      <w:r w:rsidRPr="001A01AB">
        <w:rPr>
          <w:rFonts w:ascii="Calibri" w:hAnsi="Calibri" w:cs="Calibri"/>
          <w:lang w:val="es-GT"/>
        </w:rPr>
        <w:t xml:space="preserve"> </w:t>
      </w:r>
      <w:r w:rsidR="003C4210">
        <w:rPr>
          <w:rFonts w:ascii="Calibri" w:hAnsi="Calibri" w:cs="Calibri"/>
          <w:lang w:val="es-GT"/>
        </w:rPr>
        <w:t xml:space="preserve">aspectos </w:t>
      </w:r>
      <w:r w:rsidRPr="001A01AB">
        <w:rPr>
          <w:rFonts w:ascii="Calibri" w:hAnsi="Calibri" w:cs="Calibri"/>
          <w:lang w:val="es-GT"/>
        </w:rPr>
        <w:t>socio-ambiental</w:t>
      </w:r>
      <w:r w:rsidR="003C4210">
        <w:rPr>
          <w:rFonts w:ascii="Calibri" w:hAnsi="Calibri" w:cs="Calibri"/>
          <w:lang w:val="es-GT"/>
        </w:rPr>
        <w:t xml:space="preserve">es (ASA). </w:t>
      </w:r>
      <w:r w:rsidR="003C4210">
        <w:rPr>
          <w:rFonts w:ascii="Calibri" w:hAnsi="Calibri" w:cs="Calibri"/>
          <w:lang w:val="es-GT"/>
        </w:rPr>
        <w:lastRenderedPageBreak/>
        <w:t xml:space="preserve">Esta </w:t>
      </w:r>
      <w:r w:rsidR="00351A80">
        <w:rPr>
          <w:rFonts w:ascii="Calibri" w:hAnsi="Calibri" w:cs="Calibri"/>
          <w:lang w:val="es-GT"/>
        </w:rPr>
        <w:t>última</w:t>
      </w:r>
      <w:r w:rsidR="003C4210">
        <w:rPr>
          <w:rFonts w:ascii="Calibri" w:hAnsi="Calibri" w:cs="Calibri"/>
          <w:lang w:val="es-GT"/>
        </w:rPr>
        <w:t xml:space="preserve"> abordada, para el presente caso, fundamentalmente en la sección correspondiente al “análisis de contexto</w:t>
      </w:r>
      <w:r w:rsidR="00000100">
        <w:rPr>
          <w:rFonts w:ascii="Calibri" w:hAnsi="Calibri" w:cs="Calibri"/>
          <w:lang w:val="es-GT"/>
        </w:rPr>
        <w:t>”</w:t>
      </w:r>
      <w:r w:rsidR="003C4210">
        <w:rPr>
          <w:rFonts w:ascii="Calibri" w:hAnsi="Calibri" w:cs="Calibri"/>
          <w:lang w:val="es-GT"/>
        </w:rPr>
        <w:t>.</w:t>
      </w:r>
      <w:r w:rsidR="00141A70">
        <w:rPr>
          <w:rFonts w:ascii="Calibri" w:hAnsi="Calibri" w:cs="Calibri"/>
          <w:lang w:val="es-GT"/>
        </w:rPr>
        <w:t xml:space="preserve"> </w:t>
      </w:r>
      <w:r w:rsidR="003C4210">
        <w:rPr>
          <w:rFonts w:ascii="Calibri" w:hAnsi="Calibri" w:cs="Calibri"/>
          <w:lang w:val="es-GT"/>
        </w:rPr>
        <w:t xml:space="preserve">Este paso del análisis estratégico tiene una relevancia tal, que es a partir los FCD, que se delinean las “opciones estratégicas” dirigidas a maximizar el impacto positivo del “objeto de evaluación” (el COSOP-BR y el desarrollo rural en su sentido más amplio) y a minimizar potenciales impactos negativos. </w:t>
      </w:r>
      <w:r w:rsidR="00351A80">
        <w:rPr>
          <w:rFonts w:ascii="Calibri" w:hAnsi="Calibri" w:cs="Calibri"/>
          <w:lang w:val="es-GT"/>
        </w:rPr>
        <w:t>También</w:t>
      </w:r>
      <w:r w:rsidR="003C4210">
        <w:rPr>
          <w:rFonts w:ascii="Calibri" w:hAnsi="Calibri" w:cs="Calibri"/>
          <w:lang w:val="es-GT"/>
        </w:rPr>
        <w:t xml:space="preserve"> son el eje alrededor del cual se realizan los </w:t>
      </w:r>
      <w:r w:rsidRPr="001A01AB">
        <w:rPr>
          <w:rFonts w:ascii="Calibri" w:hAnsi="Calibri" w:cs="Calibri"/>
          <w:lang w:val="es-GT"/>
        </w:rPr>
        <w:t xml:space="preserve">análisis de riesgos, impactos y oportunidades de las estrategias a ser incluidas en el </w:t>
      </w:r>
      <w:r w:rsidR="003C4210">
        <w:rPr>
          <w:rFonts w:ascii="Calibri" w:hAnsi="Calibri" w:cs="Calibri"/>
          <w:lang w:val="es-GT"/>
        </w:rPr>
        <w:t xml:space="preserve">objeto </w:t>
      </w:r>
      <w:r w:rsidRPr="001A01AB">
        <w:rPr>
          <w:rFonts w:ascii="Calibri" w:hAnsi="Calibri" w:cs="Calibri"/>
          <w:lang w:val="es-GT"/>
        </w:rPr>
        <w:t>de evaluación.</w:t>
      </w:r>
    </w:p>
    <w:p w:rsidR="003C4210" w:rsidRDefault="003C4210" w:rsidP="003C4210">
      <w:pPr>
        <w:ind w:left="360"/>
        <w:jc w:val="both"/>
        <w:rPr>
          <w:rFonts w:ascii="Calibri" w:hAnsi="Calibri" w:cs="Calibri"/>
          <w:lang w:val="es-GT"/>
        </w:rPr>
      </w:pPr>
    </w:p>
    <w:p w:rsidR="00B93911" w:rsidRPr="001A01AB" w:rsidRDefault="003C4210" w:rsidP="00A13498">
      <w:pPr>
        <w:ind w:left="360"/>
        <w:jc w:val="both"/>
        <w:rPr>
          <w:rFonts w:ascii="Calibri" w:hAnsi="Calibri" w:cs="Calibri"/>
          <w:lang w:val="es-GT"/>
        </w:rPr>
      </w:pPr>
      <w:r>
        <w:rPr>
          <w:rFonts w:ascii="Calibri" w:hAnsi="Calibri" w:cs="Calibri"/>
          <w:lang w:val="es-GT"/>
        </w:rPr>
        <w:t>En síntesis</w:t>
      </w:r>
      <w:r w:rsidR="00B93911" w:rsidRPr="001A01AB">
        <w:rPr>
          <w:rFonts w:ascii="Calibri" w:hAnsi="Calibri" w:cs="Calibri"/>
          <w:lang w:val="es-GT"/>
        </w:rPr>
        <w:t xml:space="preserve">, los </w:t>
      </w:r>
      <w:r w:rsidR="00A875E2" w:rsidRPr="001A01AB">
        <w:rPr>
          <w:rFonts w:ascii="Calibri" w:hAnsi="Calibri" w:cs="Calibri"/>
          <w:lang w:val="es-GT"/>
        </w:rPr>
        <w:t>Factores Críticos para la</w:t>
      </w:r>
      <w:r w:rsidR="00B93911" w:rsidRPr="001A01AB">
        <w:rPr>
          <w:rFonts w:ascii="Calibri" w:hAnsi="Calibri" w:cs="Calibri"/>
          <w:lang w:val="es-GT"/>
        </w:rPr>
        <w:t xml:space="preserve"> </w:t>
      </w:r>
      <w:r w:rsidR="00A875E2" w:rsidRPr="001A01AB">
        <w:rPr>
          <w:rFonts w:ascii="Calibri" w:hAnsi="Calibri" w:cs="Calibri"/>
          <w:lang w:val="es-GT"/>
        </w:rPr>
        <w:t xml:space="preserve">Decisión </w:t>
      </w:r>
      <w:r w:rsidR="00B93911" w:rsidRPr="001A01AB">
        <w:rPr>
          <w:rFonts w:ascii="Calibri" w:hAnsi="Calibri" w:cs="Calibri"/>
          <w:lang w:val="es-GT"/>
        </w:rPr>
        <w:t>son aquellos elementos que permiten, facilitan, impiden u obstaculizan alcanzar los objetivos planteados a través del Objetivo Estratégico</w:t>
      </w:r>
      <w:r w:rsidR="007C3972" w:rsidRPr="001A01AB">
        <w:rPr>
          <w:rFonts w:ascii="Calibri" w:hAnsi="Calibri" w:cs="Calibri"/>
          <w:lang w:val="es-GT"/>
        </w:rPr>
        <w:t xml:space="preserve"> (OE) del </w:t>
      </w:r>
      <w:r>
        <w:rPr>
          <w:rFonts w:ascii="Calibri" w:hAnsi="Calibri" w:cs="Calibri"/>
          <w:lang w:val="es-GT"/>
        </w:rPr>
        <w:t xml:space="preserve">objeto </w:t>
      </w:r>
      <w:r w:rsidR="007C3972" w:rsidRPr="001A01AB">
        <w:rPr>
          <w:rFonts w:ascii="Calibri" w:hAnsi="Calibri" w:cs="Calibri"/>
          <w:lang w:val="es-GT"/>
        </w:rPr>
        <w:t>de evaluación.</w:t>
      </w:r>
      <w:r>
        <w:rPr>
          <w:rFonts w:ascii="Calibri" w:hAnsi="Calibri" w:cs="Calibri"/>
          <w:lang w:val="es-GT"/>
        </w:rPr>
        <w:t xml:space="preserve"> </w:t>
      </w:r>
      <w:r w:rsidR="00B93911" w:rsidRPr="001A01AB">
        <w:rPr>
          <w:rFonts w:ascii="Calibri" w:hAnsi="Calibri" w:cs="Calibri"/>
          <w:lang w:val="es-GT"/>
        </w:rPr>
        <w:t xml:space="preserve">La identificación de los factores críticos </w:t>
      </w:r>
      <w:r>
        <w:rPr>
          <w:rFonts w:ascii="Calibri" w:hAnsi="Calibri" w:cs="Calibri"/>
          <w:lang w:val="es-GT"/>
        </w:rPr>
        <w:t xml:space="preserve">también </w:t>
      </w:r>
      <w:r w:rsidR="005150EF">
        <w:rPr>
          <w:rFonts w:ascii="Calibri" w:hAnsi="Calibri" w:cs="Calibri"/>
          <w:lang w:val="es-GT"/>
        </w:rPr>
        <w:t>brinda</w:t>
      </w:r>
      <w:r w:rsidR="00B93911" w:rsidRPr="001A01AB">
        <w:rPr>
          <w:rFonts w:ascii="Calibri" w:hAnsi="Calibri" w:cs="Calibri"/>
          <w:lang w:val="es-GT"/>
        </w:rPr>
        <w:t xml:space="preserve"> estructura y contenido a</w:t>
      </w:r>
      <w:r>
        <w:rPr>
          <w:rFonts w:ascii="Calibri" w:hAnsi="Calibri" w:cs="Calibri"/>
          <w:lang w:val="es-GT"/>
        </w:rPr>
        <w:t>l proceso de formulación</w:t>
      </w:r>
      <w:r w:rsidR="00B93911" w:rsidRPr="001A01AB">
        <w:rPr>
          <w:rFonts w:ascii="Calibri" w:hAnsi="Calibri" w:cs="Calibri"/>
          <w:lang w:val="es-GT"/>
        </w:rPr>
        <w:t xml:space="preserve"> </w:t>
      </w:r>
      <w:r>
        <w:rPr>
          <w:rFonts w:ascii="Calibri" w:hAnsi="Calibri" w:cs="Calibri"/>
          <w:lang w:val="es-GT"/>
        </w:rPr>
        <w:t xml:space="preserve">de la </w:t>
      </w:r>
      <w:r w:rsidR="00B93911" w:rsidRPr="001A01AB">
        <w:rPr>
          <w:rFonts w:ascii="Calibri" w:hAnsi="Calibri" w:cs="Calibri"/>
          <w:lang w:val="es-GT"/>
        </w:rPr>
        <w:t xml:space="preserve">EAE, </w:t>
      </w:r>
      <w:r>
        <w:rPr>
          <w:rFonts w:ascii="Calibri" w:hAnsi="Calibri" w:cs="Calibri"/>
          <w:lang w:val="es-GT"/>
        </w:rPr>
        <w:t xml:space="preserve">pues </w:t>
      </w:r>
      <w:r w:rsidR="005150EF">
        <w:rPr>
          <w:rFonts w:ascii="Calibri" w:hAnsi="Calibri" w:cs="Calibri"/>
          <w:lang w:val="es-GT"/>
        </w:rPr>
        <w:t>permite</w:t>
      </w:r>
      <w:r w:rsidR="00B93911" w:rsidRPr="001A01AB">
        <w:rPr>
          <w:rFonts w:ascii="Calibri" w:hAnsi="Calibri" w:cs="Calibri"/>
          <w:lang w:val="es-GT"/>
        </w:rPr>
        <w:t xml:space="preserve"> identificar aquellas actividades que son estratégicas de realizar (el ¿qué?) y la forma de realizarlas (el ¿cómo?).</w:t>
      </w:r>
    </w:p>
    <w:p w:rsidR="00B93911" w:rsidRPr="001A01AB" w:rsidRDefault="00B93911" w:rsidP="00A13498">
      <w:pPr>
        <w:ind w:left="360"/>
        <w:jc w:val="both"/>
        <w:rPr>
          <w:rFonts w:ascii="Calibri" w:hAnsi="Calibri" w:cs="Calibri"/>
          <w:lang w:val="es-GT"/>
        </w:rPr>
      </w:pPr>
    </w:p>
    <w:p w:rsidR="00B93911" w:rsidRDefault="003C4210" w:rsidP="00A13498">
      <w:pPr>
        <w:ind w:left="360"/>
        <w:jc w:val="both"/>
        <w:rPr>
          <w:rFonts w:ascii="Calibri" w:hAnsi="Calibri" w:cs="Calibri"/>
          <w:lang w:val="es-GT"/>
        </w:rPr>
      </w:pPr>
      <w:r>
        <w:rPr>
          <w:rFonts w:ascii="Calibri" w:hAnsi="Calibri" w:cs="Calibri"/>
          <w:lang w:val="es-GT"/>
        </w:rPr>
        <w:t xml:space="preserve">Como se mencionó anteriormente, </w:t>
      </w:r>
      <w:r w:rsidR="005150EF">
        <w:rPr>
          <w:rFonts w:ascii="Calibri" w:hAnsi="Calibri" w:cs="Calibri"/>
          <w:lang w:val="es-GT"/>
        </w:rPr>
        <w:t xml:space="preserve">es posible identificar </w:t>
      </w:r>
      <w:r w:rsidR="00B93911" w:rsidRPr="001A01AB">
        <w:rPr>
          <w:rFonts w:ascii="Calibri" w:hAnsi="Calibri" w:cs="Calibri"/>
          <w:lang w:val="es-GT"/>
        </w:rPr>
        <w:t xml:space="preserve">los factores críticos para la decisión </w:t>
      </w:r>
      <w:r>
        <w:rPr>
          <w:rFonts w:ascii="Calibri" w:hAnsi="Calibri" w:cs="Calibri"/>
          <w:lang w:val="es-GT"/>
        </w:rPr>
        <w:t>a partir del análisis de las intersecciones</w:t>
      </w:r>
      <w:r w:rsidR="00B93911" w:rsidRPr="001A01AB">
        <w:rPr>
          <w:rFonts w:ascii="Calibri" w:hAnsi="Calibri" w:cs="Calibri"/>
          <w:lang w:val="es-GT"/>
        </w:rPr>
        <w:t xml:space="preserve"> entre las Cuestiones Estratégicas (CE) </w:t>
      </w:r>
      <w:r w:rsidR="005150EF">
        <w:rPr>
          <w:rFonts w:ascii="Calibri" w:hAnsi="Calibri" w:cs="Calibri"/>
          <w:lang w:val="es-GT"/>
        </w:rPr>
        <w:t xml:space="preserve">primordiales, </w:t>
      </w:r>
      <w:r w:rsidR="00B93911" w:rsidRPr="001A01AB">
        <w:rPr>
          <w:rFonts w:ascii="Calibri" w:hAnsi="Calibri" w:cs="Calibri"/>
          <w:lang w:val="es-GT"/>
        </w:rPr>
        <w:t>definidas a partir del Objetivo Estratégico (OE), los principales Aspectos Socio-Ambientales (ASA) y el Marco de Referencia Estratégica (MRE) establecido</w:t>
      </w:r>
      <w:r w:rsidR="00506FEB">
        <w:rPr>
          <w:rFonts w:ascii="Calibri" w:hAnsi="Calibri" w:cs="Calibri"/>
          <w:lang w:val="es-GT"/>
        </w:rPr>
        <w:t xml:space="preserve"> (</w:t>
      </w:r>
      <w:r w:rsidR="00B93911" w:rsidRPr="001A01AB">
        <w:rPr>
          <w:rFonts w:ascii="Calibri" w:hAnsi="Calibri" w:cs="Calibri"/>
          <w:lang w:val="es-GT"/>
        </w:rPr>
        <w:t xml:space="preserve">Figura </w:t>
      </w:r>
      <w:r w:rsidR="00B9385E">
        <w:rPr>
          <w:rFonts w:ascii="Calibri" w:hAnsi="Calibri" w:cs="Calibri"/>
          <w:lang w:val="es-GT"/>
        </w:rPr>
        <w:t>3</w:t>
      </w:r>
      <w:r w:rsidR="00506FEB">
        <w:rPr>
          <w:rFonts w:ascii="Calibri" w:hAnsi="Calibri" w:cs="Calibri"/>
          <w:lang w:val="es-GT"/>
        </w:rPr>
        <w:t>)</w:t>
      </w:r>
      <w:r w:rsidR="00B93911" w:rsidRPr="001A01AB">
        <w:rPr>
          <w:rFonts w:ascii="Calibri" w:hAnsi="Calibri" w:cs="Calibri"/>
          <w:lang w:val="es-GT"/>
        </w:rPr>
        <w:t>.</w:t>
      </w:r>
    </w:p>
    <w:p w:rsidR="005150EF" w:rsidRDefault="005150EF" w:rsidP="00A13498">
      <w:pPr>
        <w:ind w:left="360"/>
        <w:jc w:val="both"/>
        <w:rPr>
          <w:rFonts w:ascii="Calibri" w:hAnsi="Calibri" w:cs="Calibri"/>
          <w:lang w:val="es-GT"/>
        </w:rPr>
      </w:pPr>
    </w:p>
    <w:p w:rsidR="00C470CE" w:rsidRDefault="00C470CE" w:rsidP="00190F37">
      <w:pPr>
        <w:spacing w:after="120"/>
        <w:jc w:val="center"/>
        <w:rPr>
          <w:rFonts w:ascii="Calibri" w:eastAsia="Calibri" w:hAnsi="Calibri" w:cs="Calibri"/>
          <w:b/>
          <w:color w:val="365F91"/>
          <w:sz w:val="22"/>
          <w:szCs w:val="22"/>
          <w:lang w:val="es-GT"/>
        </w:rPr>
      </w:pPr>
    </w:p>
    <w:p w:rsidR="00B93911" w:rsidRPr="001A01AB" w:rsidRDefault="00B93911" w:rsidP="00190F37">
      <w:pPr>
        <w:spacing w:after="120"/>
        <w:jc w:val="center"/>
        <w:rPr>
          <w:rFonts w:ascii="Calibri" w:eastAsia="Calibri" w:hAnsi="Calibri" w:cs="Calibri"/>
          <w:b/>
          <w:color w:val="365F91"/>
          <w:sz w:val="22"/>
          <w:szCs w:val="22"/>
          <w:lang w:val="es-GT"/>
        </w:rPr>
      </w:pPr>
      <w:bookmarkStart w:id="37" w:name="_Toc347841226"/>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3</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Elementos cla</w:t>
      </w:r>
      <w:r w:rsidR="005150EF">
        <w:rPr>
          <w:rFonts w:ascii="Calibri" w:eastAsia="Calibri" w:hAnsi="Calibri" w:cs="Calibri"/>
          <w:b/>
          <w:color w:val="365F91"/>
          <w:sz w:val="22"/>
          <w:szCs w:val="22"/>
          <w:lang w:val="es-GT"/>
        </w:rPr>
        <w:t>v</w:t>
      </w:r>
      <w:r w:rsidRPr="001A01AB">
        <w:rPr>
          <w:rFonts w:ascii="Calibri" w:eastAsia="Calibri" w:hAnsi="Calibri" w:cs="Calibri"/>
          <w:b/>
          <w:color w:val="365F91"/>
          <w:sz w:val="22"/>
          <w:szCs w:val="22"/>
          <w:lang w:val="es-GT"/>
        </w:rPr>
        <w:t>e para la identificación de Factores Críticos para la Decisión</w:t>
      </w:r>
      <w:bookmarkEnd w:id="37"/>
    </w:p>
    <w:p w:rsidR="00B93911" w:rsidRPr="001A01AB" w:rsidRDefault="00544A9F" w:rsidP="00B93911">
      <w:pPr>
        <w:jc w:val="center"/>
        <w:rPr>
          <w:rFonts w:ascii="Calibri" w:eastAsia="Calibri" w:hAnsi="Calibri" w:cs="Calibri"/>
          <w:b/>
          <w:sz w:val="20"/>
          <w:szCs w:val="22"/>
          <w:lang w:val="es-GT"/>
        </w:rPr>
      </w:pPr>
      <w:r>
        <w:rPr>
          <w:noProof/>
          <w:lang w:val="es-GT" w:eastAsia="es-GT"/>
        </w:rPr>
        <mc:AlternateContent>
          <mc:Choice Requires="wpg">
            <w:drawing>
              <wp:inline distT="0" distB="0" distL="0" distR="0" wp14:anchorId="05919299" wp14:editId="3CB1ADFB">
                <wp:extent cx="2264410" cy="3077845"/>
                <wp:effectExtent l="9525" t="9525" r="12065" b="8255"/>
                <wp:docPr id="126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4410" cy="3077845"/>
                          <a:chOff x="3124200" y="1143000"/>
                          <a:chExt cx="2405063" cy="3786188"/>
                        </a:xfrm>
                      </wpg:grpSpPr>
                      <wps:wsp>
                        <wps:cNvPr id="1264" name="AutoShape 10"/>
                        <wps:cNvSpPr>
                          <a:spLocks noChangeAspect="1" noChangeArrowheads="1" noTextEdit="1"/>
                        </wps:cNvSpPr>
                        <wps:spPr bwMode="auto">
                          <a:xfrm>
                            <a:off x="3124200" y="1905000"/>
                            <a:ext cx="2405063" cy="302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4ACC" w:rsidRDefault="00C54ACC" w:rsidP="00E55C79"/>
                          </w:txbxContent>
                        </wps:txbx>
                        <wps:bodyPr rot="0" vert="horz" wrap="square" lIns="91440" tIns="45720" rIns="91440" bIns="45720" anchor="t" anchorCtr="0" upright="1">
                          <a:noAutofit/>
                        </wps:bodyPr>
                      </wps:wsp>
                      <wps:wsp>
                        <wps:cNvPr id="1265" name="Oval 9"/>
                        <wps:cNvSpPr>
                          <a:spLocks noChangeArrowheads="1"/>
                        </wps:cNvSpPr>
                        <wps:spPr bwMode="auto">
                          <a:xfrm>
                            <a:off x="3124200" y="1905000"/>
                            <a:ext cx="1441819" cy="1439490"/>
                          </a:xfrm>
                          <a:prstGeom prst="ellipse">
                            <a:avLst/>
                          </a:prstGeom>
                          <a:solidFill>
                            <a:srgbClr val="BBE0E3">
                              <a:alpha val="54901"/>
                            </a:srgbClr>
                          </a:solidFill>
                          <a:ln w="9525">
                            <a:solidFill>
                              <a:srgbClr val="000000"/>
                            </a:solidFill>
                            <a:round/>
                            <a:headEnd/>
                            <a:tailEnd/>
                          </a:ln>
                        </wps:spPr>
                        <wps:txbx>
                          <w:txbxContent>
                            <w:p w:rsidR="00C54ACC" w:rsidRDefault="00C54AC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CE</w:t>
                              </w:r>
                            </w:p>
                          </w:txbxContent>
                        </wps:txbx>
                        <wps:bodyPr rot="0" vert="horz" wrap="square" lIns="91440" tIns="45720" rIns="91440" bIns="45720" anchor="ctr" anchorCtr="0" upright="1">
                          <a:noAutofit/>
                        </wps:bodyPr>
                      </wps:wsp>
                      <wps:wsp>
                        <wps:cNvPr id="1266" name="Oval 8"/>
                        <wps:cNvSpPr>
                          <a:spLocks noChangeArrowheads="1"/>
                        </wps:cNvSpPr>
                        <wps:spPr bwMode="auto">
                          <a:xfrm>
                            <a:off x="4060772" y="1905000"/>
                            <a:ext cx="1441819" cy="1439490"/>
                          </a:xfrm>
                          <a:prstGeom prst="ellipse">
                            <a:avLst/>
                          </a:prstGeom>
                          <a:solidFill>
                            <a:srgbClr val="FFFF99">
                              <a:alpha val="54901"/>
                            </a:srgbClr>
                          </a:solidFill>
                          <a:ln w="9525">
                            <a:solidFill>
                              <a:srgbClr val="000000"/>
                            </a:solidFill>
                            <a:round/>
                            <a:headEnd/>
                            <a:tailEnd/>
                          </a:ln>
                        </wps:spPr>
                        <wps:txbx>
                          <w:txbxContent>
                            <w:p w:rsidR="00C54ACC" w:rsidRDefault="00C54AC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 xml:space="preserve"> MRE</w:t>
                              </w:r>
                            </w:p>
                          </w:txbxContent>
                        </wps:txbx>
                        <wps:bodyPr rot="0" vert="horz" wrap="square" lIns="91440" tIns="45720" rIns="91440" bIns="45720" anchor="ctr" anchorCtr="0" upright="1">
                          <a:noAutofit/>
                        </wps:bodyPr>
                      </wps:wsp>
                      <wps:wsp>
                        <wps:cNvPr id="1267" name="Oval 7"/>
                        <wps:cNvSpPr>
                          <a:spLocks noChangeArrowheads="1"/>
                        </wps:cNvSpPr>
                        <wps:spPr bwMode="auto">
                          <a:xfrm>
                            <a:off x="3556288" y="2696979"/>
                            <a:ext cx="1441056" cy="1440231"/>
                          </a:xfrm>
                          <a:prstGeom prst="ellipse">
                            <a:avLst/>
                          </a:prstGeom>
                          <a:solidFill>
                            <a:srgbClr val="CCFFCC">
                              <a:alpha val="54901"/>
                            </a:srgbClr>
                          </a:solidFill>
                          <a:ln w="9525">
                            <a:solidFill>
                              <a:srgbClr val="000000"/>
                            </a:solidFill>
                            <a:round/>
                            <a:headEnd/>
                            <a:tailEnd/>
                          </a:ln>
                        </wps:spPr>
                        <wps:txbx>
                          <w:txbxContent>
                            <w:p w:rsidR="00C54ACC" w:rsidRDefault="00C54ACC" w:rsidP="00E55C79">
                              <w:pPr>
                                <w:pStyle w:val="NormalWeb"/>
                                <w:spacing w:before="0" w:beforeAutospacing="0" w:after="0" w:afterAutospacing="0"/>
                                <w:jc w:val="center"/>
                                <w:textAlignment w:val="baseline"/>
                                <w:rPr>
                                  <w:rFonts w:ascii="Arial" w:hAnsi="Arial" w:cs="Arial"/>
                                  <w:color w:val="000000"/>
                                  <w:kern w:val="24"/>
                                  <w:sz w:val="36"/>
                                  <w:szCs w:val="36"/>
                                  <w:lang w:val="en-US"/>
                                </w:rPr>
                              </w:pPr>
                            </w:p>
                            <w:p w:rsidR="00C54ACC" w:rsidRDefault="00C54ACC" w:rsidP="00E55C79">
                              <w:pPr>
                                <w:pStyle w:val="NormalWeb"/>
                                <w:spacing w:before="0" w:beforeAutospacing="0" w:after="0" w:afterAutospacing="0"/>
                                <w:jc w:val="center"/>
                                <w:textAlignment w:val="baseline"/>
                                <w:rPr>
                                  <w:rFonts w:ascii="Arial" w:hAnsi="Arial" w:cs="Arial"/>
                                  <w:color w:val="000000"/>
                                  <w:kern w:val="24"/>
                                  <w:sz w:val="36"/>
                                  <w:szCs w:val="36"/>
                                  <w:lang w:val="en-US"/>
                                </w:rPr>
                              </w:pPr>
                            </w:p>
                            <w:p w:rsidR="00C54ACC" w:rsidRDefault="00C54AC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ASA</w:t>
                              </w:r>
                            </w:p>
                          </w:txbxContent>
                        </wps:txbx>
                        <wps:bodyPr rot="0" vert="horz" wrap="square" lIns="91440" tIns="45720" rIns="91440" bIns="45720" anchor="ctr" anchorCtr="0" upright="1">
                          <a:noAutofit/>
                        </wps:bodyPr>
                      </wps:wsp>
                      <wps:wsp>
                        <wps:cNvPr id="1268" name="Text Box 6"/>
                        <wps:cNvSpPr txBox="1">
                          <a:spLocks noChangeArrowheads="1"/>
                        </wps:cNvSpPr>
                        <wps:spPr bwMode="auto">
                          <a:xfrm>
                            <a:off x="4060772" y="2738554"/>
                            <a:ext cx="524298" cy="291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4ACC" w:rsidRPr="00506FEB" w:rsidRDefault="00C54ACC" w:rsidP="00E55C79">
                              <w:pPr>
                                <w:pStyle w:val="NormalWeb"/>
                                <w:spacing w:before="0" w:beforeAutospacing="0" w:after="0" w:afterAutospacing="0"/>
                                <w:textAlignment w:val="baseline"/>
                                <w:rPr>
                                  <w:sz w:val="20"/>
                                </w:rPr>
                              </w:pPr>
                              <w:r w:rsidRPr="00506FEB">
                                <w:rPr>
                                  <w:rFonts w:ascii="Arial" w:hAnsi="Arial" w:cs="Arial"/>
                                  <w:b/>
                                  <w:bCs/>
                                  <w:color w:val="000000"/>
                                  <w:kern w:val="24"/>
                                  <w:sz w:val="22"/>
                                  <w:szCs w:val="26"/>
                                  <w:lang w:val="en-US"/>
                                </w:rPr>
                                <w:t>FCD</w:t>
                              </w:r>
                            </w:p>
                          </w:txbxContent>
                        </wps:txbx>
                        <wps:bodyPr rot="0" vert="horz" wrap="square" lIns="91440" tIns="45720" rIns="91440" bIns="45720" anchor="t" anchorCtr="0" upright="1">
                          <a:noAutofit/>
                        </wps:bodyPr>
                      </wps:wsp>
                      <wps:wsp>
                        <wps:cNvPr id="1269" name="AutoShape 5"/>
                        <wps:cNvSpPr>
                          <a:spLocks/>
                        </wps:cNvSpPr>
                        <wps:spPr bwMode="auto">
                          <a:xfrm rot="5400000">
                            <a:off x="4218936" y="3562766"/>
                            <a:ext cx="215590" cy="1511166"/>
                          </a:xfrm>
                          <a:prstGeom prst="rightBrace">
                            <a:avLst>
                              <a:gd name="adj1" fmla="val 56789"/>
                              <a:gd name="adj2"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54ACC" w:rsidRDefault="00C54ACC" w:rsidP="00E55C79"/>
                          </w:txbxContent>
                        </wps:txbx>
                        <wps:bodyPr rot="0" vert="horz" wrap="square" lIns="91440" tIns="45720" rIns="91440" bIns="45720" anchor="ctr" anchorCtr="0" upright="1">
                          <a:noAutofit/>
                        </wps:bodyPr>
                      </wps:wsp>
                      <wps:wsp>
                        <wps:cNvPr id="1270" name="Rectangle 4"/>
                        <wps:cNvSpPr>
                          <a:spLocks noChangeArrowheads="1"/>
                        </wps:cNvSpPr>
                        <wps:spPr bwMode="auto">
                          <a:xfrm>
                            <a:off x="3124200" y="4570612"/>
                            <a:ext cx="2405063" cy="358576"/>
                          </a:xfrm>
                          <a:prstGeom prst="rect">
                            <a:avLst/>
                          </a:prstGeom>
                          <a:solidFill>
                            <a:srgbClr val="FF99CC"/>
                          </a:solidFill>
                          <a:ln w="9525">
                            <a:solidFill>
                              <a:srgbClr val="000000"/>
                            </a:solidFill>
                            <a:miter lim="800000"/>
                            <a:headEnd/>
                            <a:tailEnd/>
                          </a:ln>
                        </wps:spPr>
                        <wps:txbx>
                          <w:txbxContent>
                            <w:p w:rsidR="00C54ACC" w:rsidRDefault="00C54ACC" w:rsidP="00E55C79">
                              <w:pPr>
                                <w:pStyle w:val="NormalWeb"/>
                                <w:spacing w:before="0" w:beforeAutospacing="0" w:after="0" w:afterAutospacing="0"/>
                                <w:jc w:val="center"/>
                                <w:textAlignment w:val="baseline"/>
                              </w:pPr>
                              <w:r w:rsidRPr="00506FEB">
                                <w:rPr>
                                  <w:rFonts w:ascii="Arial" w:hAnsi="Arial" w:cs="Arial"/>
                                  <w:b/>
                                  <w:bCs/>
                                  <w:color w:val="000000"/>
                                  <w:kern w:val="24"/>
                                  <w:sz w:val="28"/>
                                  <w:szCs w:val="32"/>
                                </w:rPr>
                                <w:t xml:space="preserve">Opciones </w:t>
                              </w:r>
                              <w:r>
                                <w:rPr>
                                  <w:rFonts w:ascii="Arial" w:hAnsi="Arial" w:cs="Arial"/>
                                  <w:b/>
                                  <w:bCs/>
                                  <w:color w:val="000000"/>
                                  <w:kern w:val="24"/>
                                  <w:sz w:val="32"/>
                                  <w:szCs w:val="32"/>
                                </w:rPr>
                                <w:t>estratégicas</w:t>
                              </w:r>
                            </w:p>
                          </w:txbxContent>
                        </wps:txbx>
                        <wps:bodyPr rot="0" vert="horz" wrap="square" lIns="91440" tIns="45720" rIns="91440" bIns="45720" anchor="ctr" anchorCtr="0" upright="1">
                          <a:noAutofit/>
                        </wps:bodyPr>
                      </wps:wsp>
                      <wps:wsp>
                        <wps:cNvPr id="1271" name="Rectangle 17"/>
                        <wps:cNvSpPr>
                          <a:spLocks noChangeArrowheads="1"/>
                        </wps:cNvSpPr>
                        <wps:spPr bwMode="auto">
                          <a:xfrm>
                            <a:off x="3445059" y="1143000"/>
                            <a:ext cx="800100" cy="457200"/>
                          </a:xfrm>
                          <a:prstGeom prst="rect">
                            <a:avLst/>
                          </a:prstGeom>
                          <a:solidFill>
                            <a:srgbClr val="FFCC99"/>
                          </a:solidFill>
                          <a:ln w="9525">
                            <a:solidFill>
                              <a:srgbClr val="000000"/>
                            </a:solidFill>
                            <a:miter lim="800000"/>
                            <a:headEnd/>
                            <a:tailEnd/>
                          </a:ln>
                        </wps:spPr>
                        <wps:txbx>
                          <w:txbxContent>
                            <w:p w:rsidR="00C54ACC" w:rsidRDefault="00C54ACC" w:rsidP="00E55C79">
                              <w:pPr>
                                <w:pStyle w:val="NormalWeb"/>
                                <w:spacing w:before="0" w:beforeAutospacing="0" w:after="200" w:afterAutospacing="0"/>
                                <w:jc w:val="center"/>
                                <w:textAlignment w:val="baseline"/>
                              </w:pPr>
                              <w:r>
                                <w:rPr>
                                  <w:rFonts w:ascii="Arial" w:hAnsi="Arial" w:cs="Arial"/>
                                  <w:color w:val="000000"/>
                                  <w:kern w:val="24"/>
                                  <w:sz w:val="36"/>
                                  <w:szCs w:val="36"/>
                                  <w:lang w:val="en-US"/>
                                </w:rPr>
                                <w:t>OE</w:t>
                              </w:r>
                            </w:p>
                          </w:txbxContent>
                        </wps:txbx>
                        <wps:bodyPr rot="0" vert="horz" wrap="square" lIns="91440" tIns="45720" rIns="91440" bIns="45720" anchor="t" anchorCtr="0" upright="1">
                          <a:noAutofit/>
                        </wps:bodyPr>
                      </wps:wsp>
                      <wps:wsp>
                        <wps:cNvPr id="1272" name="Straight Arrow Connector 15"/>
                        <wps:cNvCnPr>
                          <a:cxnSpLocks noChangeShapeType="1"/>
                          <a:stCxn id="1271" idx="2"/>
                          <a:endCxn id="1265" idx="0"/>
                        </wps:cNvCnPr>
                        <wps:spPr bwMode="auto">
                          <a:xfrm>
                            <a:off x="3845109" y="1600200"/>
                            <a:ext cx="1" cy="304800"/>
                          </a:xfrm>
                          <a:prstGeom prst="straightConnector1">
                            <a:avLst/>
                          </a:prstGeom>
                          <a:noFill/>
                          <a:ln w="1587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16" o:spid="_x0000_s1026" style="width:178.3pt;height:242.35pt;mso-position-horizontal-relative:char;mso-position-vertical-relative:line" coordorigin="31242,11430" coordsize="24050,37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">
                <v:rect id="AutoShape 10" o:spid="_x0000_s1027" style="position:absolute;left:31242;top:19050;width:24050;height:30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5yHMQA&#10;AADdAAAADwAAAGRycy9kb3ducmV2LnhtbERP22rCQBB9L/gPywi+lLpRREqajYgghiJI4+V5yE6T&#10;0OxszK5J+vfdQqFvczjXSTajaURPnastK1jMIxDEhdU1lwou5/3LKwjnkTU2lknBNznYpJOnBGNt&#10;B/6gPvelCCHsYlRQed/GUrqiIoNublviwH3azqAPsCul7nAI4aaRyyhaS4M1h4YKW9pVVHzlD6Ng&#10;KE797Xw8yNPzLbN8z+67/Pqu1Gw6bt9AeBr9v/jPnekwf7lewe834QS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uchzEAAAA3QAAAA8AAAAAAAAAAAAAAAAAmAIAAGRycy9k&#10;b3ducmV2LnhtbFBLBQYAAAAABAAEAPUAAACJAwAAAAA=&#10;" filled="f" stroked="f">
                  <o:lock v:ext="edit" aspectratio="t" text="t"/>
                  <v:textbox>
                    <w:txbxContent>
                      <w:p w:rsidR="00C54ACC" w:rsidRDefault="00C54ACC" w:rsidP="00E55C79"/>
                    </w:txbxContent>
                  </v:textbox>
                </v:rect>
                <v:oval id="Oval 9" o:spid="_x0000_s1028" style="position:absolute;left:31242;top:19050;width:14418;height:14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GHdsEA&#10;AADdAAAADwAAAGRycy9kb3ducmV2LnhtbERPS4vCMBC+L/gfwgheFk11UaQaRdwV9qAHX/exGZti&#10;MylN1PrvjSB4m4/vOdN5Y0txo9oXjhX0ewkI4szpgnMFh/2qOwbhA7LG0jEpeJCH+az1NcVUuztv&#10;6bYLuYgh7FNUYEKoUil9Zsii77mKOHJnV1sMEda51DXeY7gt5SBJRtJiwbHBYEVLQ9lld7UK9Pq8&#10;Cvn199T/+zEHZzaldd9HpTrtZjEBEagJH/Hb/a/j/MFoCK9v4gly9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Bh3bBAAAA3QAAAA8AAAAAAAAAAAAAAAAAmAIAAGRycy9kb3du&#10;cmV2LnhtbFBLBQYAAAAABAAEAPUAAACGAwAAAAA=&#10;" fillcolor="#bbe0e3">
                  <v:fill opacity="35980f"/>
                  <v:textbox>
                    <w:txbxContent>
                      <w:p w:rsidR="00C54ACC" w:rsidRDefault="00C54AC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CE</w:t>
                        </w:r>
                      </w:p>
                    </w:txbxContent>
                  </v:textbox>
                </v:oval>
                <v:oval id="Oval 8" o:spid="_x0000_s1029" style="position:absolute;left:40607;top:19050;width:14418;height:14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DV0cIA&#10;AADdAAAADwAAAGRycy9kb3ducmV2LnhtbERPTYvCMBC9C/6HMAveNG3BIl2juILowcOqe9nb0Mw2&#10;xWZSmqjVX78RBG/zeJ8zX/a2EVfqfO1YQTpJQBCXTtdcKfg5bcYzED4ga2wck4I7eVguhoM5Ftrd&#10;+EDXY6hEDGFfoAITQltI6UtDFv3EtcSR+3OdxRBhV0nd4S2G20ZmSZJLizXHBoMtrQ2V5+PFKnDf&#10;5pHuf/V+yzLrU3k5TB/4pdToo199ggjUh7f45d7pOD/Lc3h+E0+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UNXRwgAAAN0AAAAPAAAAAAAAAAAAAAAAAJgCAABkcnMvZG93&#10;bnJldi54bWxQSwUGAAAAAAQABAD1AAAAhwMAAAAA&#10;" fillcolor="#ff9">
                  <v:fill opacity="35980f"/>
                  <v:textbox>
                    <w:txbxContent>
                      <w:p w:rsidR="00C54ACC" w:rsidRDefault="00C54AC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 xml:space="preserve"> MRE</w:t>
                        </w:r>
                      </w:p>
                    </w:txbxContent>
                  </v:textbox>
                </v:oval>
                <v:oval id="Oval 7" o:spid="_x0000_s1030" style="position:absolute;left:35562;top:26969;width:14411;height:14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Km48MA&#10;AADdAAAADwAAAGRycy9kb3ducmV2LnhtbERPTWvCQBC9C/6HZYTedKMHLamrtIVAoL0k7cXbkB2T&#10;bbOzMbuNqb/eFQRv83ifs92PthUD9d44VrBcJCCIK6cN1wq+v7L5MwgfkDW2jknBP3nY76aTLaba&#10;nbmgoQy1iCHsU1TQhNClUvqqIYt+4TriyB1dbzFE2NdS93iO4baVqyRZS4uGY0ODHb03VP2Wf1aB&#10;PBSXj+z0luX84zIyB3P8dEapp9n4+gIi0Bge4rs713H+ar2B2zfxBL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Km48MAAADdAAAADwAAAAAAAAAAAAAAAACYAgAAZHJzL2Rv&#10;d25yZXYueG1sUEsFBgAAAAAEAAQA9QAAAIgDAAAAAA==&#10;" fillcolor="#cfc">
                  <v:fill opacity="35980f"/>
                  <v:textbox>
                    <w:txbxContent>
                      <w:p w:rsidR="00C54ACC" w:rsidRDefault="00C54ACC" w:rsidP="00E55C79">
                        <w:pPr>
                          <w:pStyle w:val="NormalWeb"/>
                          <w:spacing w:before="0" w:beforeAutospacing="0" w:after="0" w:afterAutospacing="0"/>
                          <w:jc w:val="center"/>
                          <w:textAlignment w:val="baseline"/>
                          <w:rPr>
                            <w:rFonts w:ascii="Arial" w:hAnsi="Arial" w:cs="Arial"/>
                            <w:color w:val="000000"/>
                            <w:kern w:val="24"/>
                            <w:sz w:val="36"/>
                            <w:szCs w:val="36"/>
                            <w:lang w:val="en-US"/>
                          </w:rPr>
                        </w:pPr>
                      </w:p>
                      <w:p w:rsidR="00C54ACC" w:rsidRDefault="00C54ACC" w:rsidP="00E55C79">
                        <w:pPr>
                          <w:pStyle w:val="NormalWeb"/>
                          <w:spacing w:before="0" w:beforeAutospacing="0" w:after="0" w:afterAutospacing="0"/>
                          <w:jc w:val="center"/>
                          <w:textAlignment w:val="baseline"/>
                          <w:rPr>
                            <w:rFonts w:ascii="Arial" w:hAnsi="Arial" w:cs="Arial"/>
                            <w:color w:val="000000"/>
                            <w:kern w:val="24"/>
                            <w:sz w:val="36"/>
                            <w:szCs w:val="36"/>
                            <w:lang w:val="en-US"/>
                          </w:rPr>
                        </w:pPr>
                      </w:p>
                      <w:p w:rsidR="00C54ACC" w:rsidRDefault="00C54ACC" w:rsidP="00E55C79">
                        <w:pPr>
                          <w:pStyle w:val="NormalWeb"/>
                          <w:spacing w:before="0" w:beforeAutospacing="0" w:after="0" w:afterAutospacing="0"/>
                          <w:jc w:val="center"/>
                          <w:textAlignment w:val="baseline"/>
                        </w:pPr>
                        <w:r>
                          <w:rPr>
                            <w:rFonts w:ascii="Arial" w:hAnsi="Arial" w:cs="Arial"/>
                            <w:color w:val="000000"/>
                            <w:kern w:val="24"/>
                            <w:sz w:val="36"/>
                            <w:szCs w:val="36"/>
                            <w:lang w:val="en-US"/>
                          </w:rPr>
                          <w:t>ASA</w:t>
                        </w:r>
                      </w:p>
                    </w:txbxContent>
                  </v:textbox>
                </v:oval>
                <v:shapetype id="_x0000_t202" coordsize="21600,21600" o:spt="202" path="m,l,21600r21600,l21600,xe">
                  <v:stroke joinstyle="miter"/>
                  <v:path gradientshapeok="t" o:connecttype="rect"/>
                </v:shapetype>
                <v:shape id="Text Box 6" o:spid="_x0000_s1031" type="#_x0000_t202" style="position:absolute;left:40607;top:27385;width:5243;height:2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TgbMUA&#10;AADdAAAADwAAAGRycy9kb3ducmV2LnhtbESPQWvCQBCF7wX/wzKCt7qrtGKjq4il4MnS2Ba8Ddkx&#10;CWZnQ3Zr4r/vHAq9zfDevPfNejv4Rt2oi3VgC7OpAUVcBFdzaeHz9Pa4BBUTssMmMFm4U4TtZvSw&#10;xsyFnj/olqdSSQjHDC1UKbWZ1rGoyGOchpZYtEvoPCZZu1K7DnsJ942eG7PQHmuWhgpb2ldUXPMf&#10;b+HreDl/P5n38tU/t30YjGb/oq2djIfdClSiIf2b/64PTvDnC8GV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BsxQAAAN0AAAAPAAAAAAAAAAAAAAAAAJgCAABkcnMv&#10;ZG93bnJldi54bWxQSwUGAAAAAAQABAD1AAAAigMAAAAA&#10;" filled="f" stroked="f">
                  <v:textbox>
                    <w:txbxContent>
                      <w:p w:rsidR="00C54ACC" w:rsidRPr="00506FEB" w:rsidRDefault="00C54ACC" w:rsidP="00E55C79">
                        <w:pPr>
                          <w:pStyle w:val="NormalWeb"/>
                          <w:spacing w:before="0" w:beforeAutospacing="0" w:after="0" w:afterAutospacing="0"/>
                          <w:textAlignment w:val="baseline"/>
                          <w:rPr>
                            <w:sz w:val="20"/>
                          </w:rPr>
                        </w:pPr>
                        <w:r w:rsidRPr="00506FEB">
                          <w:rPr>
                            <w:rFonts w:ascii="Arial" w:hAnsi="Arial" w:cs="Arial"/>
                            <w:b/>
                            <w:bCs/>
                            <w:color w:val="000000"/>
                            <w:kern w:val="24"/>
                            <w:sz w:val="22"/>
                            <w:szCs w:val="26"/>
                            <w:lang w:val="en-US"/>
                          </w:rPr>
                          <w:t>FCD</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5" o:spid="_x0000_s1032" type="#_x0000_t88" style="position:absolute;left:42189;top:35627;width:2156;height:151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T68QA&#10;AADdAAAADwAAAGRycy9kb3ducmV2LnhtbERPTU8CMRC9m/gfmiHxJl02kchCISpROSqYeJ1sh+3i&#10;dtptC6z8emti4m1e3ucsVoPtxIlCbB0rmIwLEMS10y03Cj52z7f3IGJC1tg5JgXfFGG1vL5aYKXd&#10;md/ptE2NyCEcK1RgUvKVlLE2ZDGOnSfO3N4FiynD0Egd8JzDbSfLophKiy3nBoOengzVX9ujVfC4&#10;78v+5dOsj3eXzZsP/rJ+7Q9K3YyGhzmIREP6F/+5NzrPL6cz+P0mn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UU+vEAAAA3QAAAA8AAAAAAAAAAAAAAAAAmAIAAGRycy9k&#10;b3ducmV2LnhtbFBLBQYAAAAABAAEAPUAAACJAwAAAAA=&#10;" adj="1750" strokeweight="1.5pt">
                  <v:textbox>
                    <w:txbxContent>
                      <w:p w:rsidR="00C54ACC" w:rsidRDefault="00C54ACC" w:rsidP="00E55C79"/>
                    </w:txbxContent>
                  </v:textbox>
                </v:shape>
                <v:rect id="Rectangle 4" o:spid="_x0000_s1033" style="position:absolute;left:31242;top:45706;width:24050;height:3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1TKMYA&#10;AADdAAAADwAAAGRycy9kb3ducmV2LnhtbESPQW/CMAyF75P2HyJP2m2kA2mgQkDrpk4TNwoHjlZj&#10;2kLjVE1Wuv36+YDEzdZ7fu/zajO6Vg3Uh8azgddJAoq49LbhysBhn78sQIWIbLH1TAZ+KcBm/fiw&#10;wtT6K+9oKGKlJIRDigbqGLtU61DW5DBMfEcs2sn3DqOsfaVtj1cJd62eJsmbdtiwNNTY0UdN5aX4&#10;cQaKvJr9udNWz/Iky7LheP7ahk9jnp/G9yWoSGO8m2/X31bwp3P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1TKMYAAADdAAAADwAAAAAAAAAAAAAAAACYAgAAZHJz&#10;L2Rvd25yZXYueG1sUEsFBgAAAAAEAAQA9QAAAIsDAAAAAA==&#10;" fillcolor="#f9c">
                  <v:textbox>
                    <w:txbxContent>
                      <w:p w:rsidR="00C54ACC" w:rsidRDefault="00C54ACC" w:rsidP="00E55C79">
                        <w:pPr>
                          <w:pStyle w:val="NormalWeb"/>
                          <w:spacing w:before="0" w:beforeAutospacing="0" w:after="0" w:afterAutospacing="0"/>
                          <w:jc w:val="center"/>
                          <w:textAlignment w:val="baseline"/>
                        </w:pPr>
                        <w:r w:rsidRPr="00506FEB">
                          <w:rPr>
                            <w:rFonts w:ascii="Arial" w:hAnsi="Arial" w:cs="Arial"/>
                            <w:b/>
                            <w:bCs/>
                            <w:color w:val="000000"/>
                            <w:kern w:val="24"/>
                            <w:sz w:val="28"/>
                            <w:szCs w:val="32"/>
                          </w:rPr>
                          <w:t xml:space="preserve">Opciones </w:t>
                        </w:r>
                        <w:r>
                          <w:rPr>
                            <w:rFonts w:ascii="Arial" w:hAnsi="Arial" w:cs="Arial"/>
                            <w:b/>
                            <w:bCs/>
                            <w:color w:val="000000"/>
                            <w:kern w:val="24"/>
                            <w:sz w:val="32"/>
                            <w:szCs w:val="32"/>
                          </w:rPr>
                          <w:t>estratégicas</w:t>
                        </w:r>
                      </w:p>
                    </w:txbxContent>
                  </v:textbox>
                </v:rect>
                <v:rect id="Rectangle 17" o:spid="_x0000_s1034" style="position:absolute;left:34450;top:11430;width:800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whlsEA&#10;AADdAAAADwAAAGRycy9kb3ducmV2LnhtbERPPWvDMBDdC/0P4grdGtkenOJGNiFQaEYnHZrtsC62&#10;qXUSkhI7/z4qFLLd433eplnMJK7kw2hZQb7KQBB3Vo/cK/g+fr69gwgRWeNkmRTcKEBTPz9tsNJ2&#10;5pauh9iLFMKhQgVDjK6SMnQDGQwr64gTd7beYEzQ91J7nFO4mWSRZaU0OHJqGNDRbqDu93AxCly+&#10;b9v5dNwbF7LCX84/VJZWqdeXZfsBItISH+J/95dO84t1Dn/fpBNk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MIZbBAAAA3QAAAA8AAAAAAAAAAAAAAAAAmAIAAGRycy9kb3du&#10;cmV2LnhtbFBLBQYAAAAABAAEAPUAAACGAwAAAAA=&#10;" fillcolor="#fc9">
                  <v:textbox>
                    <w:txbxContent>
                      <w:p w:rsidR="00C54ACC" w:rsidRDefault="00C54ACC" w:rsidP="00E55C79">
                        <w:pPr>
                          <w:pStyle w:val="NormalWeb"/>
                          <w:spacing w:before="0" w:beforeAutospacing="0" w:after="200" w:afterAutospacing="0"/>
                          <w:jc w:val="center"/>
                          <w:textAlignment w:val="baseline"/>
                        </w:pPr>
                        <w:r>
                          <w:rPr>
                            <w:rFonts w:ascii="Arial" w:hAnsi="Arial" w:cs="Arial"/>
                            <w:color w:val="000000"/>
                            <w:kern w:val="24"/>
                            <w:sz w:val="36"/>
                            <w:szCs w:val="36"/>
                            <w:lang w:val="en-US"/>
                          </w:rPr>
                          <w:t>OE</w:t>
                        </w:r>
                      </w:p>
                    </w:txbxContent>
                  </v:textbox>
                </v:rect>
                <v:shapetype id="_x0000_t32" coordsize="21600,21600" o:spt="32" o:oned="t" path="m,l21600,21600e" filled="f">
                  <v:path arrowok="t" fillok="f" o:connecttype="none"/>
                  <o:lock v:ext="edit" shapetype="t"/>
                </v:shapetype>
                <v:shape id="Straight Arrow Connector 15" o:spid="_x0000_s1035" type="#_x0000_t32" style="position:absolute;left:38451;top:16002;width:0;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0q7sQAAADdAAAADwAAAGRycy9kb3ducmV2LnhtbERPS2vCQBC+F/wPywje6saAtURXKUJo&#10;PRRRq+cxO3nU7GzIbk3qr+8WBG/z8T1nsepNLa7Uusqygsk4AkGcWV1xoeDrkD6/gnAeWWNtmRT8&#10;koPVcvC0wETbjnd03ftChBB2CSoovW8SKV1WkkE3tg1x4HLbGvQBtoXULXYh3NQyjqIXabDi0FBi&#10;Q+uSssv+xyi49fn34ZJ/bo6nrU67DTXv53Sq1GjYv81BeOr9Q3x3f+gwP57F8P9NOEE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LSruxAAAAN0AAAAPAAAAAAAAAAAA&#10;AAAAAKECAABkcnMvZG93bnJldi54bWxQSwUGAAAAAAQABAD5AAAAkgMAAAAA&#10;" strokeweight="1.25pt">
                  <v:stroke endarrow="open"/>
                </v:shape>
                <w10:anchorlock/>
              </v:group>
            </w:pict>
          </mc:Fallback>
        </mc:AlternateContent>
      </w:r>
    </w:p>
    <w:p w:rsidR="00B93911" w:rsidRPr="001A01AB" w:rsidRDefault="00B93911" w:rsidP="00B93911">
      <w:pPr>
        <w:ind w:left="270" w:right="3168"/>
        <w:jc w:val="right"/>
        <w:rPr>
          <w:rFonts w:ascii="Calibri" w:hAnsi="Calibri" w:cs="Calibri"/>
          <w:sz w:val="20"/>
          <w:szCs w:val="20"/>
          <w:lang w:val="es-GT"/>
        </w:rPr>
      </w:pPr>
      <w:r w:rsidRPr="001A01AB">
        <w:rPr>
          <w:rFonts w:ascii="Calibri" w:eastAsia="Calibri" w:hAnsi="Calibri" w:cs="Calibri"/>
          <w:sz w:val="20"/>
          <w:szCs w:val="20"/>
          <w:lang w:val="es-GT"/>
        </w:rPr>
        <w:t>Fuente:</w:t>
      </w:r>
      <w:r w:rsidRPr="001A01AB">
        <w:rPr>
          <w:rFonts w:ascii="Calibri" w:hAnsi="Calibri" w:cs="Calibri"/>
          <w:sz w:val="20"/>
          <w:szCs w:val="20"/>
          <w:lang w:val="es-GT"/>
        </w:rPr>
        <w:t xml:space="preserve"> Elaboración propia.</w:t>
      </w:r>
    </w:p>
    <w:p w:rsidR="00B93911" w:rsidRDefault="00B93911" w:rsidP="00B93911">
      <w:pPr>
        <w:ind w:left="270" w:right="3168"/>
        <w:jc w:val="right"/>
        <w:rPr>
          <w:rFonts w:ascii="Calibri" w:hAnsi="Calibri" w:cs="Calibri"/>
          <w:lang w:val="es-GT"/>
        </w:rPr>
      </w:pPr>
    </w:p>
    <w:p w:rsidR="00C470CE" w:rsidRDefault="00C470CE" w:rsidP="00B93911">
      <w:pPr>
        <w:ind w:left="270" w:right="3168"/>
        <w:jc w:val="right"/>
        <w:rPr>
          <w:rFonts w:ascii="Calibri" w:hAnsi="Calibri" w:cs="Calibri"/>
          <w:lang w:val="es-GT"/>
        </w:rPr>
      </w:pPr>
    </w:p>
    <w:p w:rsidR="00C470CE" w:rsidRDefault="00C470CE" w:rsidP="00B93911">
      <w:pPr>
        <w:ind w:left="270" w:right="3168"/>
        <w:jc w:val="right"/>
        <w:rPr>
          <w:rFonts w:ascii="Calibri" w:hAnsi="Calibri" w:cs="Calibri"/>
          <w:lang w:val="es-GT"/>
        </w:rPr>
      </w:pPr>
    </w:p>
    <w:p w:rsidR="00C470CE" w:rsidRPr="001A01AB" w:rsidRDefault="00C470CE" w:rsidP="00B93911">
      <w:pPr>
        <w:ind w:left="270" w:right="3168"/>
        <w:jc w:val="right"/>
        <w:rPr>
          <w:rFonts w:ascii="Calibri" w:hAnsi="Calibri" w:cs="Calibri"/>
          <w:lang w:val="es-GT"/>
        </w:rPr>
      </w:pPr>
    </w:p>
    <w:p w:rsidR="00B93911" w:rsidRPr="001A01AB" w:rsidRDefault="00B93911" w:rsidP="006B0A31">
      <w:pPr>
        <w:pStyle w:val="Prrafodelista"/>
        <w:numPr>
          <w:ilvl w:val="0"/>
          <w:numId w:val="48"/>
        </w:numPr>
        <w:jc w:val="both"/>
        <w:rPr>
          <w:rFonts w:cs="Calibri"/>
          <w:b/>
          <w:color w:val="365F91"/>
        </w:rPr>
      </w:pPr>
      <w:r w:rsidRPr="001A01AB">
        <w:rPr>
          <w:rFonts w:cs="Calibri"/>
          <w:b/>
          <w:color w:val="365F91"/>
        </w:rPr>
        <w:lastRenderedPageBreak/>
        <w:t>Evaluación de los Factores Críticos para la Decisión</w:t>
      </w:r>
    </w:p>
    <w:p w:rsidR="00B93911" w:rsidRPr="001A01AB" w:rsidRDefault="00B93911" w:rsidP="00A13498">
      <w:pPr>
        <w:ind w:left="360"/>
        <w:jc w:val="both"/>
        <w:rPr>
          <w:rFonts w:ascii="Calibri" w:hAnsi="Calibri" w:cs="Calibri"/>
          <w:lang w:val="es-GT"/>
        </w:rPr>
      </w:pPr>
      <w:r w:rsidRPr="001A01AB">
        <w:rPr>
          <w:rFonts w:ascii="Calibri" w:hAnsi="Calibri" w:cs="Calibri"/>
          <w:lang w:val="es-GT"/>
        </w:rPr>
        <w:t>Con el propósito de demostr</w:t>
      </w:r>
      <w:r w:rsidR="006A2AB6">
        <w:rPr>
          <w:rFonts w:ascii="Calibri" w:hAnsi="Calibri" w:cs="Calibri"/>
          <w:lang w:val="es-GT"/>
        </w:rPr>
        <w:t>ar la relevancia y carácter “crí</w:t>
      </w:r>
      <w:r w:rsidRPr="001A01AB">
        <w:rPr>
          <w:rFonts w:ascii="Calibri" w:hAnsi="Calibri" w:cs="Calibri"/>
          <w:lang w:val="es-GT"/>
        </w:rPr>
        <w:t>tico” de los factores identificados</w:t>
      </w:r>
      <w:r w:rsidR="00FB295A">
        <w:rPr>
          <w:rFonts w:ascii="Calibri" w:hAnsi="Calibri" w:cs="Calibri"/>
          <w:lang w:val="es-GT"/>
        </w:rPr>
        <w:t xml:space="preserve"> (FCD)</w:t>
      </w:r>
      <w:r w:rsidRPr="001A01AB">
        <w:rPr>
          <w:rFonts w:ascii="Calibri" w:hAnsi="Calibri" w:cs="Calibri"/>
          <w:lang w:val="es-GT"/>
        </w:rPr>
        <w:t xml:space="preserve"> </w:t>
      </w:r>
      <w:r w:rsidR="00FB295A">
        <w:rPr>
          <w:rFonts w:ascii="Calibri" w:hAnsi="Calibri" w:cs="Calibri"/>
          <w:lang w:val="es-GT"/>
        </w:rPr>
        <w:t>según el procedimiento anteriormente señalado</w:t>
      </w:r>
      <w:r w:rsidRPr="001A01AB">
        <w:rPr>
          <w:rFonts w:ascii="Calibri" w:hAnsi="Calibri" w:cs="Calibri"/>
          <w:lang w:val="es-GT"/>
        </w:rPr>
        <w:t xml:space="preserve">, </w:t>
      </w:r>
      <w:r w:rsidR="00FB295A">
        <w:rPr>
          <w:rFonts w:ascii="Calibri" w:hAnsi="Calibri" w:cs="Calibri"/>
          <w:lang w:val="es-GT"/>
        </w:rPr>
        <w:t xml:space="preserve">es necesario recurrir a un </w:t>
      </w:r>
      <w:r w:rsidRPr="001A01AB">
        <w:rPr>
          <w:rFonts w:ascii="Calibri" w:hAnsi="Calibri" w:cs="Calibri"/>
          <w:lang w:val="es-GT"/>
        </w:rPr>
        <w:t xml:space="preserve">proceso </w:t>
      </w:r>
      <w:r w:rsidR="00FB295A">
        <w:rPr>
          <w:rFonts w:ascii="Calibri" w:hAnsi="Calibri" w:cs="Calibri"/>
          <w:lang w:val="es-GT"/>
        </w:rPr>
        <w:t xml:space="preserve">detallado </w:t>
      </w:r>
      <w:r w:rsidRPr="001A01AB">
        <w:rPr>
          <w:rFonts w:ascii="Calibri" w:hAnsi="Calibri" w:cs="Calibri"/>
          <w:lang w:val="es-GT"/>
        </w:rPr>
        <w:t>de evaluación de los mismos.</w:t>
      </w:r>
    </w:p>
    <w:p w:rsidR="00B93911" w:rsidRPr="001A01AB" w:rsidRDefault="00B93911" w:rsidP="00A13498">
      <w:pPr>
        <w:ind w:left="360"/>
        <w:jc w:val="both"/>
        <w:rPr>
          <w:rFonts w:ascii="Calibri" w:hAnsi="Calibri" w:cs="Calibri"/>
          <w:lang w:val="es-GT"/>
        </w:rPr>
      </w:pPr>
    </w:p>
    <w:p w:rsidR="00B93911" w:rsidRPr="001A01AB" w:rsidRDefault="00D86895" w:rsidP="00A13498">
      <w:pPr>
        <w:ind w:left="360"/>
        <w:jc w:val="both"/>
        <w:rPr>
          <w:rFonts w:ascii="Calibri" w:hAnsi="Calibri" w:cs="Calibri"/>
          <w:lang w:val="es-GT"/>
        </w:rPr>
      </w:pPr>
      <w:r>
        <w:rPr>
          <w:rFonts w:ascii="Calibri" w:hAnsi="Calibri" w:cs="Calibri"/>
          <w:lang w:val="es-GT"/>
        </w:rPr>
        <w:t>Pa</w:t>
      </w:r>
      <w:r w:rsidR="00252C8B">
        <w:rPr>
          <w:rFonts w:ascii="Calibri" w:hAnsi="Calibri" w:cs="Calibri"/>
          <w:lang w:val="es-GT"/>
        </w:rPr>
        <w:t xml:space="preserve">ra evaluar cada factor </w:t>
      </w:r>
      <w:r>
        <w:rPr>
          <w:rFonts w:ascii="Calibri" w:hAnsi="Calibri" w:cs="Calibri"/>
          <w:lang w:val="es-GT"/>
        </w:rPr>
        <w:t>crítico se recurre</w:t>
      </w:r>
      <w:r w:rsidR="00141A70">
        <w:rPr>
          <w:rFonts w:ascii="Calibri" w:hAnsi="Calibri" w:cs="Calibri"/>
          <w:lang w:val="es-GT"/>
        </w:rPr>
        <w:t xml:space="preserve"> </w:t>
      </w:r>
      <w:r>
        <w:rPr>
          <w:rFonts w:ascii="Calibri" w:hAnsi="Calibri" w:cs="Calibri"/>
          <w:lang w:val="es-GT"/>
        </w:rPr>
        <w:t xml:space="preserve">a </w:t>
      </w:r>
      <w:r w:rsidR="007B037B">
        <w:rPr>
          <w:rFonts w:ascii="Calibri" w:hAnsi="Calibri" w:cs="Calibri"/>
          <w:lang w:val="es-GT"/>
        </w:rPr>
        <w:t xml:space="preserve">criterios e </w:t>
      </w:r>
      <w:r>
        <w:rPr>
          <w:rFonts w:ascii="Calibri" w:hAnsi="Calibri" w:cs="Calibri"/>
          <w:lang w:val="es-GT"/>
        </w:rPr>
        <w:t>indicadores</w:t>
      </w:r>
      <w:r w:rsidR="00252C8B">
        <w:rPr>
          <w:rFonts w:ascii="Calibri" w:hAnsi="Calibri" w:cs="Calibri"/>
          <w:lang w:val="es-GT"/>
        </w:rPr>
        <w:t xml:space="preserve"> </w:t>
      </w:r>
      <w:r>
        <w:rPr>
          <w:rFonts w:ascii="Calibri" w:hAnsi="Calibri" w:cs="Calibri"/>
          <w:lang w:val="es-GT"/>
        </w:rPr>
        <w:t xml:space="preserve">seleccionados buscando, ante todo, que sean representativos del factor que se analiza. Cada indicador debe proveer información sobre </w:t>
      </w:r>
      <w:r w:rsidR="00B93911" w:rsidRPr="001A01AB">
        <w:rPr>
          <w:rFonts w:ascii="Calibri" w:hAnsi="Calibri" w:cs="Calibri"/>
          <w:lang w:val="es-GT"/>
        </w:rPr>
        <w:t xml:space="preserve">la evolución histórica, la situación actual y </w:t>
      </w:r>
      <w:r>
        <w:rPr>
          <w:rFonts w:ascii="Calibri" w:hAnsi="Calibri" w:cs="Calibri"/>
          <w:lang w:val="es-GT"/>
        </w:rPr>
        <w:t xml:space="preserve">las </w:t>
      </w:r>
      <w:r w:rsidR="00B93911" w:rsidRPr="001A01AB">
        <w:rPr>
          <w:rFonts w:ascii="Calibri" w:hAnsi="Calibri" w:cs="Calibri"/>
          <w:lang w:val="es-GT"/>
        </w:rPr>
        <w:t>tendencias de</w:t>
      </w:r>
      <w:r>
        <w:rPr>
          <w:rFonts w:ascii="Calibri" w:hAnsi="Calibri" w:cs="Calibri"/>
          <w:lang w:val="es-GT"/>
        </w:rPr>
        <w:t xml:space="preserve"> la dimensión que analiza para el FCD. </w:t>
      </w:r>
    </w:p>
    <w:p w:rsidR="00B93911" w:rsidRPr="001A01AB" w:rsidRDefault="00B93911" w:rsidP="00A13498">
      <w:pPr>
        <w:ind w:left="360"/>
        <w:jc w:val="both"/>
        <w:rPr>
          <w:rFonts w:ascii="Calibri" w:hAnsi="Calibri" w:cs="Calibri"/>
          <w:lang w:val="es-GT"/>
        </w:rPr>
      </w:pPr>
    </w:p>
    <w:p w:rsidR="00B93911" w:rsidRDefault="00B93911" w:rsidP="00A13498">
      <w:pPr>
        <w:ind w:left="360"/>
        <w:jc w:val="both"/>
        <w:rPr>
          <w:rFonts w:ascii="Calibri" w:hAnsi="Calibri" w:cs="Calibri"/>
          <w:lang w:val="es-GT"/>
        </w:rPr>
      </w:pPr>
      <w:r w:rsidRPr="001A01AB">
        <w:rPr>
          <w:rFonts w:ascii="Calibri" w:hAnsi="Calibri" w:cs="Calibri"/>
          <w:lang w:val="es-GT"/>
        </w:rPr>
        <w:t xml:space="preserve">La evaluación de los Factores Críticos para la Decisión </w:t>
      </w:r>
      <w:r w:rsidR="006A2AB6">
        <w:rPr>
          <w:rFonts w:ascii="Calibri" w:hAnsi="Calibri" w:cs="Calibri"/>
          <w:lang w:val="es-GT"/>
        </w:rPr>
        <w:t>se convierte en uno</w:t>
      </w:r>
      <w:r w:rsidR="007B037B">
        <w:rPr>
          <w:rFonts w:ascii="Calibri" w:hAnsi="Calibri" w:cs="Calibri"/>
          <w:lang w:val="es-GT"/>
        </w:rPr>
        <w:t xml:space="preserve"> de los componentes más importantes de la </w:t>
      </w:r>
      <w:r w:rsidRPr="001A01AB">
        <w:rPr>
          <w:rFonts w:ascii="Calibri" w:hAnsi="Calibri" w:cs="Calibri"/>
          <w:lang w:val="es-GT"/>
        </w:rPr>
        <w:t xml:space="preserve">EAE, </w:t>
      </w:r>
      <w:r w:rsidR="007B037B">
        <w:rPr>
          <w:rFonts w:ascii="Calibri" w:hAnsi="Calibri" w:cs="Calibri"/>
          <w:lang w:val="es-GT"/>
        </w:rPr>
        <w:t xml:space="preserve">pues revelan con base científica, como se </w:t>
      </w:r>
      <w:r w:rsidR="00351A80">
        <w:rPr>
          <w:rFonts w:ascii="Calibri" w:hAnsi="Calibri" w:cs="Calibri"/>
          <w:lang w:val="es-GT"/>
        </w:rPr>
        <w:t>mencionó</w:t>
      </w:r>
      <w:r w:rsidR="007B037B">
        <w:rPr>
          <w:rFonts w:ascii="Calibri" w:hAnsi="Calibri" w:cs="Calibri"/>
          <w:lang w:val="es-GT"/>
        </w:rPr>
        <w:t xml:space="preserve"> anteriormente, el grado en e</w:t>
      </w:r>
      <w:r w:rsidR="006A2AB6">
        <w:rPr>
          <w:rFonts w:ascii="Calibri" w:hAnsi="Calibri" w:cs="Calibri"/>
          <w:lang w:val="es-GT"/>
        </w:rPr>
        <w:t>l cual cada factor (FCD) es “crí</w:t>
      </w:r>
      <w:r w:rsidR="007B037B">
        <w:rPr>
          <w:rFonts w:ascii="Calibri" w:hAnsi="Calibri" w:cs="Calibri"/>
          <w:lang w:val="es-GT"/>
        </w:rPr>
        <w:t xml:space="preserve">tico” y por supuesto, la medida en la cual afectan la consecución de los objetivos de desarrollo </w:t>
      </w:r>
      <w:r w:rsidR="0059492C">
        <w:rPr>
          <w:rFonts w:ascii="Calibri" w:hAnsi="Calibri" w:cs="Calibri"/>
          <w:lang w:val="es-GT"/>
        </w:rPr>
        <w:t xml:space="preserve">rural </w:t>
      </w:r>
      <w:r w:rsidR="007B037B">
        <w:rPr>
          <w:rFonts w:ascii="Calibri" w:hAnsi="Calibri" w:cs="Calibri"/>
          <w:lang w:val="es-GT"/>
        </w:rPr>
        <w:t>planteados.</w:t>
      </w:r>
    </w:p>
    <w:p w:rsidR="007B037B" w:rsidRPr="001A01AB" w:rsidRDefault="007B037B" w:rsidP="00A13498">
      <w:pPr>
        <w:ind w:left="360"/>
        <w:jc w:val="both"/>
        <w:rPr>
          <w:rFonts w:ascii="Calibri" w:hAnsi="Calibri" w:cs="Calibri"/>
          <w:lang w:val="es-GT"/>
        </w:rPr>
      </w:pPr>
    </w:p>
    <w:p w:rsidR="00B93911" w:rsidRPr="001A01AB" w:rsidRDefault="00B93911" w:rsidP="006B0A31">
      <w:pPr>
        <w:pStyle w:val="Prrafodelista"/>
        <w:numPr>
          <w:ilvl w:val="0"/>
          <w:numId w:val="48"/>
        </w:numPr>
        <w:jc w:val="both"/>
        <w:rPr>
          <w:rFonts w:cs="Calibri"/>
          <w:b/>
          <w:color w:val="365F91"/>
        </w:rPr>
      </w:pPr>
      <w:r w:rsidRPr="001A01AB">
        <w:rPr>
          <w:rFonts w:cs="Calibri"/>
          <w:b/>
          <w:color w:val="365F91"/>
        </w:rPr>
        <w:t>Identificación y evaluación de Opciones Estratégicas</w:t>
      </w:r>
    </w:p>
    <w:p w:rsidR="00700144" w:rsidRDefault="0059492C" w:rsidP="00700144">
      <w:pPr>
        <w:jc w:val="both"/>
        <w:rPr>
          <w:rFonts w:ascii="Calibri" w:hAnsi="Calibri" w:cs="Calibri"/>
          <w:lang w:val="es-GT"/>
        </w:rPr>
      </w:pPr>
      <w:r>
        <w:rPr>
          <w:rFonts w:ascii="Calibri" w:hAnsi="Calibri" w:cs="Calibri"/>
          <w:lang w:val="es-GT"/>
        </w:rPr>
        <w:t xml:space="preserve">Los Opciones </w:t>
      </w:r>
      <w:r w:rsidR="00700144" w:rsidRPr="00EE5E00">
        <w:rPr>
          <w:rFonts w:ascii="Calibri" w:hAnsi="Calibri" w:cs="Calibri"/>
          <w:lang w:val="es-GT"/>
        </w:rPr>
        <w:t>Estratégica</w:t>
      </w:r>
      <w:r w:rsidR="00700144">
        <w:rPr>
          <w:rFonts w:ascii="Calibri" w:hAnsi="Calibri" w:cs="Calibri"/>
          <w:lang w:val="es-GT"/>
        </w:rPr>
        <w:t>s</w:t>
      </w:r>
      <w:r w:rsidR="00700144" w:rsidRPr="00EE5E00">
        <w:rPr>
          <w:rFonts w:ascii="Calibri" w:hAnsi="Calibri" w:cs="Calibri"/>
          <w:lang w:val="es-GT"/>
        </w:rPr>
        <w:t xml:space="preserve"> </w:t>
      </w:r>
      <w:r>
        <w:rPr>
          <w:rFonts w:ascii="Calibri" w:hAnsi="Calibri" w:cs="Calibri"/>
          <w:lang w:val="es-GT"/>
        </w:rPr>
        <w:t>se identifican y justifican en respuesta a los hallazgos que surgen de la evaluación de los FCD. Las opciones estratégicas se refieren a medidas destinadas a mitigar el efecto negativo o potenciar el efecto positivo de los FCD en relación al desarrollo rural como máxima aspiración, reflejada ésta, en los objetivos estratégicos nacionales y en los objetivos del objeto de evaluación.</w:t>
      </w:r>
    </w:p>
    <w:p w:rsidR="0059492C" w:rsidRPr="00EE5E00" w:rsidRDefault="0059492C" w:rsidP="00700144">
      <w:pPr>
        <w:jc w:val="both"/>
        <w:rPr>
          <w:rFonts w:ascii="Calibri" w:hAnsi="Calibri" w:cs="Calibri"/>
          <w:lang w:val="es-GT"/>
        </w:rPr>
      </w:pPr>
    </w:p>
    <w:p w:rsidR="00700144" w:rsidRPr="00EE5E00" w:rsidRDefault="0059492C" w:rsidP="00700144">
      <w:pPr>
        <w:jc w:val="both"/>
        <w:rPr>
          <w:rFonts w:ascii="Calibri" w:hAnsi="Calibri" w:cs="Calibri"/>
          <w:lang w:val="es-GT"/>
        </w:rPr>
      </w:pPr>
      <w:r>
        <w:rPr>
          <w:rFonts w:ascii="Calibri" w:hAnsi="Calibri" w:cs="Calibri"/>
          <w:lang w:val="es-GT"/>
        </w:rPr>
        <w:t xml:space="preserve">La identificación y evaluación de las opciones estratégicas </w:t>
      </w:r>
      <w:r w:rsidR="00700144">
        <w:rPr>
          <w:rFonts w:ascii="Calibri" w:hAnsi="Calibri" w:cs="Calibri"/>
          <w:lang w:val="es-GT"/>
        </w:rPr>
        <w:t xml:space="preserve">se realizó </w:t>
      </w:r>
      <w:r>
        <w:rPr>
          <w:rFonts w:ascii="Calibri" w:hAnsi="Calibri" w:cs="Calibri"/>
          <w:lang w:val="es-GT"/>
        </w:rPr>
        <w:t xml:space="preserve">con el auxilio de </w:t>
      </w:r>
      <w:r w:rsidR="00700144">
        <w:rPr>
          <w:rFonts w:ascii="Calibri" w:hAnsi="Calibri" w:cs="Calibri"/>
          <w:lang w:val="es-GT"/>
        </w:rPr>
        <w:t xml:space="preserve">una matriz de </w:t>
      </w:r>
      <w:r>
        <w:rPr>
          <w:rFonts w:ascii="Calibri" w:hAnsi="Calibri" w:cs="Calibri"/>
          <w:lang w:val="es-GT"/>
        </w:rPr>
        <w:t xml:space="preserve">doble entrada que confronta </w:t>
      </w:r>
      <w:r w:rsidR="00700144" w:rsidRPr="00EE5E00">
        <w:rPr>
          <w:rFonts w:ascii="Calibri" w:hAnsi="Calibri" w:cs="Calibri"/>
          <w:lang w:val="es-GT"/>
        </w:rPr>
        <w:t>los indicadores de los FCD</w:t>
      </w:r>
      <w:r>
        <w:rPr>
          <w:rFonts w:ascii="Calibri" w:hAnsi="Calibri" w:cs="Calibri"/>
          <w:lang w:val="es-GT"/>
        </w:rPr>
        <w:t xml:space="preserve"> con las opciones propuestas. En la identificación de opciones estratégicas es importante no olvidar que cada una de éstas de</w:t>
      </w:r>
      <w:r w:rsidR="00EF73C5">
        <w:rPr>
          <w:rFonts w:ascii="Calibri" w:hAnsi="Calibri" w:cs="Calibri"/>
          <w:lang w:val="es-GT"/>
        </w:rPr>
        <w:t>be abonar en el cumplimiento de los Objetivos Estratégicos</w:t>
      </w:r>
      <w:r w:rsidR="006A2AB6">
        <w:rPr>
          <w:rFonts w:ascii="Calibri" w:hAnsi="Calibri" w:cs="Calibri"/>
          <w:lang w:val="es-GT"/>
        </w:rPr>
        <w:t>, pero al mismo tiempo</w:t>
      </w:r>
      <w:r w:rsidR="00EF73C5">
        <w:rPr>
          <w:rFonts w:ascii="Calibri" w:hAnsi="Calibri" w:cs="Calibri"/>
          <w:lang w:val="es-GT"/>
        </w:rPr>
        <w:t xml:space="preserve"> es importante que se esclarezca su relación con cada FCD. </w:t>
      </w:r>
      <w:r w:rsidR="00700144">
        <w:rPr>
          <w:rFonts w:ascii="Calibri" w:hAnsi="Calibri" w:cs="Calibri"/>
          <w:lang w:val="es-GT"/>
        </w:rPr>
        <w:t>Para la</w:t>
      </w:r>
      <w:r w:rsidR="00700144" w:rsidRPr="00EE5E00">
        <w:rPr>
          <w:rFonts w:ascii="Calibri" w:hAnsi="Calibri" w:cs="Calibri"/>
          <w:lang w:val="es-GT"/>
        </w:rPr>
        <w:t xml:space="preserve"> evaluación se </w:t>
      </w:r>
      <w:r w:rsidR="00700144">
        <w:rPr>
          <w:rFonts w:ascii="Calibri" w:hAnsi="Calibri" w:cs="Calibri"/>
          <w:lang w:val="es-GT"/>
        </w:rPr>
        <w:t>utiliza la siguiente clave</w:t>
      </w:r>
      <w:r w:rsidR="00700144" w:rsidRPr="00EE5E00">
        <w:rPr>
          <w:rFonts w:ascii="Calibri" w:hAnsi="Calibri" w:cs="Calibri"/>
          <w:lang w:val="es-GT"/>
        </w:rPr>
        <w:t>:</w:t>
      </w:r>
    </w:p>
    <w:p w:rsidR="00700144" w:rsidRPr="00EE5E00" w:rsidRDefault="00700144" w:rsidP="00700144">
      <w:pPr>
        <w:jc w:val="both"/>
        <w:rPr>
          <w:rFonts w:ascii="Calibri" w:hAnsi="Calibri" w:cs="Calibri"/>
          <w:lang w:val="es-GT"/>
        </w:rPr>
      </w:pPr>
    </w:p>
    <w:tbl>
      <w:tblPr>
        <w:tblW w:w="8614" w:type="dxa"/>
        <w:tblCellMar>
          <w:left w:w="70" w:type="dxa"/>
          <w:right w:w="70" w:type="dxa"/>
        </w:tblCellMar>
        <w:tblLook w:val="00A0" w:firstRow="1" w:lastRow="0" w:firstColumn="1" w:lastColumn="0" w:noHBand="0" w:noVBand="0"/>
      </w:tblPr>
      <w:tblGrid>
        <w:gridCol w:w="1146"/>
        <w:gridCol w:w="7468"/>
      </w:tblGrid>
      <w:tr w:rsidR="00700144" w:rsidRPr="000364C9" w:rsidTr="004C4554">
        <w:trPr>
          <w:trHeight w:val="525"/>
        </w:trPr>
        <w:tc>
          <w:tcPr>
            <w:tcW w:w="1146" w:type="dxa"/>
            <w:noWrap/>
            <w:vAlign w:val="center"/>
          </w:tcPr>
          <w:p w:rsidR="00700144" w:rsidRPr="00286423" w:rsidRDefault="00544A9F" w:rsidP="00106BAF">
            <w:pPr>
              <w:jc w:val="center"/>
              <w:rPr>
                <w:rFonts w:ascii="Calibri" w:hAnsi="Calibri" w:cs="Calibri"/>
                <w:color w:val="000000"/>
                <w:lang w:val="es-GT" w:eastAsia="es-GT"/>
              </w:rPr>
            </w:pPr>
            <w:r>
              <w:rPr>
                <w:rFonts w:ascii="Calibri" w:hAnsi="Calibri" w:cs="Calibri"/>
                <w:noProof/>
                <w:color w:val="000000"/>
                <w:lang w:val="es-GT" w:eastAsia="es-GT"/>
              </w:rPr>
              <w:drawing>
                <wp:inline distT="0" distB="0" distL="0" distR="0" wp14:anchorId="076C4B15" wp14:editId="60891063">
                  <wp:extent cx="142875" cy="219075"/>
                  <wp:effectExtent l="0" t="0" r="9525" b="9525"/>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2">
                            <a:extLst>
                              <a:ext uri="{28A0092B-C50C-407E-A947-70E740481C1C}">
                                <a14:useLocalDpi xmlns:a14="http://schemas.microsoft.com/office/drawing/2010/main" val="0"/>
                              </a:ext>
                            </a:extLst>
                          </a:blip>
                          <a:srcRect l="-4688" t="-2840" r="-3645" b="-5678"/>
                          <a:stretch>
                            <a:fillRect/>
                          </a:stretch>
                        </pic:blipFill>
                        <pic:spPr bwMode="auto">
                          <a:xfrm>
                            <a:off x="0" y="0"/>
                            <a:ext cx="142875" cy="219075"/>
                          </a:xfrm>
                          <a:prstGeom prst="rect">
                            <a:avLst/>
                          </a:prstGeom>
                          <a:noFill/>
                          <a:ln>
                            <a:noFill/>
                          </a:ln>
                        </pic:spPr>
                      </pic:pic>
                    </a:graphicData>
                  </a:graphic>
                </wp:inline>
              </w:drawing>
            </w:r>
          </w:p>
        </w:tc>
        <w:tc>
          <w:tcPr>
            <w:tcW w:w="7468" w:type="dxa"/>
            <w:noWrap/>
            <w:vAlign w:val="center"/>
          </w:tcPr>
          <w:p w:rsidR="00700144" w:rsidRPr="00286423" w:rsidRDefault="00700144" w:rsidP="00106BAF">
            <w:pPr>
              <w:rPr>
                <w:rFonts w:ascii="Calibri" w:hAnsi="Calibri" w:cs="Calibri"/>
                <w:color w:val="000000"/>
                <w:lang w:val="es-GT" w:eastAsia="es-GT"/>
              </w:rPr>
            </w:pPr>
            <w:r w:rsidRPr="00EE5E00">
              <w:rPr>
                <w:rFonts w:ascii="Calibri" w:hAnsi="Calibri" w:cs="Calibri"/>
                <w:color w:val="000000"/>
                <w:lang w:val="es-GT" w:eastAsia="es-GT"/>
              </w:rPr>
              <w:t xml:space="preserve">Responde directa y positivamente </w:t>
            </w:r>
            <w:r>
              <w:rPr>
                <w:rFonts w:ascii="Calibri" w:hAnsi="Calibri" w:cs="Calibri"/>
                <w:color w:val="000000"/>
                <w:lang w:val="es-GT" w:eastAsia="es-GT"/>
              </w:rPr>
              <w:t>a</w:t>
            </w:r>
            <w:r w:rsidRPr="00EE5E00">
              <w:rPr>
                <w:rFonts w:ascii="Calibri" w:hAnsi="Calibri" w:cs="Calibri"/>
                <w:color w:val="000000"/>
                <w:lang w:val="es-GT" w:eastAsia="es-GT"/>
              </w:rPr>
              <w:t>l factor crítico</w:t>
            </w:r>
            <w:r w:rsidR="004C4554">
              <w:rPr>
                <w:rFonts w:ascii="Calibri" w:hAnsi="Calibri" w:cs="Calibri"/>
                <w:color w:val="000000"/>
                <w:lang w:val="es-GT" w:eastAsia="es-GT"/>
              </w:rPr>
              <w:t xml:space="preserve"> de decisión</w:t>
            </w:r>
          </w:p>
        </w:tc>
      </w:tr>
      <w:tr w:rsidR="00700144" w:rsidRPr="000364C9" w:rsidTr="004C4554">
        <w:trPr>
          <w:trHeight w:val="525"/>
        </w:trPr>
        <w:tc>
          <w:tcPr>
            <w:tcW w:w="1146" w:type="dxa"/>
            <w:noWrap/>
            <w:vAlign w:val="center"/>
          </w:tcPr>
          <w:p w:rsidR="00700144" w:rsidRPr="00286423" w:rsidRDefault="00544A9F" w:rsidP="00106BAF">
            <w:pPr>
              <w:jc w:val="center"/>
              <w:rPr>
                <w:rFonts w:ascii="Calibri" w:hAnsi="Calibri" w:cs="Calibri"/>
                <w:color w:val="000000"/>
                <w:lang w:val="es-GT" w:eastAsia="es-GT"/>
              </w:rPr>
            </w:pPr>
            <w:r>
              <w:rPr>
                <w:rFonts w:ascii="Calibri" w:hAnsi="Calibri" w:cs="Calibri"/>
                <w:noProof/>
                <w:color w:val="000000"/>
                <w:lang w:val="es-GT" w:eastAsia="es-GT"/>
              </w:rPr>
              <w:drawing>
                <wp:inline distT="0" distB="0" distL="0" distR="0" wp14:anchorId="054682CE" wp14:editId="7D14CE55">
                  <wp:extent cx="180975" cy="180975"/>
                  <wp:effectExtent l="0" t="0" r="9525" b="9525"/>
                  <wp:docPr id="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13">
                            <a:extLst>
                              <a:ext uri="{28A0092B-C50C-407E-A947-70E740481C1C}">
                                <a14:useLocalDpi xmlns:a14="http://schemas.microsoft.com/office/drawing/2010/main" val="0"/>
                              </a:ext>
                            </a:extLst>
                          </a:blip>
                          <a:srcRect t="-3474" b="-5792"/>
                          <a:stretch>
                            <a:fillRect/>
                          </a:stretch>
                        </pic:blipFill>
                        <pic:spPr bwMode="auto">
                          <a:xfrm>
                            <a:off x="0" y="0"/>
                            <a:ext cx="180975" cy="180975"/>
                          </a:xfrm>
                          <a:prstGeom prst="rect">
                            <a:avLst/>
                          </a:prstGeom>
                          <a:noFill/>
                          <a:ln>
                            <a:noFill/>
                          </a:ln>
                        </pic:spPr>
                      </pic:pic>
                    </a:graphicData>
                  </a:graphic>
                </wp:inline>
              </w:drawing>
            </w:r>
          </w:p>
        </w:tc>
        <w:tc>
          <w:tcPr>
            <w:tcW w:w="7468" w:type="dxa"/>
            <w:vAlign w:val="center"/>
          </w:tcPr>
          <w:p w:rsidR="00700144" w:rsidRPr="00286423" w:rsidRDefault="00700144" w:rsidP="00106BAF">
            <w:pPr>
              <w:rPr>
                <w:rFonts w:ascii="Calibri" w:hAnsi="Calibri" w:cs="Calibri"/>
                <w:color w:val="000000"/>
                <w:lang w:val="es-GT" w:eastAsia="es-GT"/>
              </w:rPr>
            </w:pPr>
            <w:r w:rsidRPr="00EE5E00">
              <w:rPr>
                <w:rFonts w:ascii="Calibri" w:hAnsi="Calibri" w:cs="Calibri"/>
                <w:color w:val="000000"/>
                <w:lang w:val="es-GT" w:eastAsia="es-GT"/>
              </w:rPr>
              <w:t>Atiende parcial y positivamente al factor crítico</w:t>
            </w:r>
            <w:r w:rsidR="00141A70">
              <w:rPr>
                <w:rFonts w:ascii="Calibri" w:hAnsi="Calibri" w:cs="Calibri"/>
                <w:color w:val="000000"/>
                <w:lang w:val="es-GT" w:eastAsia="es-GT"/>
              </w:rPr>
              <w:t xml:space="preserve"> </w:t>
            </w:r>
            <w:r w:rsidR="004C4554">
              <w:rPr>
                <w:rFonts w:ascii="Calibri" w:hAnsi="Calibri" w:cs="Calibri"/>
                <w:color w:val="000000"/>
                <w:lang w:val="es-GT" w:eastAsia="es-GT"/>
              </w:rPr>
              <w:t>de decisión</w:t>
            </w:r>
          </w:p>
        </w:tc>
      </w:tr>
      <w:tr w:rsidR="00700144" w:rsidRPr="000364C9" w:rsidTr="004C4554">
        <w:trPr>
          <w:trHeight w:val="525"/>
        </w:trPr>
        <w:tc>
          <w:tcPr>
            <w:tcW w:w="1146" w:type="dxa"/>
            <w:noWrap/>
            <w:vAlign w:val="center"/>
          </w:tcPr>
          <w:p w:rsidR="00700144" w:rsidRPr="00286423" w:rsidRDefault="00544A9F" w:rsidP="00106BAF">
            <w:pPr>
              <w:jc w:val="center"/>
              <w:rPr>
                <w:rFonts w:ascii="Calibri" w:hAnsi="Calibri" w:cs="Calibri"/>
                <w:color w:val="000000"/>
                <w:lang w:val="es-GT" w:eastAsia="es-GT"/>
              </w:rPr>
            </w:pPr>
            <w:r>
              <w:rPr>
                <w:rFonts w:ascii="Calibri" w:hAnsi="Calibri" w:cs="Calibri"/>
                <w:noProof/>
                <w:color w:val="000000"/>
                <w:lang w:val="es-GT" w:eastAsia="es-GT"/>
              </w:rPr>
              <w:drawing>
                <wp:inline distT="0" distB="0" distL="0" distR="0" wp14:anchorId="223C873F" wp14:editId="071D32D0">
                  <wp:extent cx="228600" cy="133350"/>
                  <wp:effectExtent l="0" t="0" r="0" b="0"/>
                  <wp:docPr id="6" name="AutoShap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utoShape 3"/>
                          <pic:cNvPicPr>
                            <a:picLocks noChangeArrowheads="1"/>
                          </pic:cNvPicPr>
                        </pic:nvPicPr>
                        <pic:blipFill>
                          <a:blip r:embed="rId14">
                            <a:extLst>
                              <a:ext uri="{28A0092B-C50C-407E-A947-70E740481C1C}">
                                <a14:useLocalDpi xmlns:a14="http://schemas.microsoft.com/office/drawing/2010/main" val="0"/>
                              </a:ext>
                            </a:extLst>
                          </a:blip>
                          <a:srcRect t="-11043" r="-1126" b="-16565"/>
                          <a:stretch>
                            <a:fillRect/>
                          </a:stretch>
                        </pic:blipFill>
                        <pic:spPr bwMode="auto">
                          <a:xfrm>
                            <a:off x="0" y="0"/>
                            <a:ext cx="228600" cy="133350"/>
                          </a:xfrm>
                          <a:prstGeom prst="rect">
                            <a:avLst/>
                          </a:prstGeom>
                          <a:noFill/>
                          <a:ln>
                            <a:noFill/>
                          </a:ln>
                        </pic:spPr>
                      </pic:pic>
                    </a:graphicData>
                  </a:graphic>
                </wp:inline>
              </w:drawing>
            </w:r>
          </w:p>
        </w:tc>
        <w:tc>
          <w:tcPr>
            <w:tcW w:w="7468" w:type="dxa"/>
            <w:vAlign w:val="center"/>
          </w:tcPr>
          <w:p w:rsidR="00700144" w:rsidRPr="00286423" w:rsidRDefault="00700144" w:rsidP="00106BAF">
            <w:pPr>
              <w:rPr>
                <w:rFonts w:ascii="Calibri" w:hAnsi="Calibri" w:cs="Calibri"/>
                <w:color w:val="000000"/>
                <w:lang w:val="es-GT" w:eastAsia="es-GT"/>
              </w:rPr>
            </w:pPr>
            <w:r w:rsidRPr="00EE5E00">
              <w:rPr>
                <w:rFonts w:ascii="Calibri" w:hAnsi="Calibri" w:cs="Calibri"/>
                <w:color w:val="000000"/>
                <w:lang w:val="es-GT" w:eastAsia="es-GT"/>
              </w:rPr>
              <w:t>Tiene relación con el factor crítico, pero su respuesta es indiferente a este</w:t>
            </w:r>
          </w:p>
        </w:tc>
      </w:tr>
      <w:tr w:rsidR="00700144" w:rsidRPr="000364C9" w:rsidTr="004C4554">
        <w:trPr>
          <w:trHeight w:val="525"/>
        </w:trPr>
        <w:tc>
          <w:tcPr>
            <w:tcW w:w="1146" w:type="dxa"/>
            <w:noWrap/>
            <w:vAlign w:val="center"/>
          </w:tcPr>
          <w:p w:rsidR="00700144" w:rsidRPr="00286423" w:rsidRDefault="00544A9F" w:rsidP="00106BAF">
            <w:pPr>
              <w:jc w:val="center"/>
              <w:rPr>
                <w:rFonts w:ascii="Calibri" w:hAnsi="Calibri" w:cs="Calibri"/>
                <w:color w:val="000000"/>
                <w:lang w:val="es-GT" w:eastAsia="es-GT"/>
              </w:rPr>
            </w:pPr>
            <w:r>
              <w:rPr>
                <w:rFonts w:ascii="Calibri" w:hAnsi="Calibri" w:cs="Calibri"/>
                <w:noProof/>
                <w:color w:val="000000"/>
                <w:lang w:val="es-GT" w:eastAsia="es-GT"/>
              </w:rPr>
              <w:drawing>
                <wp:inline distT="0" distB="0" distL="0" distR="0" wp14:anchorId="06330E83" wp14:editId="6FC06CDC">
                  <wp:extent cx="180975" cy="180975"/>
                  <wp:effectExtent l="0" t="0" r="9525" b="9525"/>
                  <wp:docPr id="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5">
                            <a:extLst>
                              <a:ext uri="{28A0092B-C50C-407E-A947-70E740481C1C}">
                                <a14:useLocalDpi xmlns:a14="http://schemas.microsoft.com/office/drawing/2010/main" val="0"/>
                              </a:ext>
                            </a:extLst>
                          </a:blip>
                          <a:srcRect t="-6950" b="-2316"/>
                          <a:stretch>
                            <a:fillRect/>
                          </a:stretch>
                        </pic:blipFill>
                        <pic:spPr bwMode="auto">
                          <a:xfrm>
                            <a:off x="0" y="0"/>
                            <a:ext cx="180975" cy="180975"/>
                          </a:xfrm>
                          <a:prstGeom prst="rect">
                            <a:avLst/>
                          </a:prstGeom>
                          <a:noFill/>
                          <a:ln>
                            <a:noFill/>
                          </a:ln>
                        </pic:spPr>
                      </pic:pic>
                    </a:graphicData>
                  </a:graphic>
                </wp:inline>
              </w:drawing>
            </w:r>
          </w:p>
        </w:tc>
        <w:tc>
          <w:tcPr>
            <w:tcW w:w="7468" w:type="dxa"/>
            <w:vAlign w:val="center"/>
          </w:tcPr>
          <w:p w:rsidR="00700144" w:rsidRPr="00286423" w:rsidRDefault="00700144" w:rsidP="00106BAF">
            <w:pPr>
              <w:rPr>
                <w:rFonts w:ascii="Calibri" w:hAnsi="Calibri" w:cs="Calibri"/>
                <w:color w:val="000000"/>
                <w:lang w:val="es-GT" w:eastAsia="es-GT"/>
              </w:rPr>
            </w:pPr>
            <w:r w:rsidRPr="00EE5E00">
              <w:rPr>
                <w:rFonts w:ascii="Calibri" w:hAnsi="Calibri" w:cs="Calibri"/>
                <w:color w:val="000000"/>
                <w:lang w:val="es-GT" w:eastAsia="es-GT"/>
              </w:rPr>
              <w:t xml:space="preserve">Afecta parcial y negativamente sobre el factor crítico </w:t>
            </w:r>
            <w:r w:rsidR="004C4554">
              <w:rPr>
                <w:rFonts w:ascii="Calibri" w:hAnsi="Calibri" w:cs="Calibri"/>
                <w:color w:val="000000"/>
                <w:lang w:val="es-GT" w:eastAsia="es-GT"/>
              </w:rPr>
              <w:t>de decisión</w:t>
            </w:r>
          </w:p>
        </w:tc>
      </w:tr>
      <w:tr w:rsidR="00700144" w:rsidRPr="000364C9" w:rsidTr="004C4554">
        <w:trPr>
          <w:trHeight w:val="525"/>
        </w:trPr>
        <w:tc>
          <w:tcPr>
            <w:tcW w:w="1146" w:type="dxa"/>
            <w:noWrap/>
            <w:vAlign w:val="center"/>
          </w:tcPr>
          <w:p w:rsidR="00700144" w:rsidRPr="00286423" w:rsidRDefault="00544A9F" w:rsidP="00106BAF">
            <w:pPr>
              <w:jc w:val="center"/>
              <w:rPr>
                <w:rFonts w:ascii="Calibri" w:hAnsi="Calibri" w:cs="Calibri"/>
                <w:color w:val="000000"/>
                <w:lang w:val="es-GT" w:eastAsia="es-GT"/>
              </w:rPr>
            </w:pPr>
            <w:r>
              <w:rPr>
                <w:rFonts w:ascii="Calibri" w:hAnsi="Calibri" w:cs="Calibri"/>
                <w:noProof/>
                <w:color w:val="000000"/>
                <w:lang w:val="es-GT" w:eastAsia="es-GT"/>
              </w:rPr>
              <w:drawing>
                <wp:inline distT="0" distB="0" distL="0" distR="0" wp14:anchorId="441D39BE" wp14:editId="303D1799">
                  <wp:extent cx="123825" cy="219075"/>
                  <wp:effectExtent l="0" t="0" r="9525" b="9525"/>
                  <wp:docPr id="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16">
                            <a:extLst>
                              <a:ext uri="{28A0092B-C50C-407E-A947-70E740481C1C}">
                                <a14:useLocalDpi xmlns:a14="http://schemas.microsoft.com/office/drawing/2010/main" val="0"/>
                              </a:ext>
                            </a:extLst>
                          </a:blip>
                          <a:srcRect l="-11688" t="-2840" r="-13637" b="-5678"/>
                          <a:stretch>
                            <a:fillRect/>
                          </a:stretch>
                        </pic:blipFill>
                        <pic:spPr bwMode="auto">
                          <a:xfrm>
                            <a:off x="0" y="0"/>
                            <a:ext cx="123825" cy="219075"/>
                          </a:xfrm>
                          <a:prstGeom prst="rect">
                            <a:avLst/>
                          </a:prstGeom>
                          <a:noFill/>
                          <a:ln>
                            <a:noFill/>
                          </a:ln>
                        </pic:spPr>
                      </pic:pic>
                    </a:graphicData>
                  </a:graphic>
                </wp:inline>
              </w:drawing>
            </w:r>
          </w:p>
        </w:tc>
        <w:tc>
          <w:tcPr>
            <w:tcW w:w="7468" w:type="dxa"/>
            <w:vAlign w:val="center"/>
          </w:tcPr>
          <w:p w:rsidR="00700144" w:rsidRPr="00286423" w:rsidRDefault="00700144" w:rsidP="00106BAF">
            <w:pPr>
              <w:rPr>
                <w:rFonts w:ascii="Calibri" w:hAnsi="Calibri" w:cs="Calibri"/>
                <w:color w:val="000000"/>
                <w:lang w:val="es-GT" w:eastAsia="es-GT"/>
              </w:rPr>
            </w:pPr>
            <w:r w:rsidRPr="00EE5E00">
              <w:rPr>
                <w:rFonts w:ascii="Calibri" w:hAnsi="Calibri" w:cs="Calibri"/>
                <w:color w:val="000000"/>
                <w:lang w:val="es-GT" w:eastAsia="es-GT"/>
              </w:rPr>
              <w:t>Afecta directa y negativamente sobre el factor crítico</w:t>
            </w:r>
            <w:r w:rsidR="004C4554">
              <w:rPr>
                <w:rFonts w:ascii="Calibri" w:hAnsi="Calibri" w:cs="Calibri"/>
                <w:color w:val="000000"/>
                <w:lang w:val="es-GT" w:eastAsia="es-GT"/>
              </w:rPr>
              <w:t xml:space="preserve"> de decisión</w:t>
            </w:r>
          </w:p>
        </w:tc>
      </w:tr>
    </w:tbl>
    <w:p w:rsidR="00B93911" w:rsidRDefault="00B93911" w:rsidP="00A13498">
      <w:pPr>
        <w:ind w:left="360"/>
        <w:jc w:val="both"/>
        <w:rPr>
          <w:rFonts w:ascii="Calibri" w:hAnsi="Calibri" w:cs="Calibri"/>
          <w:lang w:val="es-GT"/>
        </w:rPr>
      </w:pPr>
    </w:p>
    <w:p w:rsidR="00B93911" w:rsidRPr="001A01AB" w:rsidRDefault="00B93911" w:rsidP="006B0A31">
      <w:pPr>
        <w:pStyle w:val="Prrafodelista"/>
        <w:numPr>
          <w:ilvl w:val="2"/>
          <w:numId w:val="49"/>
        </w:numPr>
        <w:spacing w:after="120"/>
        <w:jc w:val="both"/>
        <w:rPr>
          <w:rFonts w:cs="Calibri"/>
          <w:b/>
          <w:i/>
          <w:color w:val="365F91"/>
          <w:sz w:val="24"/>
          <w:szCs w:val="24"/>
        </w:rPr>
      </w:pPr>
      <w:r w:rsidRPr="001A01AB">
        <w:rPr>
          <w:rFonts w:cs="Calibri"/>
          <w:b/>
          <w:i/>
          <w:color w:val="365F91"/>
          <w:sz w:val="24"/>
          <w:szCs w:val="24"/>
        </w:rPr>
        <w:t>Fase 4. Directrices de sostenibilidad</w:t>
      </w:r>
    </w:p>
    <w:p w:rsidR="00CD6918" w:rsidRDefault="00CD6918" w:rsidP="00B93911">
      <w:pPr>
        <w:ind w:left="360"/>
        <w:jc w:val="both"/>
        <w:rPr>
          <w:rFonts w:ascii="Calibri" w:hAnsi="Calibri" w:cs="Calibri"/>
          <w:lang w:val="es-GT"/>
        </w:rPr>
      </w:pPr>
      <w:r>
        <w:rPr>
          <w:rFonts w:ascii="Calibri" w:hAnsi="Calibri" w:cs="Calibri"/>
          <w:lang w:val="es-GT"/>
        </w:rPr>
        <w:t xml:space="preserve">Derivado, tanto del análisis del contexto, como de la conclusión del análisis estratégico, es posible emitir juicios sobre aquellas rutas </w:t>
      </w:r>
      <w:r w:rsidR="00351A80">
        <w:rPr>
          <w:rFonts w:ascii="Calibri" w:hAnsi="Calibri" w:cs="Calibri"/>
          <w:lang w:val="es-GT"/>
        </w:rPr>
        <w:t>más</w:t>
      </w:r>
      <w:r>
        <w:rPr>
          <w:rFonts w:ascii="Calibri" w:hAnsi="Calibri" w:cs="Calibri"/>
          <w:lang w:val="es-GT"/>
        </w:rPr>
        <w:t xml:space="preserve"> promisorias que conduzcan a la sostenibilidad de las intervenciones de apoyo para el desarrollo rural. Las recomendaciones o directrices </w:t>
      </w:r>
      <w:r>
        <w:rPr>
          <w:rFonts w:ascii="Calibri" w:hAnsi="Calibri" w:cs="Calibri"/>
          <w:lang w:val="es-GT"/>
        </w:rPr>
        <w:lastRenderedPageBreak/>
        <w:t xml:space="preserve">deben plantearse bajo la premisa </w:t>
      </w:r>
      <w:r w:rsidR="0034374F">
        <w:rPr>
          <w:rFonts w:ascii="Calibri" w:hAnsi="Calibri" w:cs="Calibri"/>
          <w:lang w:val="es-GT"/>
        </w:rPr>
        <w:t xml:space="preserve">de </w:t>
      </w:r>
      <w:r>
        <w:rPr>
          <w:rFonts w:ascii="Calibri" w:hAnsi="Calibri" w:cs="Calibri"/>
          <w:lang w:val="es-GT"/>
        </w:rPr>
        <w:t>que la realidad debe mejorar cualitativa y cuantitativamente</w:t>
      </w:r>
      <w:r w:rsidR="00C42663">
        <w:rPr>
          <w:rFonts w:ascii="Calibri" w:hAnsi="Calibri" w:cs="Calibri"/>
          <w:lang w:val="es-GT"/>
        </w:rPr>
        <w:t>, y esas mejora</w:t>
      </w:r>
      <w:r>
        <w:rPr>
          <w:rFonts w:ascii="Calibri" w:hAnsi="Calibri" w:cs="Calibri"/>
          <w:lang w:val="es-GT"/>
        </w:rPr>
        <w:t>s deben poder sostenerse en el tiempo.</w:t>
      </w:r>
      <w:r w:rsidR="00141A70">
        <w:rPr>
          <w:rFonts w:ascii="Calibri" w:hAnsi="Calibri" w:cs="Calibri"/>
          <w:lang w:val="es-GT"/>
        </w:rPr>
        <w:t xml:space="preserve"> </w:t>
      </w:r>
      <w:r>
        <w:rPr>
          <w:rFonts w:ascii="Calibri" w:hAnsi="Calibri" w:cs="Calibri"/>
          <w:lang w:val="es-GT"/>
        </w:rPr>
        <w:t>Esta premisa involucra acciones de mejoramiento</w:t>
      </w:r>
      <w:r w:rsidR="00C42663">
        <w:rPr>
          <w:rFonts w:ascii="Calibri" w:hAnsi="Calibri" w:cs="Calibri"/>
          <w:lang w:val="es-GT"/>
        </w:rPr>
        <w:t>,</w:t>
      </w:r>
      <w:r>
        <w:rPr>
          <w:rFonts w:ascii="Calibri" w:hAnsi="Calibri" w:cs="Calibri"/>
          <w:lang w:val="es-GT"/>
        </w:rPr>
        <w:t xml:space="preserve"> tanto de los ámbitos </w:t>
      </w:r>
      <w:r w:rsidR="00C42663">
        <w:rPr>
          <w:rFonts w:ascii="Calibri" w:hAnsi="Calibri" w:cs="Calibri"/>
          <w:lang w:val="es-GT"/>
        </w:rPr>
        <w:t>productivo y sus condicionantes,</w:t>
      </w:r>
      <w:r>
        <w:rPr>
          <w:rFonts w:ascii="Calibri" w:hAnsi="Calibri" w:cs="Calibri"/>
          <w:lang w:val="es-GT"/>
        </w:rPr>
        <w:t xml:space="preserve"> capacidades sociale</w:t>
      </w:r>
      <w:r w:rsidR="00C42663">
        <w:rPr>
          <w:rFonts w:ascii="Calibri" w:hAnsi="Calibri" w:cs="Calibri"/>
          <w:lang w:val="es-GT"/>
        </w:rPr>
        <w:t>s y de gestión ambiental;</w:t>
      </w:r>
      <w:r>
        <w:rPr>
          <w:rFonts w:ascii="Calibri" w:hAnsi="Calibri" w:cs="Calibri"/>
          <w:lang w:val="es-GT"/>
        </w:rPr>
        <w:t xml:space="preserve"> como de fortalecimiento de capacidades institucionales, base sin la cual ningún proceso puede ser sostenible en el tiempo.</w:t>
      </w:r>
    </w:p>
    <w:p w:rsidR="00CD6918" w:rsidRDefault="00CD6918" w:rsidP="00B93911">
      <w:pPr>
        <w:ind w:left="360"/>
        <w:jc w:val="both"/>
        <w:rPr>
          <w:rFonts w:ascii="Calibri" w:hAnsi="Calibri" w:cs="Calibri"/>
          <w:lang w:val="es-GT"/>
        </w:rPr>
      </w:pPr>
    </w:p>
    <w:p w:rsidR="00B93911" w:rsidRPr="001A01AB" w:rsidRDefault="00B93911" w:rsidP="00B93911">
      <w:pPr>
        <w:ind w:left="360"/>
        <w:jc w:val="both"/>
        <w:rPr>
          <w:rFonts w:ascii="Calibri" w:hAnsi="Calibri" w:cs="Calibri"/>
          <w:b/>
          <w:u w:val="single"/>
          <w:lang w:val="es-GT"/>
        </w:rPr>
      </w:pPr>
    </w:p>
    <w:p w:rsidR="00B93911" w:rsidRPr="001A01AB" w:rsidRDefault="00896CC1"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38" w:name="_Toc340065158"/>
      <w:bookmarkStart w:id="39" w:name="_Toc340065250"/>
      <w:bookmarkStart w:id="40" w:name="_Toc340565842"/>
      <w:bookmarkStart w:id="41" w:name="_Toc347841292"/>
      <w:r w:rsidRPr="001A01AB">
        <w:rPr>
          <w:rFonts w:cs="Calibri"/>
          <w:b/>
          <w:color w:val="365F91"/>
          <w:sz w:val="28"/>
          <w:lang w:eastAsia="es-GT"/>
        </w:rPr>
        <w:t>Validación</w:t>
      </w:r>
      <w:bookmarkEnd w:id="38"/>
      <w:bookmarkEnd w:id="39"/>
      <w:bookmarkEnd w:id="40"/>
      <w:bookmarkEnd w:id="41"/>
    </w:p>
    <w:p w:rsidR="00B93911" w:rsidRPr="001A01AB" w:rsidRDefault="00B93911" w:rsidP="00B93911">
      <w:pPr>
        <w:ind w:left="360"/>
        <w:jc w:val="both"/>
        <w:rPr>
          <w:rFonts w:ascii="Calibri" w:hAnsi="Calibri" w:cs="Calibri"/>
          <w:lang w:val="es-GT"/>
        </w:rPr>
      </w:pPr>
    </w:p>
    <w:p w:rsidR="00B93911" w:rsidRPr="001A01AB" w:rsidRDefault="00B93911" w:rsidP="006B0A31">
      <w:pPr>
        <w:pStyle w:val="Prrafodelista"/>
        <w:numPr>
          <w:ilvl w:val="2"/>
          <w:numId w:val="50"/>
        </w:numPr>
        <w:spacing w:after="120"/>
        <w:jc w:val="both"/>
        <w:rPr>
          <w:rFonts w:cs="Calibri"/>
          <w:b/>
          <w:i/>
          <w:color w:val="365F91"/>
          <w:sz w:val="24"/>
          <w:szCs w:val="24"/>
        </w:rPr>
      </w:pPr>
      <w:r w:rsidRPr="001A01AB">
        <w:rPr>
          <w:rFonts w:cs="Calibri"/>
          <w:b/>
          <w:i/>
          <w:color w:val="365F91"/>
          <w:sz w:val="24"/>
          <w:szCs w:val="24"/>
        </w:rPr>
        <w:t xml:space="preserve">Fase 5. Orientaciones para el </w:t>
      </w:r>
      <w:r w:rsidR="00351A80" w:rsidRPr="001A01AB">
        <w:rPr>
          <w:rFonts w:cs="Calibri"/>
          <w:b/>
          <w:i/>
          <w:color w:val="365F91"/>
          <w:sz w:val="24"/>
          <w:szCs w:val="24"/>
        </w:rPr>
        <w:t>monitoreo y la evaluación</w:t>
      </w:r>
    </w:p>
    <w:p w:rsidR="00B93911" w:rsidRPr="001A01AB" w:rsidRDefault="00B93911" w:rsidP="00B93911">
      <w:pPr>
        <w:ind w:left="360"/>
        <w:jc w:val="both"/>
        <w:rPr>
          <w:rFonts w:ascii="Calibri" w:hAnsi="Calibri" w:cs="Calibri"/>
          <w:lang w:val="es-GT"/>
        </w:rPr>
      </w:pPr>
      <w:r w:rsidRPr="001A01AB">
        <w:rPr>
          <w:rFonts w:ascii="Calibri" w:hAnsi="Calibri" w:cs="Calibri"/>
          <w:lang w:val="es-GT"/>
        </w:rPr>
        <w:t>El proceso analítico de la EAE debe proporcionar elementos clave que los implementadores de las intervenciones deben considerar desde el inicio</w:t>
      </w:r>
      <w:r w:rsidR="00C42663">
        <w:rPr>
          <w:rFonts w:ascii="Calibri" w:hAnsi="Calibri" w:cs="Calibri"/>
          <w:lang w:val="es-GT"/>
        </w:rPr>
        <w:t>,</w:t>
      </w:r>
      <w:r w:rsidRPr="001A01AB">
        <w:rPr>
          <w:rFonts w:ascii="Calibri" w:hAnsi="Calibri" w:cs="Calibri"/>
          <w:lang w:val="es-GT"/>
        </w:rPr>
        <w:t xml:space="preserve"> en el seno de las actividades de monitoreo y evaluación.</w:t>
      </w:r>
      <w:r w:rsidR="00141A70">
        <w:rPr>
          <w:rFonts w:ascii="Calibri" w:hAnsi="Calibri" w:cs="Calibri"/>
          <w:lang w:val="es-GT"/>
        </w:rPr>
        <w:t xml:space="preserve"> </w:t>
      </w:r>
      <w:r w:rsidRPr="001A01AB">
        <w:rPr>
          <w:rFonts w:ascii="Calibri" w:hAnsi="Calibri" w:cs="Calibri"/>
          <w:lang w:val="es-GT"/>
        </w:rPr>
        <w:t>En el primer caso, se trata de verificar si los factores críticos han sido adecuadamente atendidos con las opciones estratégicas previstas y asimiladas por los proyectos específicos. En el segundo caso, se deben emitir juicios periódicos para asegurar que las cuestiones estratégicas se están alcanzando convenientemente.</w:t>
      </w:r>
    </w:p>
    <w:p w:rsidR="00B93911" w:rsidRPr="001A01AB" w:rsidRDefault="00B93911" w:rsidP="00B93911">
      <w:pPr>
        <w:ind w:left="360"/>
        <w:jc w:val="both"/>
        <w:rPr>
          <w:rFonts w:ascii="Calibri" w:hAnsi="Calibri" w:cs="Calibri"/>
          <w:lang w:val="es-GT"/>
        </w:rPr>
      </w:pPr>
    </w:p>
    <w:p w:rsidR="00B93911" w:rsidRPr="001A01AB" w:rsidRDefault="00B93911" w:rsidP="006B0A31">
      <w:pPr>
        <w:pStyle w:val="Prrafodelista"/>
        <w:numPr>
          <w:ilvl w:val="2"/>
          <w:numId w:val="50"/>
        </w:numPr>
        <w:spacing w:after="120"/>
        <w:jc w:val="both"/>
        <w:rPr>
          <w:rFonts w:cs="Calibri"/>
          <w:b/>
          <w:i/>
          <w:color w:val="365F91"/>
          <w:sz w:val="24"/>
          <w:szCs w:val="24"/>
        </w:rPr>
      </w:pPr>
      <w:r w:rsidRPr="001A01AB">
        <w:rPr>
          <w:rFonts w:cs="Calibri"/>
          <w:b/>
          <w:i/>
          <w:color w:val="365F91"/>
          <w:sz w:val="24"/>
          <w:szCs w:val="24"/>
        </w:rPr>
        <w:t>Fase 6. Validación del análisis estratégico</w:t>
      </w:r>
    </w:p>
    <w:p w:rsidR="002E6EB9" w:rsidRPr="001A01AB" w:rsidRDefault="002E6EB9" w:rsidP="002E6EB9">
      <w:pPr>
        <w:ind w:left="360"/>
        <w:jc w:val="both"/>
        <w:rPr>
          <w:rFonts w:ascii="Calibri" w:hAnsi="Calibri" w:cs="Calibri"/>
          <w:lang w:val="es-GT"/>
        </w:rPr>
      </w:pPr>
      <w:r w:rsidRPr="001A01AB">
        <w:rPr>
          <w:rFonts w:ascii="Calibri" w:hAnsi="Calibri" w:cs="Calibri"/>
          <w:lang w:val="es-GT"/>
        </w:rPr>
        <w:t xml:space="preserve">Esta actividad se refiere a la identificación y establecimiento de un grupo </w:t>
      </w:r>
      <w:r w:rsidR="001D22D7">
        <w:rPr>
          <w:rFonts w:ascii="Calibri" w:hAnsi="Calibri" w:cs="Calibri"/>
          <w:lang w:val="es-GT"/>
        </w:rPr>
        <w:t xml:space="preserve">de </w:t>
      </w:r>
      <w:r w:rsidRPr="001A01AB">
        <w:rPr>
          <w:rFonts w:ascii="Calibri" w:hAnsi="Calibri" w:cs="Calibri"/>
          <w:lang w:val="es-GT"/>
        </w:rPr>
        <w:t>actores relevantes para enriquecer el proceso de desarrollo de la EAE, así como para consultar y validar los resultados del análisis. Dentro de los actores re</w:t>
      </w:r>
      <w:r w:rsidR="00C42663">
        <w:rPr>
          <w:rFonts w:ascii="Calibri" w:hAnsi="Calibri" w:cs="Calibri"/>
          <w:lang w:val="es-GT"/>
        </w:rPr>
        <w:t>levantes fueron considerada</w:t>
      </w:r>
      <w:r w:rsidRPr="001A01AB">
        <w:rPr>
          <w:rFonts w:ascii="Calibri" w:hAnsi="Calibri" w:cs="Calibri"/>
          <w:lang w:val="es-GT"/>
        </w:rPr>
        <w:t xml:space="preserve">s personas y </w:t>
      </w:r>
      <w:r w:rsidR="00C42663">
        <w:rPr>
          <w:rFonts w:ascii="Calibri" w:hAnsi="Calibri" w:cs="Calibri"/>
          <w:lang w:val="es-GT"/>
        </w:rPr>
        <w:t>entidades vinculada</w:t>
      </w:r>
      <w:r w:rsidRPr="001A01AB">
        <w:rPr>
          <w:rFonts w:ascii="Calibri" w:hAnsi="Calibri" w:cs="Calibri"/>
          <w:lang w:val="es-GT"/>
        </w:rPr>
        <w:t>s al desarrollo rural en general</w:t>
      </w:r>
      <w:r w:rsidR="00C42663">
        <w:rPr>
          <w:rFonts w:ascii="Calibri" w:hAnsi="Calibri" w:cs="Calibri"/>
          <w:lang w:val="es-GT"/>
        </w:rPr>
        <w:t>,</w:t>
      </w:r>
      <w:r w:rsidRPr="001A01AB">
        <w:rPr>
          <w:rFonts w:ascii="Calibri" w:hAnsi="Calibri" w:cs="Calibri"/>
          <w:lang w:val="es-GT"/>
        </w:rPr>
        <w:t xml:space="preserve"> y particularmente a sectores y ámbitos relacionados con este, dentro de los que destacan el sector agrícola, pecuario y forestal; el sector de medio ambiente en gen</w:t>
      </w:r>
      <w:r w:rsidR="00C42663">
        <w:rPr>
          <w:rFonts w:ascii="Calibri" w:hAnsi="Calibri" w:cs="Calibri"/>
          <w:lang w:val="es-GT"/>
        </w:rPr>
        <w:t>eral;</w:t>
      </w:r>
      <w:r w:rsidRPr="001A01AB">
        <w:rPr>
          <w:rFonts w:ascii="Calibri" w:hAnsi="Calibri" w:cs="Calibri"/>
          <w:lang w:val="es-GT"/>
        </w:rPr>
        <w:t xml:space="preserve"> el ámbito de la seguridad alimentaria y nutricional; el sector de la pequeña y media empresa; entre otros. Los actores relevantes incluidos en la consulta canalizaron sus puntos de vista a través de entrevistas dirigidas y grupos focales organizados para el efecto. </w:t>
      </w:r>
    </w:p>
    <w:p w:rsidR="002E6EB9" w:rsidRPr="001A01AB" w:rsidRDefault="002E6EB9" w:rsidP="002E6EB9">
      <w:pPr>
        <w:ind w:left="360"/>
        <w:jc w:val="both"/>
        <w:rPr>
          <w:rFonts w:ascii="Calibri" w:hAnsi="Calibri" w:cs="Calibri"/>
          <w:lang w:val="es-GT"/>
        </w:rPr>
      </w:pPr>
    </w:p>
    <w:p w:rsidR="00A875E2" w:rsidRPr="001A01AB" w:rsidRDefault="002E6EB9" w:rsidP="002E6EB9">
      <w:pPr>
        <w:ind w:left="360"/>
        <w:jc w:val="both"/>
        <w:rPr>
          <w:rFonts w:ascii="Calibri" w:hAnsi="Calibri" w:cs="Calibri"/>
          <w:lang w:val="es-GT"/>
        </w:rPr>
      </w:pPr>
      <w:r w:rsidRPr="001A01AB">
        <w:rPr>
          <w:rFonts w:ascii="Calibri" w:hAnsi="Calibri" w:cs="Calibri"/>
          <w:lang w:val="es-GT"/>
        </w:rPr>
        <w:t>E</w:t>
      </w:r>
      <w:r w:rsidR="00C42663">
        <w:rPr>
          <w:rFonts w:ascii="Calibri" w:hAnsi="Calibri" w:cs="Calibri"/>
          <w:lang w:val="es-GT"/>
        </w:rPr>
        <w:t>s importante hacer notar que uno</w:t>
      </w:r>
      <w:r w:rsidRPr="001A01AB">
        <w:rPr>
          <w:rFonts w:ascii="Calibri" w:hAnsi="Calibri" w:cs="Calibri"/>
          <w:lang w:val="es-GT"/>
        </w:rPr>
        <w:t xml:space="preserve"> de los propósitos de la validación es confrontar la visión del equipo planificador con la visión de los actores relevantes. Este proceso se ve reflejado tanto en la sel</w:t>
      </w:r>
      <w:r w:rsidR="00C42663">
        <w:rPr>
          <w:rFonts w:ascii="Calibri" w:hAnsi="Calibri" w:cs="Calibri"/>
          <w:lang w:val="es-GT"/>
        </w:rPr>
        <w:t>ección de los factores críticos y</w:t>
      </w:r>
      <w:r w:rsidRPr="001A01AB">
        <w:rPr>
          <w:rFonts w:ascii="Calibri" w:hAnsi="Calibri" w:cs="Calibri"/>
          <w:lang w:val="es-GT"/>
        </w:rPr>
        <w:t xml:space="preserve"> en los criterios de evaluación</w:t>
      </w:r>
      <w:r w:rsidR="00C42663">
        <w:rPr>
          <w:rFonts w:ascii="Calibri" w:hAnsi="Calibri" w:cs="Calibri"/>
          <w:lang w:val="es-GT"/>
        </w:rPr>
        <w:t>,</w:t>
      </w:r>
      <w:r w:rsidRPr="001A01AB">
        <w:rPr>
          <w:rFonts w:ascii="Calibri" w:hAnsi="Calibri" w:cs="Calibri"/>
          <w:lang w:val="es-GT"/>
        </w:rPr>
        <w:t xml:space="preserve"> como en la selección de las opciones estratégicas del desarrollo rural en Guatemala.</w:t>
      </w:r>
    </w:p>
    <w:p w:rsidR="00A875E2" w:rsidRPr="001A01AB" w:rsidRDefault="00A875E2" w:rsidP="002E6EB9">
      <w:pPr>
        <w:ind w:left="360"/>
        <w:jc w:val="both"/>
        <w:rPr>
          <w:rFonts w:ascii="Calibri" w:hAnsi="Calibri" w:cs="Calibri"/>
          <w:lang w:val="es-GT"/>
        </w:rPr>
      </w:pPr>
    </w:p>
    <w:p w:rsidR="002E6EB9" w:rsidRPr="001A01AB" w:rsidRDefault="002E6EB9" w:rsidP="00A875E2">
      <w:pPr>
        <w:ind w:left="360"/>
        <w:jc w:val="both"/>
        <w:rPr>
          <w:rFonts w:ascii="Calibri" w:hAnsi="Calibri" w:cs="Calibri"/>
          <w:lang w:val="es-GT"/>
        </w:rPr>
      </w:pPr>
      <w:r w:rsidRPr="001A01AB">
        <w:rPr>
          <w:rFonts w:ascii="Calibri" w:hAnsi="Calibri" w:cs="Calibri"/>
          <w:lang w:val="es-GT"/>
        </w:rPr>
        <w:t xml:space="preserve">Como se verá en el </w:t>
      </w:r>
      <w:r w:rsidRPr="000364C9">
        <w:rPr>
          <w:rFonts w:ascii="Calibri" w:hAnsi="Calibri" w:cs="Calibri"/>
          <w:lang w:val="es-GT"/>
        </w:rPr>
        <w:t xml:space="preserve">Anexo </w:t>
      </w:r>
      <w:r w:rsidR="000364C9" w:rsidRPr="000364C9">
        <w:rPr>
          <w:rFonts w:ascii="Calibri" w:hAnsi="Calibri" w:cs="Calibri"/>
          <w:lang w:val="es-GT"/>
        </w:rPr>
        <w:t>2</w:t>
      </w:r>
      <w:r w:rsidRPr="000364C9">
        <w:rPr>
          <w:rFonts w:ascii="Calibri" w:hAnsi="Calibri" w:cs="Calibri"/>
          <w:lang w:val="es-GT"/>
        </w:rPr>
        <w:t>, los actores</w:t>
      </w:r>
      <w:r w:rsidRPr="001A01AB">
        <w:rPr>
          <w:rFonts w:ascii="Calibri" w:hAnsi="Calibri" w:cs="Calibri"/>
          <w:lang w:val="es-GT"/>
        </w:rPr>
        <w:t xml:space="preserve"> rel</w:t>
      </w:r>
      <w:r w:rsidR="00C42663">
        <w:rPr>
          <w:rFonts w:ascii="Calibri" w:hAnsi="Calibri" w:cs="Calibri"/>
          <w:lang w:val="es-GT"/>
        </w:rPr>
        <w:t>evantes son representantes del g</w:t>
      </w:r>
      <w:r w:rsidRPr="001A01AB">
        <w:rPr>
          <w:rFonts w:ascii="Calibri" w:hAnsi="Calibri" w:cs="Calibri"/>
          <w:lang w:val="es-GT"/>
        </w:rPr>
        <w:t xml:space="preserve">obierno, de las organizaciones de la sociedad civil no lucrativa, </w:t>
      </w:r>
      <w:r w:rsidR="001D22D7">
        <w:rPr>
          <w:rFonts w:ascii="Calibri" w:hAnsi="Calibri" w:cs="Calibri"/>
          <w:lang w:val="es-GT"/>
        </w:rPr>
        <w:t>de</w:t>
      </w:r>
      <w:r w:rsidRPr="001A01AB">
        <w:rPr>
          <w:rFonts w:ascii="Calibri" w:hAnsi="Calibri" w:cs="Calibri"/>
          <w:lang w:val="es-GT"/>
        </w:rPr>
        <w:t xml:space="preserve"> los movimientos campesinos, del sector privado empresarial, de la academia y de la cooperación internacional.</w:t>
      </w:r>
    </w:p>
    <w:p w:rsidR="00544D7C" w:rsidRPr="001A01AB" w:rsidRDefault="00E85044" w:rsidP="001A01AB">
      <w:pPr>
        <w:pStyle w:val="Prrafodelista"/>
        <w:numPr>
          <w:ilvl w:val="0"/>
          <w:numId w:val="22"/>
        </w:numPr>
        <w:pBdr>
          <w:bottom w:val="single" w:sz="12" w:space="1" w:color="365F91"/>
        </w:pBdr>
        <w:autoSpaceDE w:val="0"/>
        <w:autoSpaceDN w:val="0"/>
        <w:adjustRightInd w:val="0"/>
        <w:spacing w:after="120" w:line="264" w:lineRule="auto"/>
        <w:ind w:left="720" w:hanging="720"/>
        <w:jc w:val="both"/>
        <w:outlineLvl w:val="0"/>
        <w:rPr>
          <w:rFonts w:cs="Calibri"/>
          <w:b/>
          <w:color w:val="365F91"/>
          <w:sz w:val="36"/>
          <w:lang w:eastAsia="es-GT"/>
        </w:rPr>
      </w:pPr>
      <w:r w:rsidRPr="001A01AB">
        <w:rPr>
          <w:rFonts w:cs="Calibri"/>
          <w:b/>
        </w:rPr>
        <w:br w:type="page"/>
      </w:r>
      <w:bookmarkStart w:id="42" w:name="_Toc340065159"/>
      <w:bookmarkStart w:id="43" w:name="_Toc340065251"/>
      <w:bookmarkStart w:id="44" w:name="_Toc340565843"/>
      <w:bookmarkStart w:id="45" w:name="_Toc347841293"/>
      <w:r w:rsidR="002E6EB9" w:rsidRPr="001A01AB">
        <w:rPr>
          <w:rFonts w:cs="Calibri"/>
          <w:b/>
          <w:color w:val="365F91"/>
          <w:sz w:val="36"/>
          <w:lang w:eastAsia="es-GT"/>
        </w:rPr>
        <w:lastRenderedPageBreak/>
        <w:t>Caracterización del contexto nacional</w:t>
      </w:r>
      <w:bookmarkEnd w:id="42"/>
      <w:bookmarkEnd w:id="43"/>
      <w:bookmarkEnd w:id="44"/>
      <w:bookmarkEnd w:id="45"/>
    </w:p>
    <w:p w:rsidR="00EE18B4" w:rsidRPr="001A01AB" w:rsidRDefault="00EE18B4" w:rsidP="00DB4A72">
      <w:pPr>
        <w:ind w:left="360"/>
        <w:jc w:val="both"/>
        <w:rPr>
          <w:rFonts w:ascii="Calibri" w:hAnsi="Calibri" w:cs="Calibri"/>
          <w:lang w:val="es-GT"/>
        </w:rPr>
      </w:pPr>
    </w:p>
    <w:p w:rsidR="00544D7C" w:rsidRPr="001A01AB" w:rsidRDefault="00544D7C"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46" w:name="_Toc340065160"/>
      <w:bookmarkStart w:id="47" w:name="_Toc340065252"/>
      <w:bookmarkStart w:id="48" w:name="_Toc340565844"/>
      <w:bookmarkStart w:id="49" w:name="_Toc347841294"/>
      <w:r w:rsidRPr="001A01AB">
        <w:rPr>
          <w:rFonts w:cs="Calibri"/>
          <w:b/>
          <w:color w:val="365F91"/>
          <w:sz w:val="28"/>
          <w:lang w:eastAsia="es-GT"/>
        </w:rPr>
        <w:t>Datos generales</w:t>
      </w:r>
      <w:r w:rsidR="002E6EB9" w:rsidRPr="001A01AB">
        <w:rPr>
          <w:rFonts w:cs="Calibri"/>
          <w:b/>
          <w:color w:val="365F91"/>
          <w:sz w:val="28"/>
          <w:lang w:eastAsia="es-GT"/>
        </w:rPr>
        <w:t xml:space="preserve"> sobre el país</w:t>
      </w:r>
      <w:bookmarkEnd w:id="46"/>
      <w:bookmarkEnd w:id="47"/>
      <w:bookmarkEnd w:id="48"/>
      <w:bookmarkEnd w:id="49"/>
    </w:p>
    <w:p w:rsidR="00EE18B4" w:rsidRPr="001A01AB" w:rsidRDefault="00EE18B4" w:rsidP="00A13498">
      <w:pPr>
        <w:jc w:val="both"/>
        <w:rPr>
          <w:rFonts w:ascii="Calibri" w:hAnsi="Calibri" w:cs="Calibri"/>
          <w:lang w:val="es-GT"/>
        </w:rPr>
      </w:pPr>
    </w:p>
    <w:p w:rsidR="007450B6" w:rsidRPr="007A58FC" w:rsidRDefault="006A30B4" w:rsidP="007450B6">
      <w:pPr>
        <w:jc w:val="both"/>
        <w:rPr>
          <w:rFonts w:ascii="Calibri" w:hAnsi="Calibri" w:cs="Calibri"/>
          <w:color w:val="FF0000"/>
          <w:lang w:val="es-GT"/>
        </w:rPr>
      </w:pPr>
      <w:r w:rsidRPr="001A01AB">
        <w:rPr>
          <w:rFonts w:ascii="Calibri" w:hAnsi="Calibri" w:cs="Calibri"/>
          <w:lang w:val="es-GT"/>
        </w:rPr>
        <w:t>Guatemala se sitúa entre los paralelos 13°30’ a 18°00’ norte y los meridianos 88°00’ a 92°30’ oeste y cuenta con una superficie territorial de 108,889 km</w:t>
      </w:r>
      <w:r w:rsidRPr="001A01AB">
        <w:rPr>
          <w:rFonts w:ascii="Calibri" w:hAnsi="Calibri" w:cs="Calibri"/>
          <w:vertAlign w:val="superscript"/>
          <w:lang w:val="es-GT"/>
        </w:rPr>
        <w:t>2</w:t>
      </w:r>
      <w:r w:rsidR="003F295A" w:rsidRPr="001A01AB">
        <w:rPr>
          <w:rFonts w:ascii="Calibri" w:hAnsi="Calibri" w:cs="Calibri"/>
          <w:lang w:val="es-GT"/>
        </w:rPr>
        <w:t xml:space="preserve"> </w:t>
      </w:r>
      <w:r w:rsidR="00B92BA1" w:rsidRPr="00351A80">
        <w:rPr>
          <w:rFonts w:ascii="Calibri" w:hAnsi="Calibri" w:cs="Calibri"/>
          <w:lang w:val="es-GT"/>
        </w:rPr>
        <w:t xml:space="preserve">(Ver Figura 4). </w:t>
      </w:r>
      <w:r w:rsidR="007450B6" w:rsidRPr="00351A80">
        <w:rPr>
          <w:rFonts w:ascii="Calibri" w:hAnsi="Calibri" w:cs="Calibri"/>
          <w:lang w:val="es-GT"/>
        </w:rPr>
        <w:t>Se encuentra dividida políticamente en ocho regiones (Ver Figura 5), 22 departamentos y 33</w:t>
      </w:r>
      <w:r w:rsidR="00EC32D0" w:rsidRPr="00351A80">
        <w:rPr>
          <w:rFonts w:ascii="Calibri" w:hAnsi="Calibri" w:cs="Calibri"/>
          <w:lang w:val="es-GT"/>
        </w:rPr>
        <w:t>4 municipios</w:t>
      </w:r>
      <w:r w:rsidR="007450B6" w:rsidRPr="00351A80">
        <w:rPr>
          <w:rFonts w:ascii="Calibri" w:hAnsi="Calibri" w:cs="Calibri"/>
          <w:lang w:val="es-GT"/>
        </w:rPr>
        <w:t>.</w:t>
      </w:r>
    </w:p>
    <w:p w:rsidR="007450B6" w:rsidRDefault="007450B6" w:rsidP="00A13498">
      <w:pPr>
        <w:jc w:val="both"/>
        <w:rPr>
          <w:rFonts w:ascii="Calibri" w:hAnsi="Calibri" w:cs="Calibri"/>
          <w:lang w:val="es-GT"/>
        </w:rPr>
      </w:pPr>
    </w:p>
    <w:p w:rsidR="00FF5EF4" w:rsidRPr="001A01AB" w:rsidRDefault="006A30B4" w:rsidP="00A13498">
      <w:pPr>
        <w:jc w:val="both"/>
        <w:rPr>
          <w:rFonts w:ascii="Calibri" w:hAnsi="Calibri" w:cs="Calibri"/>
          <w:lang w:val="es-GT"/>
        </w:rPr>
      </w:pPr>
      <w:r w:rsidRPr="001A01AB">
        <w:rPr>
          <w:rFonts w:ascii="Calibri" w:hAnsi="Calibri" w:cs="Calibri"/>
          <w:lang w:val="es-GT"/>
        </w:rPr>
        <w:t xml:space="preserve">Dentro de sus características de relieve y rasgos geomorfológicos, Guatemala es un país con relieve marcadamente montañoso en casi el 60% de su </w:t>
      </w:r>
      <w:r w:rsidR="0049770F" w:rsidRPr="001A01AB">
        <w:rPr>
          <w:rFonts w:ascii="Calibri" w:hAnsi="Calibri" w:cs="Calibri"/>
          <w:lang w:val="es-GT"/>
        </w:rPr>
        <w:t>superficie</w:t>
      </w:r>
      <w:r w:rsidR="00EC32D0">
        <w:rPr>
          <w:rFonts w:ascii="Calibri" w:hAnsi="Calibri" w:cs="Calibri"/>
          <w:lang w:val="es-GT"/>
        </w:rPr>
        <w:t xml:space="preserve">, </w:t>
      </w:r>
      <w:r w:rsidR="00FF5EF4" w:rsidRPr="001A01AB">
        <w:rPr>
          <w:rFonts w:ascii="Calibri" w:hAnsi="Calibri" w:cs="Calibri"/>
          <w:lang w:val="es-GT"/>
        </w:rPr>
        <w:t xml:space="preserve">variado </w:t>
      </w:r>
      <w:r w:rsidRPr="001A01AB">
        <w:rPr>
          <w:rFonts w:ascii="Calibri" w:hAnsi="Calibri" w:cs="Calibri"/>
          <w:lang w:val="es-GT"/>
        </w:rPr>
        <w:t>desde el nivel del mar hasta aproximadamente 4,211 msnm</w:t>
      </w:r>
      <w:r w:rsidR="0049770F">
        <w:rPr>
          <w:rFonts w:ascii="Calibri" w:hAnsi="Calibri" w:cs="Calibri"/>
          <w:lang w:val="es-GT"/>
        </w:rPr>
        <w:t xml:space="preserve">. Las </w:t>
      </w:r>
      <w:r w:rsidRPr="001A01AB">
        <w:rPr>
          <w:rFonts w:ascii="Calibri" w:hAnsi="Calibri" w:cs="Calibri"/>
          <w:lang w:val="es-GT"/>
        </w:rPr>
        <w:t>precipitaci</w:t>
      </w:r>
      <w:r w:rsidR="00FF5EF4" w:rsidRPr="001A01AB">
        <w:rPr>
          <w:rFonts w:ascii="Calibri" w:hAnsi="Calibri" w:cs="Calibri"/>
          <w:lang w:val="es-GT"/>
        </w:rPr>
        <w:t>ones</w:t>
      </w:r>
      <w:r w:rsidRPr="001A01AB">
        <w:rPr>
          <w:rFonts w:ascii="Calibri" w:hAnsi="Calibri" w:cs="Calibri"/>
          <w:lang w:val="es-GT"/>
        </w:rPr>
        <w:t xml:space="preserve"> pluvial</w:t>
      </w:r>
      <w:r w:rsidR="00FF5EF4" w:rsidRPr="001A01AB">
        <w:rPr>
          <w:rFonts w:ascii="Calibri" w:hAnsi="Calibri" w:cs="Calibri"/>
          <w:lang w:val="es-GT"/>
        </w:rPr>
        <w:t>es</w:t>
      </w:r>
      <w:r w:rsidRPr="001A01AB">
        <w:rPr>
          <w:rFonts w:ascii="Calibri" w:hAnsi="Calibri" w:cs="Calibri"/>
          <w:lang w:val="es-GT"/>
        </w:rPr>
        <w:t xml:space="preserve"> difiere</w:t>
      </w:r>
      <w:r w:rsidR="0049770F">
        <w:rPr>
          <w:rFonts w:ascii="Calibri" w:hAnsi="Calibri" w:cs="Calibri"/>
          <w:lang w:val="es-GT"/>
        </w:rPr>
        <w:t>n</w:t>
      </w:r>
      <w:r w:rsidRPr="001A01AB">
        <w:rPr>
          <w:rFonts w:ascii="Calibri" w:hAnsi="Calibri" w:cs="Calibri"/>
          <w:lang w:val="es-GT"/>
        </w:rPr>
        <w:t xml:space="preserve"> de una zona a otra</w:t>
      </w:r>
      <w:r w:rsidR="0049770F">
        <w:rPr>
          <w:rFonts w:ascii="Calibri" w:hAnsi="Calibri" w:cs="Calibri"/>
          <w:lang w:val="es-GT"/>
        </w:rPr>
        <w:t>,</w:t>
      </w:r>
      <w:r w:rsidRPr="001A01AB">
        <w:rPr>
          <w:rFonts w:ascii="Calibri" w:hAnsi="Calibri" w:cs="Calibri"/>
          <w:lang w:val="es-GT"/>
        </w:rPr>
        <w:t xml:space="preserve"> desde los 400 hasta apr</w:t>
      </w:r>
      <w:r w:rsidR="00FF5EF4" w:rsidRPr="001A01AB">
        <w:rPr>
          <w:rFonts w:ascii="Calibri" w:hAnsi="Calibri" w:cs="Calibri"/>
          <w:lang w:val="es-GT"/>
        </w:rPr>
        <w:t>oxim</w:t>
      </w:r>
      <w:r w:rsidR="00C42663">
        <w:rPr>
          <w:rFonts w:ascii="Calibri" w:hAnsi="Calibri" w:cs="Calibri"/>
          <w:lang w:val="es-GT"/>
        </w:rPr>
        <w:t xml:space="preserve">adamente 4,000 mm anuales (MARN, IARNA-URL y </w:t>
      </w:r>
      <w:r w:rsidR="00FF5EF4" w:rsidRPr="001A01AB">
        <w:rPr>
          <w:rFonts w:ascii="Calibri" w:hAnsi="Calibri" w:cs="Calibri"/>
          <w:lang w:val="es-GT"/>
        </w:rPr>
        <w:t>PNUD, 2009).</w:t>
      </w:r>
    </w:p>
    <w:p w:rsidR="00FF5EF4" w:rsidRPr="001A01AB" w:rsidRDefault="00FF5EF4" w:rsidP="00A13498">
      <w:pPr>
        <w:jc w:val="both"/>
        <w:rPr>
          <w:rFonts w:ascii="Calibri" w:hAnsi="Calibri" w:cs="Calibri"/>
          <w:lang w:val="es-GT"/>
        </w:rPr>
      </w:pPr>
    </w:p>
    <w:p w:rsidR="006A30B4" w:rsidRPr="001A01AB" w:rsidRDefault="006A30B4" w:rsidP="00A13498">
      <w:pPr>
        <w:spacing w:after="120"/>
        <w:jc w:val="both"/>
        <w:rPr>
          <w:rFonts w:ascii="Calibri" w:hAnsi="Calibri" w:cs="Calibri"/>
          <w:lang w:val="es-GT"/>
        </w:rPr>
      </w:pPr>
      <w:r w:rsidRPr="001A01AB">
        <w:rPr>
          <w:rFonts w:ascii="Calibri" w:hAnsi="Calibri" w:cs="Calibri"/>
          <w:lang w:val="es-GT"/>
        </w:rPr>
        <w:t xml:space="preserve">El clima de Guatemala adquiere características particulares por </w:t>
      </w:r>
      <w:r w:rsidR="00C42663">
        <w:rPr>
          <w:rFonts w:ascii="Calibri" w:hAnsi="Calibri" w:cs="Calibri"/>
          <w:lang w:val="es-GT"/>
        </w:rPr>
        <w:t>su</w:t>
      </w:r>
      <w:r w:rsidRPr="001A01AB">
        <w:rPr>
          <w:rFonts w:ascii="Calibri" w:hAnsi="Calibri" w:cs="Calibri"/>
          <w:lang w:val="es-GT"/>
        </w:rPr>
        <w:t xml:space="preserve"> posición geográfica y topografía</w:t>
      </w:r>
      <w:r w:rsidR="00367EB6">
        <w:rPr>
          <w:rFonts w:ascii="Calibri" w:hAnsi="Calibri" w:cs="Calibri"/>
          <w:lang w:val="es-GT"/>
        </w:rPr>
        <w:t>,</w:t>
      </w:r>
      <w:r w:rsidRPr="001A01AB">
        <w:rPr>
          <w:rFonts w:ascii="Calibri" w:hAnsi="Calibri" w:cs="Calibri"/>
          <w:lang w:val="es-GT"/>
        </w:rPr>
        <w:t xml:space="preserve"> y se ha zonificado en seis regiones climáticas según el sistema de Thorntwaite, siendo éstas: </w:t>
      </w:r>
      <w:r w:rsidR="00B94976" w:rsidRPr="001A01AB">
        <w:rPr>
          <w:rFonts w:ascii="Calibri" w:hAnsi="Calibri" w:cs="Calibri"/>
          <w:lang w:val="es-GT"/>
        </w:rPr>
        <w:t xml:space="preserve">a) </w:t>
      </w:r>
      <w:r w:rsidRPr="001A01AB">
        <w:rPr>
          <w:rFonts w:ascii="Calibri" w:hAnsi="Calibri" w:cs="Calibri"/>
          <w:lang w:val="es-GT"/>
        </w:rPr>
        <w:t>Planicies del norte</w:t>
      </w:r>
      <w:r w:rsidR="00367EB6">
        <w:rPr>
          <w:rFonts w:ascii="Calibri" w:hAnsi="Calibri" w:cs="Calibri"/>
          <w:lang w:val="es-GT"/>
        </w:rPr>
        <w:t>,</w:t>
      </w:r>
      <w:r w:rsidRPr="001A01AB">
        <w:rPr>
          <w:rFonts w:ascii="Calibri" w:hAnsi="Calibri" w:cs="Calibri"/>
          <w:lang w:val="es-GT"/>
        </w:rPr>
        <w:t xml:space="preserve"> con elevaciones que oscilan entre 0 a 300 msnm y temperatura </w:t>
      </w:r>
      <w:r w:rsidR="00367EB6">
        <w:rPr>
          <w:rFonts w:ascii="Calibri" w:hAnsi="Calibri" w:cs="Calibri"/>
          <w:lang w:val="es-GT"/>
        </w:rPr>
        <w:t>que varía</w:t>
      </w:r>
      <w:r w:rsidR="00FF5EF4" w:rsidRPr="001A01AB">
        <w:rPr>
          <w:rFonts w:ascii="Calibri" w:hAnsi="Calibri" w:cs="Calibri"/>
          <w:lang w:val="es-GT"/>
        </w:rPr>
        <w:t xml:space="preserve"> entre los 20 y 30°C;</w:t>
      </w:r>
      <w:r w:rsidR="00B94976" w:rsidRPr="001A01AB">
        <w:rPr>
          <w:rFonts w:ascii="Calibri" w:hAnsi="Calibri" w:cs="Calibri"/>
          <w:lang w:val="es-GT"/>
        </w:rPr>
        <w:t xml:space="preserve"> b) </w:t>
      </w:r>
      <w:r w:rsidRPr="001A01AB">
        <w:rPr>
          <w:rFonts w:ascii="Calibri" w:hAnsi="Calibri" w:cs="Calibri"/>
          <w:lang w:val="es-GT"/>
        </w:rPr>
        <w:t>Franja transversal del norte</w:t>
      </w:r>
      <w:r w:rsidR="00367EB6">
        <w:rPr>
          <w:rFonts w:ascii="Calibri" w:hAnsi="Calibri" w:cs="Calibri"/>
          <w:lang w:val="es-GT"/>
        </w:rPr>
        <w:t>,</w:t>
      </w:r>
      <w:r w:rsidRPr="001A01AB">
        <w:rPr>
          <w:rFonts w:ascii="Calibri" w:hAnsi="Calibri" w:cs="Calibri"/>
          <w:lang w:val="es-GT"/>
        </w:rPr>
        <w:t xml:space="preserve"> con elevaciones </w:t>
      </w:r>
      <w:r w:rsidR="00367EB6">
        <w:rPr>
          <w:rFonts w:ascii="Calibri" w:hAnsi="Calibri" w:cs="Calibri"/>
          <w:lang w:val="es-GT"/>
        </w:rPr>
        <w:t xml:space="preserve">que </w:t>
      </w:r>
      <w:r w:rsidRPr="001A01AB">
        <w:rPr>
          <w:rFonts w:ascii="Calibri" w:hAnsi="Calibri" w:cs="Calibri"/>
          <w:lang w:val="es-GT"/>
        </w:rPr>
        <w:t>oscilan entre los 300 hasta los 1,400 msnm</w:t>
      </w:r>
      <w:r w:rsidR="00B94976" w:rsidRPr="001A01AB">
        <w:rPr>
          <w:rFonts w:ascii="Calibri" w:hAnsi="Calibri" w:cs="Calibri"/>
          <w:lang w:val="es-GT"/>
        </w:rPr>
        <w:t>,</w:t>
      </w:r>
      <w:r w:rsidRPr="001A01AB">
        <w:rPr>
          <w:rFonts w:ascii="Calibri" w:hAnsi="Calibri" w:cs="Calibri"/>
          <w:lang w:val="es-GT"/>
        </w:rPr>
        <w:t xml:space="preserve"> es una región muy lluviosa y los niveles de temperatura descienden conforme aumenta la elevación; </w:t>
      </w:r>
      <w:r w:rsidR="00B94976" w:rsidRPr="001A01AB">
        <w:rPr>
          <w:rFonts w:ascii="Calibri" w:hAnsi="Calibri" w:cs="Calibri"/>
          <w:lang w:val="es-GT"/>
        </w:rPr>
        <w:t xml:space="preserve">c) </w:t>
      </w:r>
      <w:r w:rsidRPr="001A01AB">
        <w:rPr>
          <w:rFonts w:ascii="Calibri" w:hAnsi="Calibri" w:cs="Calibri"/>
          <w:lang w:val="es-GT"/>
        </w:rPr>
        <w:t>Meseta y altiplanos</w:t>
      </w:r>
      <w:r w:rsidR="00367EB6">
        <w:rPr>
          <w:rFonts w:ascii="Calibri" w:hAnsi="Calibri" w:cs="Calibri"/>
          <w:lang w:val="es-GT"/>
        </w:rPr>
        <w:t>,</w:t>
      </w:r>
      <w:r w:rsidRPr="001A01AB">
        <w:rPr>
          <w:rFonts w:ascii="Calibri" w:hAnsi="Calibri" w:cs="Calibri"/>
          <w:lang w:val="es-GT"/>
        </w:rPr>
        <w:t xml:space="preserve"> con elevaciones mayores o iguales a 1,400 msnm, generando una diversidad de microclimas; </w:t>
      </w:r>
      <w:r w:rsidR="00B94976" w:rsidRPr="001A01AB">
        <w:rPr>
          <w:rFonts w:ascii="Calibri" w:hAnsi="Calibri" w:cs="Calibri"/>
          <w:lang w:val="es-GT"/>
        </w:rPr>
        <w:t xml:space="preserve">d) </w:t>
      </w:r>
      <w:r w:rsidR="00A04815" w:rsidRPr="001A01AB">
        <w:rPr>
          <w:rFonts w:ascii="Calibri" w:hAnsi="Calibri" w:cs="Calibri"/>
          <w:lang w:val="es-GT"/>
        </w:rPr>
        <w:t>Boca costa</w:t>
      </w:r>
      <w:r w:rsidR="00367EB6">
        <w:rPr>
          <w:rFonts w:ascii="Calibri" w:hAnsi="Calibri" w:cs="Calibri"/>
          <w:lang w:val="es-GT"/>
        </w:rPr>
        <w:t>,</w:t>
      </w:r>
      <w:r w:rsidRPr="001A01AB">
        <w:rPr>
          <w:rFonts w:ascii="Calibri" w:hAnsi="Calibri" w:cs="Calibri"/>
          <w:lang w:val="es-GT"/>
        </w:rPr>
        <w:t xml:space="preserve"> con elevaciones que oscilan entre los </w:t>
      </w:r>
      <w:r w:rsidR="00367EB6">
        <w:rPr>
          <w:rFonts w:ascii="Calibri" w:hAnsi="Calibri" w:cs="Calibri"/>
          <w:lang w:val="es-GT"/>
        </w:rPr>
        <w:t>300 a 1,400 msnm y lluvias que alcanzan</w:t>
      </w:r>
      <w:r w:rsidRPr="001A01AB">
        <w:rPr>
          <w:rFonts w:ascii="Calibri" w:hAnsi="Calibri" w:cs="Calibri"/>
          <w:lang w:val="es-GT"/>
        </w:rPr>
        <w:t xml:space="preserve"> los niveles más altos del país; </w:t>
      </w:r>
      <w:r w:rsidR="00B94976" w:rsidRPr="001A01AB">
        <w:rPr>
          <w:rFonts w:ascii="Calibri" w:hAnsi="Calibri" w:cs="Calibri"/>
          <w:lang w:val="es-GT"/>
        </w:rPr>
        <w:t xml:space="preserve">e) </w:t>
      </w:r>
      <w:r w:rsidRPr="001A01AB">
        <w:rPr>
          <w:rFonts w:ascii="Calibri" w:hAnsi="Calibri" w:cs="Calibri"/>
          <w:lang w:val="es-GT"/>
        </w:rPr>
        <w:t>Planicie costera del Pacífico</w:t>
      </w:r>
      <w:r w:rsidR="00367EB6">
        <w:rPr>
          <w:rFonts w:ascii="Calibri" w:hAnsi="Calibri" w:cs="Calibri"/>
          <w:lang w:val="es-GT"/>
        </w:rPr>
        <w:t>,</w:t>
      </w:r>
      <w:r w:rsidRPr="001A01AB">
        <w:rPr>
          <w:rFonts w:ascii="Calibri" w:hAnsi="Calibri" w:cs="Calibri"/>
          <w:lang w:val="es-GT"/>
        </w:rPr>
        <w:t xml:space="preserve"> con elevaciones de 0 a 300 msnm y se caracteriza por ser un área con invierno seco</w:t>
      </w:r>
      <w:r w:rsidR="00FF5EF4" w:rsidRPr="001A01AB">
        <w:rPr>
          <w:rFonts w:ascii="Calibri" w:hAnsi="Calibri" w:cs="Calibri"/>
          <w:lang w:val="es-GT"/>
        </w:rPr>
        <w:t>;</w:t>
      </w:r>
      <w:r w:rsidR="00B94976" w:rsidRPr="001A01AB">
        <w:rPr>
          <w:rFonts w:ascii="Calibri" w:hAnsi="Calibri" w:cs="Calibri"/>
          <w:lang w:val="es-GT"/>
        </w:rPr>
        <w:t xml:space="preserve"> y f) </w:t>
      </w:r>
      <w:r w:rsidRPr="001A01AB">
        <w:rPr>
          <w:rFonts w:ascii="Calibri" w:hAnsi="Calibri" w:cs="Calibri"/>
          <w:lang w:val="es-GT"/>
        </w:rPr>
        <w:t>Zona oriental</w:t>
      </w:r>
      <w:r w:rsidR="00367EB6">
        <w:rPr>
          <w:rFonts w:ascii="Calibri" w:hAnsi="Calibri" w:cs="Calibri"/>
          <w:lang w:val="es-GT"/>
        </w:rPr>
        <w:t>,</w:t>
      </w:r>
      <w:r w:rsidRPr="001A01AB">
        <w:rPr>
          <w:rFonts w:ascii="Calibri" w:hAnsi="Calibri" w:cs="Calibri"/>
          <w:lang w:val="es-GT"/>
        </w:rPr>
        <w:t xml:space="preserve"> con elevaciones menores o iguales a 1,400 msnm</w:t>
      </w:r>
      <w:r w:rsidR="00367EB6">
        <w:rPr>
          <w:rFonts w:ascii="Calibri" w:hAnsi="Calibri" w:cs="Calibri"/>
          <w:lang w:val="es-GT"/>
        </w:rPr>
        <w:t xml:space="preserve"> (MARN, IARNA-URL y </w:t>
      </w:r>
      <w:r w:rsidR="00B94976" w:rsidRPr="001A01AB">
        <w:rPr>
          <w:rFonts w:ascii="Calibri" w:hAnsi="Calibri" w:cs="Calibri"/>
          <w:lang w:val="es-GT"/>
        </w:rPr>
        <w:t>PNUD, 2009)</w:t>
      </w:r>
      <w:r w:rsidRPr="001A01AB">
        <w:rPr>
          <w:rFonts w:ascii="Calibri" w:hAnsi="Calibri" w:cs="Calibri"/>
          <w:lang w:val="es-GT"/>
        </w:rPr>
        <w:t>.</w:t>
      </w:r>
    </w:p>
    <w:p w:rsidR="006A30B4" w:rsidRPr="001A01AB" w:rsidRDefault="006A30B4" w:rsidP="00A13498">
      <w:pPr>
        <w:jc w:val="both"/>
        <w:rPr>
          <w:rFonts w:ascii="Calibri" w:hAnsi="Calibri" w:cs="Calibri"/>
          <w:lang w:val="es-GT"/>
        </w:rPr>
      </w:pPr>
    </w:p>
    <w:p w:rsidR="006A30B4" w:rsidRPr="00EC32D0" w:rsidRDefault="006A30B4" w:rsidP="00A13498">
      <w:pPr>
        <w:jc w:val="both"/>
        <w:rPr>
          <w:rFonts w:ascii="Calibri" w:hAnsi="Calibri" w:cs="Calibri"/>
          <w:lang w:val="es-GT"/>
        </w:rPr>
      </w:pPr>
      <w:r w:rsidRPr="001A01AB">
        <w:rPr>
          <w:rFonts w:ascii="Calibri" w:hAnsi="Calibri" w:cs="Calibri"/>
          <w:lang w:val="es-GT"/>
        </w:rPr>
        <w:t xml:space="preserve">En cuanto a hidrografía, en Guatemala se </w:t>
      </w:r>
      <w:r w:rsidR="001D22D7">
        <w:rPr>
          <w:rFonts w:ascii="Calibri" w:hAnsi="Calibri" w:cs="Calibri"/>
          <w:lang w:val="es-GT"/>
        </w:rPr>
        <w:t>definen</w:t>
      </w:r>
      <w:r w:rsidRPr="001A01AB">
        <w:rPr>
          <w:rFonts w:ascii="Calibri" w:hAnsi="Calibri" w:cs="Calibri"/>
          <w:lang w:val="es-GT"/>
        </w:rPr>
        <w:t xml:space="preserve"> tres grandes regiones hidrográficas o vertientes, siendo éstas: la vertiente del océano Pacífico (24,016 km</w:t>
      </w:r>
      <w:r w:rsidRPr="001A01AB">
        <w:rPr>
          <w:rFonts w:ascii="Calibri" w:hAnsi="Calibri" w:cs="Calibri"/>
          <w:vertAlign w:val="superscript"/>
          <w:lang w:val="es-GT"/>
        </w:rPr>
        <w:t>2</w:t>
      </w:r>
      <w:r w:rsidRPr="001A01AB">
        <w:rPr>
          <w:rFonts w:ascii="Calibri" w:hAnsi="Calibri" w:cs="Calibri"/>
          <w:lang w:val="es-GT"/>
        </w:rPr>
        <w:t>), y las vertientes del Atlántico, que a su vez se divide en dos: la vertiente del Atlántico Caribe (34,143 km</w:t>
      </w:r>
      <w:r w:rsidRPr="001A01AB">
        <w:rPr>
          <w:rFonts w:ascii="Calibri" w:hAnsi="Calibri" w:cs="Calibri"/>
          <w:vertAlign w:val="superscript"/>
          <w:lang w:val="es-GT"/>
        </w:rPr>
        <w:t>2</w:t>
      </w:r>
      <w:r w:rsidRPr="001A01AB">
        <w:rPr>
          <w:rFonts w:ascii="Calibri" w:hAnsi="Calibri" w:cs="Calibri"/>
          <w:lang w:val="es-GT"/>
        </w:rPr>
        <w:t>), de los ríos que desembocan en el golfo de Honduras y la vertiente del golfo de México (50,</w:t>
      </w:r>
      <w:r w:rsidRPr="00EC32D0">
        <w:rPr>
          <w:rFonts w:ascii="Calibri" w:hAnsi="Calibri" w:cs="Calibri"/>
          <w:lang w:val="es-GT"/>
        </w:rPr>
        <w:t>730 km</w:t>
      </w:r>
      <w:r w:rsidRPr="00EC32D0">
        <w:rPr>
          <w:rFonts w:ascii="Calibri" w:hAnsi="Calibri" w:cs="Calibri"/>
          <w:vertAlign w:val="superscript"/>
          <w:lang w:val="es-GT"/>
        </w:rPr>
        <w:t>2</w:t>
      </w:r>
      <w:r w:rsidRPr="00EC32D0">
        <w:rPr>
          <w:rFonts w:ascii="Calibri" w:hAnsi="Calibri" w:cs="Calibri"/>
          <w:lang w:val="es-GT"/>
        </w:rPr>
        <w:t>), de los ríos ubicados en la península de Yucatán.</w:t>
      </w:r>
      <w:r w:rsidR="003F295A" w:rsidRPr="00EC32D0">
        <w:rPr>
          <w:rFonts w:ascii="Calibri" w:hAnsi="Calibri" w:cs="Calibri"/>
          <w:lang w:val="es-GT"/>
        </w:rPr>
        <w:t xml:space="preserve"> </w:t>
      </w:r>
      <w:r w:rsidRPr="00EC32D0">
        <w:rPr>
          <w:rFonts w:ascii="Calibri" w:hAnsi="Calibri" w:cs="Calibri"/>
          <w:lang w:val="es-GT"/>
        </w:rPr>
        <w:t>El litoral costero de Guatemala tiene una</w:t>
      </w:r>
      <w:r w:rsidR="0049770F" w:rsidRPr="00EC32D0">
        <w:rPr>
          <w:rFonts w:ascii="Calibri" w:hAnsi="Calibri" w:cs="Calibri"/>
          <w:lang w:val="es-GT"/>
        </w:rPr>
        <w:t xml:space="preserve"> longitud</w:t>
      </w:r>
      <w:r w:rsidRPr="00EC32D0">
        <w:rPr>
          <w:rFonts w:ascii="Calibri" w:hAnsi="Calibri" w:cs="Calibri"/>
          <w:lang w:val="es-GT"/>
        </w:rPr>
        <w:t xml:space="preserve"> de 402 km, conformado por </w:t>
      </w:r>
      <w:r w:rsidR="00B94976" w:rsidRPr="00EC32D0">
        <w:rPr>
          <w:rFonts w:ascii="Calibri" w:hAnsi="Calibri" w:cs="Calibri"/>
          <w:lang w:val="es-GT"/>
        </w:rPr>
        <w:t>l</w:t>
      </w:r>
      <w:r w:rsidRPr="00EC32D0">
        <w:rPr>
          <w:rFonts w:ascii="Calibri" w:hAnsi="Calibri" w:cs="Calibri"/>
          <w:lang w:val="es-GT"/>
        </w:rPr>
        <w:t xml:space="preserve">as costas del </w:t>
      </w:r>
      <w:r w:rsidR="00367EB6">
        <w:rPr>
          <w:rFonts w:ascii="Calibri" w:hAnsi="Calibri" w:cs="Calibri"/>
          <w:lang w:val="es-GT"/>
        </w:rPr>
        <w:t>m</w:t>
      </w:r>
      <w:r w:rsidRPr="00EC32D0">
        <w:rPr>
          <w:rFonts w:ascii="Calibri" w:hAnsi="Calibri" w:cs="Calibri"/>
          <w:lang w:val="es-GT"/>
        </w:rPr>
        <w:t>ar Caribe, estimadas en 148 km y el litoral coster</w:t>
      </w:r>
      <w:r w:rsidR="00367EB6">
        <w:rPr>
          <w:rFonts w:ascii="Calibri" w:hAnsi="Calibri" w:cs="Calibri"/>
          <w:lang w:val="es-GT"/>
        </w:rPr>
        <w:t xml:space="preserve">o del Pacífico con 254 km (MARN, IARNA-URL y </w:t>
      </w:r>
      <w:r w:rsidRPr="00EC32D0">
        <w:rPr>
          <w:rFonts w:ascii="Calibri" w:hAnsi="Calibri" w:cs="Calibri"/>
          <w:lang w:val="es-GT"/>
        </w:rPr>
        <w:t>PNUD, 2009).</w:t>
      </w:r>
    </w:p>
    <w:p w:rsidR="006A30B4" w:rsidRPr="001A01AB" w:rsidRDefault="006A30B4" w:rsidP="00A13498">
      <w:pPr>
        <w:jc w:val="both"/>
        <w:rPr>
          <w:rFonts w:ascii="Calibri" w:hAnsi="Calibri" w:cs="Calibri"/>
          <w:lang w:val="es-GT"/>
        </w:rPr>
      </w:pPr>
    </w:p>
    <w:p w:rsidR="006A30B4" w:rsidRPr="001A01AB" w:rsidRDefault="006A30B4" w:rsidP="00A13498">
      <w:pPr>
        <w:jc w:val="both"/>
        <w:rPr>
          <w:rFonts w:ascii="Calibri" w:hAnsi="Calibri" w:cs="Calibri"/>
          <w:lang w:val="es-GT"/>
        </w:rPr>
      </w:pPr>
      <w:r w:rsidRPr="001A01AB">
        <w:rPr>
          <w:rFonts w:ascii="Calibri" w:hAnsi="Calibri" w:cs="Calibri"/>
          <w:lang w:val="es-GT"/>
        </w:rPr>
        <w:t>Los suelos de Guatemala son heterogéneos, dada la diversidad de las condiciones geológicas, orográficas, líticas y de procesos formadores. Para su enfoque general se agrupan en siete órdenes que son producto de variedad de climas y procesos de formación geológica</w:t>
      </w:r>
      <w:r w:rsidR="0049770F">
        <w:rPr>
          <w:rFonts w:ascii="Calibri" w:hAnsi="Calibri" w:cs="Calibri"/>
          <w:lang w:val="es-GT"/>
        </w:rPr>
        <w:t>.</w:t>
      </w:r>
      <w:r w:rsidR="003F295A" w:rsidRPr="001A01AB">
        <w:rPr>
          <w:rFonts w:ascii="Calibri" w:hAnsi="Calibri" w:cs="Calibri"/>
          <w:lang w:val="es-GT"/>
        </w:rPr>
        <w:t xml:space="preserve"> </w:t>
      </w:r>
      <w:r w:rsidRPr="001A01AB">
        <w:rPr>
          <w:rFonts w:ascii="Calibri" w:hAnsi="Calibri" w:cs="Calibri"/>
          <w:lang w:val="es-GT"/>
        </w:rPr>
        <w:t>Según la capacidad de uso de la tierra</w:t>
      </w:r>
      <w:r w:rsidR="00B94976" w:rsidRPr="001A01AB">
        <w:rPr>
          <w:rStyle w:val="Refdenotaalpie"/>
          <w:rFonts w:ascii="Calibri" w:hAnsi="Calibri" w:cs="Calibri"/>
          <w:lang w:val="es-GT"/>
        </w:rPr>
        <w:footnoteReference w:id="2"/>
      </w:r>
      <w:r w:rsidRPr="001A01AB">
        <w:rPr>
          <w:rFonts w:ascii="Calibri" w:hAnsi="Calibri" w:cs="Calibri"/>
          <w:lang w:val="es-GT"/>
        </w:rPr>
        <w:t>, el 34.4% del territorio nacional tiene capacidad para soportar cultivos agrícolas, el 17% cultivos agrícolas no arables, el 41.</w:t>
      </w:r>
      <w:r w:rsidR="00992A99" w:rsidRPr="001A01AB">
        <w:rPr>
          <w:rFonts w:ascii="Calibri" w:hAnsi="Calibri" w:cs="Calibri"/>
          <w:lang w:val="es-GT"/>
        </w:rPr>
        <w:t>4</w:t>
      </w:r>
      <w:r w:rsidRPr="001A01AB">
        <w:rPr>
          <w:rFonts w:ascii="Calibri" w:hAnsi="Calibri" w:cs="Calibri"/>
          <w:lang w:val="es-GT"/>
        </w:rPr>
        <w:t>% cultivos no agrícolas y el 7.</w:t>
      </w:r>
      <w:r w:rsidR="00992A99" w:rsidRPr="001A01AB">
        <w:rPr>
          <w:rFonts w:ascii="Calibri" w:hAnsi="Calibri" w:cs="Calibri"/>
          <w:lang w:val="es-GT"/>
        </w:rPr>
        <w:t>2</w:t>
      </w:r>
      <w:r w:rsidRPr="001A01AB">
        <w:rPr>
          <w:rFonts w:ascii="Calibri" w:hAnsi="Calibri" w:cs="Calibri"/>
          <w:lang w:val="es-GT"/>
        </w:rPr>
        <w:t>% correspond</w:t>
      </w:r>
      <w:r w:rsidR="00367EB6">
        <w:rPr>
          <w:rFonts w:ascii="Calibri" w:hAnsi="Calibri" w:cs="Calibri"/>
          <w:lang w:val="es-GT"/>
        </w:rPr>
        <w:t xml:space="preserve">e a tierras de protección (MARN, IARNA-URL y </w:t>
      </w:r>
      <w:r w:rsidRPr="001A01AB">
        <w:rPr>
          <w:rFonts w:ascii="Calibri" w:hAnsi="Calibri" w:cs="Calibri"/>
          <w:lang w:val="es-GT"/>
        </w:rPr>
        <w:t>PNUD, 2009).</w:t>
      </w:r>
    </w:p>
    <w:p w:rsidR="006A30B4" w:rsidRDefault="006A30B4" w:rsidP="00A13498">
      <w:pPr>
        <w:autoSpaceDE w:val="0"/>
        <w:autoSpaceDN w:val="0"/>
        <w:adjustRightInd w:val="0"/>
        <w:jc w:val="both"/>
        <w:rPr>
          <w:rFonts w:ascii="Calibri" w:hAnsi="Calibri" w:cs="Calibri"/>
          <w:lang w:val="es-GT"/>
        </w:rPr>
      </w:pPr>
    </w:p>
    <w:p w:rsidR="00B92BA1" w:rsidRPr="00224B57" w:rsidRDefault="00B92BA1" w:rsidP="00B92BA1">
      <w:pPr>
        <w:spacing w:after="120"/>
        <w:jc w:val="center"/>
        <w:rPr>
          <w:rFonts w:ascii="Calibri" w:eastAsia="Calibri" w:hAnsi="Calibri" w:cs="Calibri"/>
          <w:b/>
          <w:color w:val="365F91"/>
          <w:sz w:val="22"/>
          <w:szCs w:val="22"/>
          <w:lang w:val="es-GT"/>
        </w:rPr>
      </w:pPr>
      <w:bookmarkStart w:id="50" w:name="_Toc347841227"/>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Ubicación de Guatemala en Mesoamérica y América</w:t>
      </w:r>
      <w:bookmarkEnd w:id="50"/>
    </w:p>
    <w:p w:rsidR="00B92BA1" w:rsidRPr="007A58FC" w:rsidRDefault="00544A9F" w:rsidP="00B92BA1">
      <w:pPr>
        <w:autoSpaceDE w:val="0"/>
        <w:autoSpaceDN w:val="0"/>
        <w:adjustRightInd w:val="0"/>
        <w:jc w:val="center"/>
        <w:rPr>
          <w:rFonts w:ascii="Calibri" w:hAnsi="Calibri" w:cs="Calibri"/>
          <w:color w:val="FF0000"/>
          <w:lang w:val="es-GT"/>
        </w:rPr>
      </w:pPr>
      <w:r>
        <w:rPr>
          <w:rFonts w:ascii="Calibri" w:hAnsi="Calibri" w:cs="Calibri"/>
          <w:noProof/>
          <w:color w:val="FF0000"/>
          <w:lang w:val="es-GT" w:eastAsia="es-GT"/>
        </w:rPr>
        <w:drawing>
          <wp:inline distT="0" distB="0" distL="0" distR="0" wp14:anchorId="32BF1FCD" wp14:editId="6933BF6E">
            <wp:extent cx="5848350" cy="7496175"/>
            <wp:effectExtent l="0" t="0" r="0" b="9525"/>
            <wp:docPr id="9" name="Imagen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17" cstate="print">
                      <a:extLst>
                        <a:ext uri="{28A0092B-C50C-407E-A947-70E740481C1C}">
                          <a14:useLocalDpi xmlns:a14="http://schemas.microsoft.com/office/drawing/2010/main" val="0"/>
                        </a:ext>
                      </a:extLst>
                    </a:blip>
                    <a:srcRect l="13647" t="16000" r="9529" b="8182"/>
                    <a:stretch>
                      <a:fillRect/>
                    </a:stretch>
                  </pic:blipFill>
                  <pic:spPr bwMode="auto">
                    <a:xfrm>
                      <a:off x="0" y="0"/>
                      <a:ext cx="5848350" cy="7496175"/>
                    </a:xfrm>
                    <a:prstGeom prst="rect">
                      <a:avLst/>
                    </a:prstGeom>
                    <a:noFill/>
                    <a:ln>
                      <a:noFill/>
                    </a:ln>
                  </pic:spPr>
                </pic:pic>
              </a:graphicData>
            </a:graphic>
          </wp:inline>
        </w:drawing>
      </w:r>
    </w:p>
    <w:p w:rsidR="00B92BA1" w:rsidRPr="00351A80" w:rsidRDefault="00B92BA1" w:rsidP="00B92BA1">
      <w:pPr>
        <w:autoSpaceDE w:val="0"/>
        <w:autoSpaceDN w:val="0"/>
        <w:adjustRightInd w:val="0"/>
        <w:ind w:right="468"/>
        <w:jc w:val="right"/>
        <w:rPr>
          <w:rFonts w:ascii="Calibri" w:hAnsi="Calibri" w:cs="Calibri"/>
          <w:sz w:val="20"/>
          <w:szCs w:val="20"/>
          <w:lang w:val="es-GT"/>
        </w:rPr>
      </w:pPr>
      <w:r w:rsidRPr="00351A80">
        <w:rPr>
          <w:rFonts w:ascii="Calibri" w:hAnsi="Calibri" w:cs="Calibri"/>
          <w:sz w:val="20"/>
          <w:szCs w:val="20"/>
          <w:lang w:val="es-GT"/>
        </w:rPr>
        <w:t xml:space="preserve">Fuente: </w:t>
      </w:r>
      <w:r w:rsidR="00B813FF">
        <w:rPr>
          <w:rFonts w:ascii="Calibri" w:hAnsi="Calibri" w:cs="Calibri"/>
          <w:sz w:val="20"/>
          <w:szCs w:val="20"/>
          <w:lang w:val="es-GT"/>
        </w:rPr>
        <w:t>MARN, IARNA-URL y PNUD (</w:t>
      </w:r>
      <w:r w:rsidR="00367EB6">
        <w:rPr>
          <w:rFonts w:ascii="Calibri" w:hAnsi="Calibri" w:cs="Calibri"/>
          <w:sz w:val="20"/>
          <w:szCs w:val="20"/>
          <w:lang w:val="es-GT"/>
        </w:rPr>
        <w:t>2009</w:t>
      </w:r>
      <w:r w:rsidR="00B813FF">
        <w:rPr>
          <w:rFonts w:ascii="Calibri" w:hAnsi="Calibri" w:cs="Calibri"/>
          <w:sz w:val="20"/>
          <w:szCs w:val="20"/>
          <w:lang w:val="es-GT"/>
        </w:rPr>
        <w:t>)</w:t>
      </w:r>
      <w:r w:rsidRPr="00351A80">
        <w:rPr>
          <w:rFonts w:ascii="Calibri" w:hAnsi="Calibri" w:cs="Calibri"/>
          <w:sz w:val="20"/>
          <w:szCs w:val="20"/>
          <w:lang w:val="es-GT"/>
        </w:rPr>
        <w:t>.</w:t>
      </w:r>
    </w:p>
    <w:p w:rsidR="00EC32D0" w:rsidRPr="007A58FC" w:rsidRDefault="00EC32D0" w:rsidP="00EC32D0">
      <w:pPr>
        <w:autoSpaceDE w:val="0"/>
        <w:autoSpaceDN w:val="0"/>
        <w:adjustRightInd w:val="0"/>
        <w:ind w:right="468"/>
        <w:jc w:val="both"/>
        <w:rPr>
          <w:rFonts w:ascii="Calibri" w:hAnsi="Calibri" w:cs="Calibri"/>
          <w:color w:val="FF0000"/>
          <w:szCs w:val="20"/>
          <w:lang w:val="es-GT"/>
        </w:rPr>
      </w:pPr>
    </w:p>
    <w:p w:rsidR="00EC32D0" w:rsidRPr="00224B57" w:rsidRDefault="00EC32D0" w:rsidP="00EC32D0">
      <w:pPr>
        <w:spacing w:after="120"/>
        <w:jc w:val="center"/>
        <w:rPr>
          <w:rFonts w:ascii="Calibri" w:eastAsia="Calibri" w:hAnsi="Calibri" w:cs="Calibri"/>
          <w:b/>
          <w:color w:val="365F91"/>
          <w:sz w:val="22"/>
          <w:szCs w:val="22"/>
          <w:lang w:val="es-GT"/>
        </w:rPr>
      </w:pPr>
      <w:bookmarkStart w:id="51" w:name="_Toc347841228"/>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5</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Regiones administrativas y departamentos de Guatemala</w:t>
      </w:r>
      <w:bookmarkEnd w:id="51"/>
    </w:p>
    <w:p w:rsidR="00EC32D0" w:rsidRPr="007A58FC" w:rsidRDefault="00544A9F" w:rsidP="00EC32D0">
      <w:pPr>
        <w:autoSpaceDE w:val="0"/>
        <w:autoSpaceDN w:val="0"/>
        <w:adjustRightInd w:val="0"/>
        <w:jc w:val="center"/>
        <w:rPr>
          <w:rFonts w:ascii="Calibri" w:hAnsi="Calibri" w:cs="Calibri"/>
          <w:color w:val="FF0000"/>
          <w:lang w:val="es-GT"/>
        </w:rPr>
      </w:pPr>
      <w:r>
        <w:rPr>
          <w:rFonts w:ascii="Calibri" w:hAnsi="Calibri" w:cs="Calibri"/>
          <w:noProof/>
          <w:color w:val="FF0000"/>
          <w:lang w:val="es-GT" w:eastAsia="es-GT"/>
        </w:rPr>
        <w:drawing>
          <wp:inline distT="0" distB="0" distL="0" distR="0" wp14:anchorId="0143D580" wp14:editId="2262509D">
            <wp:extent cx="5848350" cy="7524750"/>
            <wp:effectExtent l="0" t="0" r="0" b="0"/>
            <wp:docPr id="10" name="Imagen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ic:cNvPicPr>
                      <a:picLocks noChangeAspect="1" noChangeArrowheads="1"/>
                    </pic:cNvPicPr>
                  </pic:nvPicPr>
                  <pic:blipFill>
                    <a:blip r:embed="rId18" cstate="print">
                      <a:extLst>
                        <a:ext uri="{28A0092B-C50C-407E-A947-70E740481C1C}">
                          <a14:useLocalDpi xmlns:a14="http://schemas.microsoft.com/office/drawing/2010/main" val="0"/>
                        </a:ext>
                      </a:extLst>
                    </a:blip>
                    <a:srcRect l="14117" t="15909" r="9647" b="8545"/>
                    <a:stretch>
                      <a:fillRect/>
                    </a:stretch>
                  </pic:blipFill>
                  <pic:spPr bwMode="auto">
                    <a:xfrm>
                      <a:off x="0" y="0"/>
                      <a:ext cx="5848350" cy="7524750"/>
                    </a:xfrm>
                    <a:prstGeom prst="rect">
                      <a:avLst/>
                    </a:prstGeom>
                    <a:noFill/>
                    <a:ln>
                      <a:noFill/>
                    </a:ln>
                  </pic:spPr>
                </pic:pic>
              </a:graphicData>
            </a:graphic>
          </wp:inline>
        </w:drawing>
      </w:r>
    </w:p>
    <w:p w:rsidR="00EC32D0" w:rsidRPr="00351A80" w:rsidRDefault="00EC32D0" w:rsidP="00EC32D0">
      <w:pPr>
        <w:autoSpaceDE w:val="0"/>
        <w:autoSpaceDN w:val="0"/>
        <w:adjustRightInd w:val="0"/>
        <w:ind w:right="468"/>
        <w:jc w:val="right"/>
        <w:rPr>
          <w:rFonts w:ascii="Calibri" w:hAnsi="Calibri" w:cs="Calibri"/>
          <w:sz w:val="20"/>
          <w:szCs w:val="20"/>
          <w:lang w:val="es-GT"/>
        </w:rPr>
      </w:pPr>
      <w:r w:rsidRPr="00351A80">
        <w:rPr>
          <w:rFonts w:ascii="Calibri" w:hAnsi="Calibri" w:cs="Calibri"/>
          <w:sz w:val="20"/>
          <w:szCs w:val="20"/>
          <w:lang w:val="es-GT"/>
        </w:rPr>
        <w:t xml:space="preserve">Fuente: </w:t>
      </w:r>
      <w:r w:rsidR="00B813FF">
        <w:rPr>
          <w:rFonts w:ascii="Calibri" w:hAnsi="Calibri" w:cs="Calibri"/>
          <w:sz w:val="20"/>
          <w:szCs w:val="20"/>
          <w:lang w:val="es-GT"/>
        </w:rPr>
        <w:t>MARN, IARNA-URL y PNUD (</w:t>
      </w:r>
      <w:r w:rsidR="00367EB6">
        <w:rPr>
          <w:rFonts w:ascii="Calibri" w:hAnsi="Calibri" w:cs="Calibri"/>
          <w:sz w:val="20"/>
          <w:szCs w:val="20"/>
          <w:lang w:val="es-GT"/>
        </w:rPr>
        <w:t>2009</w:t>
      </w:r>
      <w:r w:rsidR="00B813FF">
        <w:rPr>
          <w:rFonts w:ascii="Calibri" w:hAnsi="Calibri" w:cs="Calibri"/>
          <w:sz w:val="20"/>
          <w:szCs w:val="20"/>
          <w:lang w:val="es-GT"/>
        </w:rPr>
        <w:t>)</w:t>
      </w:r>
      <w:r w:rsidRPr="00351A80">
        <w:rPr>
          <w:rFonts w:ascii="Calibri" w:hAnsi="Calibri" w:cs="Calibri"/>
          <w:sz w:val="20"/>
          <w:szCs w:val="20"/>
          <w:lang w:val="es-GT"/>
        </w:rPr>
        <w:t>.</w:t>
      </w:r>
    </w:p>
    <w:p w:rsidR="00EC32D0" w:rsidRDefault="00EC32D0" w:rsidP="00A13498">
      <w:pPr>
        <w:autoSpaceDE w:val="0"/>
        <w:autoSpaceDN w:val="0"/>
        <w:adjustRightInd w:val="0"/>
        <w:jc w:val="both"/>
        <w:rPr>
          <w:rFonts w:ascii="Calibri" w:hAnsi="Calibri" w:cs="Calibri"/>
          <w:lang w:val="es-GT"/>
        </w:rPr>
      </w:pPr>
    </w:p>
    <w:p w:rsidR="00DC1049" w:rsidRPr="001A01AB" w:rsidRDefault="00992A99" w:rsidP="00A13498">
      <w:pPr>
        <w:autoSpaceDE w:val="0"/>
        <w:autoSpaceDN w:val="0"/>
        <w:adjustRightInd w:val="0"/>
        <w:jc w:val="both"/>
        <w:rPr>
          <w:rFonts w:ascii="Calibri" w:hAnsi="Calibri" w:cs="Calibri"/>
          <w:lang w:val="es-GT"/>
        </w:rPr>
      </w:pPr>
      <w:r w:rsidRPr="001A01AB">
        <w:rPr>
          <w:rFonts w:ascii="Calibri" w:hAnsi="Calibri" w:cs="Calibri"/>
          <w:lang w:val="es-GT"/>
        </w:rPr>
        <w:lastRenderedPageBreak/>
        <w:t xml:space="preserve">Recientemente se ha reconocido a </w:t>
      </w:r>
      <w:r w:rsidR="006A30B4" w:rsidRPr="001A01AB">
        <w:rPr>
          <w:rFonts w:ascii="Calibri" w:hAnsi="Calibri" w:cs="Calibri"/>
          <w:lang w:val="es-GT"/>
        </w:rPr>
        <w:t xml:space="preserve">Guatemala </w:t>
      </w:r>
      <w:r w:rsidR="004C5376">
        <w:rPr>
          <w:rFonts w:ascii="Calibri" w:hAnsi="Calibri" w:cs="Calibri"/>
          <w:lang w:val="es-GT"/>
        </w:rPr>
        <w:t>como un país m</w:t>
      </w:r>
      <w:r w:rsidRPr="001A01AB">
        <w:rPr>
          <w:rFonts w:ascii="Calibri" w:hAnsi="Calibri" w:cs="Calibri"/>
          <w:lang w:val="es-GT"/>
        </w:rPr>
        <w:t xml:space="preserve">egadiverso. </w:t>
      </w:r>
      <w:r w:rsidR="00DC1049" w:rsidRPr="001A01AB">
        <w:rPr>
          <w:rFonts w:ascii="Calibri" w:hAnsi="Calibri" w:cs="Calibri"/>
          <w:lang w:val="es-GT"/>
        </w:rPr>
        <w:t>Posee siete biomas</w:t>
      </w:r>
      <w:r w:rsidRPr="001A01AB">
        <w:rPr>
          <w:rFonts w:ascii="Calibri" w:hAnsi="Calibri" w:cs="Calibri"/>
          <w:lang w:val="es-GT"/>
        </w:rPr>
        <w:t xml:space="preserve"> </w:t>
      </w:r>
      <w:r w:rsidR="00DC1049" w:rsidRPr="001A01AB">
        <w:rPr>
          <w:rFonts w:ascii="Calibri" w:hAnsi="Calibri" w:cs="Calibri"/>
          <w:lang w:val="es-GT"/>
        </w:rPr>
        <w:t xml:space="preserve">y </w:t>
      </w:r>
      <w:r w:rsidRPr="001A01AB">
        <w:rPr>
          <w:rFonts w:ascii="Calibri" w:hAnsi="Calibri" w:cs="Calibri"/>
          <w:lang w:val="es-GT"/>
        </w:rPr>
        <w:t>14 eco</w:t>
      </w:r>
      <w:r w:rsidR="007C3972" w:rsidRPr="001A01AB">
        <w:rPr>
          <w:rFonts w:ascii="Calibri" w:hAnsi="Calibri" w:cs="Calibri"/>
          <w:lang w:val="es-GT"/>
        </w:rPr>
        <w:t>r</w:t>
      </w:r>
      <w:r w:rsidRPr="001A01AB">
        <w:rPr>
          <w:rFonts w:ascii="Calibri" w:hAnsi="Calibri" w:cs="Calibri"/>
          <w:lang w:val="es-GT"/>
        </w:rPr>
        <w:t>regiones</w:t>
      </w:r>
      <w:r w:rsidR="004C5376">
        <w:rPr>
          <w:rFonts w:ascii="Calibri" w:hAnsi="Calibri" w:cs="Calibri"/>
          <w:lang w:val="es-GT"/>
        </w:rPr>
        <w:t>,</w:t>
      </w:r>
      <w:r w:rsidRPr="001A01AB">
        <w:rPr>
          <w:rFonts w:ascii="Calibri" w:hAnsi="Calibri" w:cs="Calibri"/>
          <w:lang w:val="es-GT"/>
        </w:rPr>
        <w:t xml:space="preserve"> </w:t>
      </w:r>
      <w:r w:rsidR="00DC1049" w:rsidRPr="001A01AB">
        <w:rPr>
          <w:rFonts w:ascii="Calibri" w:hAnsi="Calibri" w:cs="Calibri"/>
          <w:lang w:val="es-GT"/>
        </w:rPr>
        <w:t>lo que lo hace el país con mayor diversidad eco</w:t>
      </w:r>
      <w:r w:rsidR="007C3972" w:rsidRPr="001A01AB">
        <w:rPr>
          <w:rFonts w:ascii="Calibri" w:hAnsi="Calibri" w:cs="Calibri"/>
          <w:lang w:val="es-GT"/>
        </w:rPr>
        <w:t>r</w:t>
      </w:r>
      <w:r w:rsidR="00DC1049" w:rsidRPr="001A01AB">
        <w:rPr>
          <w:rFonts w:ascii="Calibri" w:hAnsi="Calibri" w:cs="Calibri"/>
          <w:lang w:val="es-GT"/>
        </w:rPr>
        <w:t xml:space="preserve">regional de Centroamérica. </w:t>
      </w:r>
      <w:r w:rsidR="004C5376">
        <w:rPr>
          <w:rFonts w:ascii="Calibri" w:hAnsi="Calibri" w:cs="Calibri"/>
          <w:lang w:val="es-GT"/>
        </w:rPr>
        <w:t>Se</w:t>
      </w:r>
      <w:r w:rsidR="00DC1049" w:rsidRPr="001A01AB">
        <w:rPr>
          <w:rFonts w:ascii="Calibri" w:hAnsi="Calibri" w:cs="Calibri"/>
          <w:lang w:val="es-GT"/>
        </w:rPr>
        <w:t xml:space="preserve"> reporta</w:t>
      </w:r>
      <w:r w:rsidR="004C5376">
        <w:rPr>
          <w:rFonts w:ascii="Calibri" w:hAnsi="Calibri" w:cs="Calibri"/>
          <w:lang w:val="es-GT"/>
        </w:rPr>
        <w:t>n</w:t>
      </w:r>
      <w:r w:rsidR="00DC1049" w:rsidRPr="001A01AB">
        <w:rPr>
          <w:rFonts w:ascii="Calibri" w:hAnsi="Calibri" w:cs="Calibri"/>
          <w:lang w:val="es-GT"/>
        </w:rPr>
        <w:t xml:space="preserve"> 14,997 especies descritas y registradas (836 endémicas nacionales, 5.6%, principalmente plantas). Hay registradas 101,988 especies de fauna, de las cuales se han descrito sólo 4,680 (298 endémicas, 6.4%). Con estas condiciones ocupa el</w:t>
      </w:r>
      <w:r w:rsidR="004C5376">
        <w:rPr>
          <w:rFonts w:ascii="Calibri" w:hAnsi="Calibri" w:cs="Calibri"/>
          <w:lang w:val="es-GT"/>
        </w:rPr>
        <w:t xml:space="preserve"> segundo lugar en cuanto a</w:t>
      </w:r>
      <w:r w:rsidRPr="001A01AB">
        <w:rPr>
          <w:rFonts w:ascii="Calibri" w:hAnsi="Calibri" w:cs="Calibri"/>
          <w:lang w:val="es-GT"/>
        </w:rPr>
        <w:t xml:space="preserve">l número total de especies descritas, que incluyen mamíferos, reptiles, anfibios, aves y plantas, superado únicamente por Costa Rica. </w:t>
      </w:r>
    </w:p>
    <w:p w:rsidR="00DC1049" w:rsidRPr="001A01AB" w:rsidRDefault="00DC1049" w:rsidP="00A13498">
      <w:pPr>
        <w:autoSpaceDE w:val="0"/>
        <w:autoSpaceDN w:val="0"/>
        <w:adjustRightInd w:val="0"/>
        <w:jc w:val="both"/>
        <w:rPr>
          <w:rFonts w:ascii="Calibri" w:hAnsi="Calibri" w:cs="Calibri"/>
          <w:lang w:val="es-GT"/>
        </w:rPr>
      </w:pPr>
    </w:p>
    <w:p w:rsidR="00DC1049" w:rsidRPr="001A01AB" w:rsidRDefault="00992A99" w:rsidP="00A13498">
      <w:pPr>
        <w:autoSpaceDE w:val="0"/>
        <w:autoSpaceDN w:val="0"/>
        <w:adjustRightInd w:val="0"/>
        <w:jc w:val="both"/>
        <w:rPr>
          <w:rFonts w:ascii="Calibri" w:hAnsi="Calibri" w:cs="Calibri"/>
          <w:lang w:val="es-GT"/>
        </w:rPr>
      </w:pPr>
      <w:r w:rsidRPr="001A01AB">
        <w:rPr>
          <w:rFonts w:ascii="Calibri" w:hAnsi="Calibri" w:cs="Calibri"/>
          <w:lang w:val="es-GT"/>
        </w:rPr>
        <w:t>En términos de especies endémicas Guatemala ocupa el primer lugar en relación a Centro América</w:t>
      </w:r>
      <w:r w:rsidR="004C5376">
        <w:rPr>
          <w:rFonts w:ascii="Calibri" w:hAnsi="Calibri" w:cs="Calibri"/>
          <w:lang w:val="es-GT"/>
        </w:rPr>
        <w:t>,</w:t>
      </w:r>
      <w:r w:rsidRPr="001A01AB">
        <w:rPr>
          <w:rFonts w:ascii="Calibri" w:hAnsi="Calibri" w:cs="Calibri"/>
          <w:lang w:val="es-GT"/>
        </w:rPr>
        <w:t xml:space="preserve"> ya que más del 13% de las especies de mamíferos, reptiles, anfibios, aves y plantas </w:t>
      </w:r>
      <w:r w:rsidR="00351A80">
        <w:rPr>
          <w:rFonts w:ascii="Calibri" w:hAnsi="Calibri" w:cs="Calibri"/>
          <w:lang w:val="es-GT"/>
        </w:rPr>
        <w:t>e</w:t>
      </w:r>
      <w:r w:rsidRPr="001A01AB">
        <w:rPr>
          <w:rFonts w:ascii="Calibri" w:hAnsi="Calibri" w:cs="Calibri"/>
          <w:lang w:val="es-GT"/>
        </w:rPr>
        <w:t>s</w:t>
      </w:r>
      <w:r w:rsidR="00351A80">
        <w:rPr>
          <w:rFonts w:ascii="Calibri" w:hAnsi="Calibri" w:cs="Calibri"/>
          <w:lang w:val="es-GT"/>
        </w:rPr>
        <w:t xml:space="preserve"> endémica</w:t>
      </w:r>
      <w:r w:rsidRPr="001A01AB">
        <w:rPr>
          <w:rFonts w:ascii="Calibri" w:hAnsi="Calibri" w:cs="Calibri"/>
          <w:lang w:val="es-GT"/>
        </w:rPr>
        <w:t xml:space="preserve">. Este rasgo es particularmente notorio para la flora, ya que más del 15% de las especies que existen en el país son consideradas endémicas. </w:t>
      </w:r>
      <w:r w:rsidR="00DC1049" w:rsidRPr="001A01AB">
        <w:rPr>
          <w:rFonts w:ascii="Calibri" w:hAnsi="Calibri" w:cs="Calibri"/>
          <w:lang w:val="es-GT"/>
        </w:rPr>
        <w:t>Posee</w:t>
      </w:r>
      <w:r w:rsidRPr="001A01AB">
        <w:rPr>
          <w:rFonts w:ascii="Calibri" w:hAnsi="Calibri" w:cs="Calibri"/>
          <w:lang w:val="es-GT"/>
        </w:rPr>
        <w:t xml:space="preserve"> la mayor diversidad de salamandras apulmonadas (familia </w:t>
      </w:r>
      <w:r w:rsidRPr="001A01AB">
        <w:rPr>
          <w:rFonts w:ascii="Calibri" w:hAnsi="Calibri" w:cs="Calibri"/>
          <w:i/>
          <w:lang w:val="es-GT"/>
        </w:rPr>
        <w:t>Plethodonitiadae</w:t>
      </w:r>
      <w:r w:rsidRPr="001A01AB">
        <w:rPr>
          <w:rFonts w:ascii="Calibri" w:hAnsi="Calibri" w:cs="Calibri"/>
          <w:lang w:val="es-GT"/>
        </w:rPr>
        <w:t xml:space="preserve">) en el mundo, con 41 especies, de las cuales 19 son endémicas. </w:t>
      </w:r>
    </w:p>
    <w:p w:rsidR="00DC1049" w:rsidRPr="001A01AB" w:rsidRDefault="00DC1049" w:rsidP="00A13498">
      <w:pPr>
        <w:autoSpaceDE w:val="0"/>
        <w:autoSpaceDN w:val="0"/>
        <w:adjustRightInd w:val="0"/>
        <w:jc w:val="both"/>
        <w:rPr>
          <w:rFonts w:ascii="Calibri" w:hAnsi="Calibri" w:cs="Calibri"/>
          <w:lang w:val="es-GT"/>
        </w:rPr>
      </w:pPr>
    </w:p>
    <w:p w:rsidR="00DC1049" w:rsidRPr="001A01AB" w:rsidRDefault="00DC1049" w:rsidP="00A13498">
      <w:pPr>
        <w:autoSpaceDE w:val="0"/>
        <w:autoSpaceDN w:val="0"/>
        <w:adjustRightInd w:val="0"/>
        <w:jc w:val="both"/>
        <w:rPr>
          <w:rFonts w:ascii="Calibri" w:hAnsi="Calibri" w:cs="Calibri"/>
          <w:lang w:val="es-GT"/>
        </w:rPr>
      </w:pPr>
      <w:r w:rsidRPr="001A01AB">
        <w:rPr>
          <w:rFonts w:ascii="Calibri" w:hAnsi="Calibri" w:cs="Calibri"/>
          <w:lang w:val="es-GT"/>
        </w:rPr>
        <w:t>Guatemala tiene siete humedales de importancia internacional</w:t>
      </w:r>
      <w:r w:rsidR="001D22D7">
        <w:rPr>
          <w:rFonts w:ascii="Calibri" w:hAnsi="Calibri" w:cs="Calibri"/>
          <w:lang w:val="es-GT"/>
        </w:rPr>
        <w:t xml:space="preserve"> reconocidos por la Convención de RAMSAR</w:t>
      </w:r>
      <w:r w:rsidRPr="001A01AB">
        <w:rPr>
          <w:rFonts w:ascii="Calibri" w:hAnsi="Calibri" w:cs="Calibri"/>
          <w:lang w:val="es-GT"/>
        </w:rPr>
        <w:t xml:space="preserve">. </w:t>
      </w:r>
      <w:r w:rsidR="004C5376">
        <w:rPr>
          <w:rFonts w:ascii="Calibri" w:hAnsi="Calibri" w:cs="Calibri"/>
          <w:lang w:val="es-GT"/>
        </w:rPr>
        <w:t>Sin embargo,</w:t>
      </w:r>
      <w:r w:rsidRPr="001A01AB">
        <w:rPr>
          <w:rFonts w:ascii="Calibri" w:hAnsi="Calibri" w:cs="Calibri"/>
          <w:lang w:val="es-GT"/>
        </w:rPr>
        <w:t xml:space="preserve"> según el Inventario Nacional de Humedales, </w:t>
      </w:r>
      <w:r w:rsidR="004C5376">
        <w:rPr>
          <w:rFonts w:ascii="Calibri" w:hAnsi="Calibri" w:cs="Calibri"/>
          <w:lang w:val="es-GT"/>
        </w:rPr>
        <w:t>existen en e</w:t>
      </w:r>
      <w:r w:rsidR="001D22D7">
        <w:rPr>
          <w:rFonts w:ascii="Calibri" w:hAnsi="Calibri" w:cs="Calibri"/>
          <w:lang w:val="es-GT"/>
        </w:rPr>
        <w:t>l país</w:t>
      </w:r>
      <w:r w:rsidRPr="001A01AB">
        <w:rPr>
          <w:rFonts w:ascii="Calibri" w:hAnsi="Calibri" w:cs="Calibri"/>
          <w:lang w:val="es-GT"/>
        </w:rPr>
        <w:t xml:space="preserve"> 252 sitios de humedales, entre</w:t>
      </w:r>
      <w:r w:rsidR="001D22D7">
        <w:rPr>
          <w:rFonts w:ascii="Calibri" w:hAnsi="Calibri" w:cs="Calibri"/>
          <w:lang w:val="es-GT"/>
        </w:rPr>
        <w:t xml:space="preserve"> lagos, lagunas, ríos, pantanos y otros</w:t>
      </w:r>
      <w:r w:rsidRPr="001A01AB">
        <w:rPr>
          <w:rFonts w:ascii="Calibri" w:hAnsi="Calibri" w:cs="Calibri"/>
          <w:lang w:val="es-GT"/>
        </w:rPr>
        <w:t>.</w:t>
      </w:r>
    </w:p>
    <w:p w:rsidR="00DC1049" w:rsidRPr="001A01AB" w:rsidRDefault="00DC1049" w:rsidP="00A13498">
      <w:pPr>
        <w:autoSpaceDE w:val="0"/>
        <w:autoSpaceDN w:val="0"/>
        <w:adjustRightInd w:val="0"/>
        <w:jc w:val="both"/>
        <w:rPr>
          <w:rFonts w:ascii="Calibri" w:hAnsi="Calibri" w:cs="Calibri"/>
          <w:lang w:val="es-GT"/>
        </w:rPr>
      </w:pPr>
    </w:p>
    <w:p w:rsidR="001D22D7" w:rsidRDefault="00DC1049" w:rsidP="00A13498">
      <w:pPr>
        <w:autoSpaceDE w:val="0"/>
        <w:autoSpaceDN w:val="0"/>
        <w:adjustRightInd w:val="0"/>
        <w:jc w:val="both"/>
        <w:rPr>
          <w:rFonts w:ascii="Calibri" w:hAnsi="Calibri" w:cs="Calibri"/>
          <w:lang w:val="es-GT"/>
        </w:rPr>
      </w:pPr>
      <w:r w:rsidRPr="001A01AB">
        <w:rPr>
          <w:rFonts w:ascii="Calibri" w:hAnsi="Calibri" w:cs="Calibri"/>
          <w:lang w:val="es-GT"/>
        </w:rPr>
        <w:t xml:space="preserve">Este país es considerado como uno de los centros de origen por Nikolai I. Vavilov, quien mediante el análisis del origen y la fuente de variación genética de las plantas cultivadas, consideró a Guatemala como uno de los centros de diversidad genética más ricos del mundo (CONAP, 2012). </w:t>
      </w:r>
    </w:p>
    <w:p w:rsidR="001D22D7" w:rsidRDefault="001D22D7" w:rsidP="00A13498">
      <w:pPr>
        <w:autoSpaceDE w:val="0"/>
        <w:autoSpaceDN w:val="0"/>
        <w:adjustRightInd w:val="0"/>
        <w:jc w:val="both"/>
        <w:rPr>
          <w:rFonts w:ascii="Calibri" w:hAnsi="Calibri" w:cs="Calibri"/>
          <w:lang w:val="es-GT"/>
        </w:rPr>
      </w:pPr>
    </w:p>
    <w:p w:rsidR="00DC1049" w:rsidRPr="001A01AB" w:rsidRDefault="004C5376" w:rsidP="00A13498">
      <w:pPr>
        <w:autoSpaceDE w:val="0"/>
        <w:autoSpaceDN w:val="0"/>
        <w:adjustRightInd w:val="0"/>
        <w:jc w:val="both"/>
        <w:rPr>
          <w:rFonts w:ascii="Calibri" w:hAnsi="Calibri" w:cs="Calibri"/>
          <w:lang w:val="es-GT"/>
        </w:rPr>
      </w:pPr>
      <w:r>
        <w:rPr>
          <w:rFonts w:ascii="Calibri" w:hAnsi="Calibri" w:cs="Calibri"/>
          <w:lang w:val="es-GT"/>
        </w:rPr>
        <w:t>En relación</w:t>
      </w:r>
      <w:r w:rsidR="00DC1049" w:rsidRPr="001A01AB">
        <w:rPr>
          <w:rFonts w:ascii="Calibri" w:hAnsi="Calibri" w:cs="Calibri"/>
          <w:lang w:val="es-GT"/>
        </w:rPr>
        <w:t xml:space="preserve"> a la agrobiodiversidad, Guatemala es uno de los centros de origen de plantas cultivadas reconocidos en el ámbito mundial, </w:t>
      </w:r>
      <w:r w:rsidR="009E0B29">
        <w:rPr>
          <w:rFonts w:ascii="Calibri" w:hAnsi="Calibri" w:cs="Calibri"/>
          <w:lang w:val="es-GT"/>
        </w:rPr>
        <w:t xml:space="preserve">con </w:t>
      </w:r>
      <w:r w:rsidR="00DC1049" w:rsidRPr="001A01AB">
        <w:rPr>
          <w:rFonts w:ascii="Calibri" w:hAnsi="Calibri" w:cs="Calibri"/>
          <w:lang w:val="es-GT"/>
        </w:rPr>
        <w:t>47 clases de maíz, 12 especies de frijol, 11 especies de aguacate, 12 especies de anonas, y más de 100 especies nativas cultivadas en huertos familiares. En cuanto a recursos zoogenéticos con fines pecuarios</w:t>
      </w:r>
      <w:r w:rsidR="009E0B29">
        <w:rPr>
          <w:rFonts w:ascii="Calibri" w:hAnsi="Calibri" w:cs="Calibri"/>
          <w:lang w:val="es-GT"/>
        </w:rPr>
        <w:t>,</w:t>
      </w:r>
      <w:r w:rsidR="00DC1049" w:rsidRPr="001A01AB">
        <w:rPr>
          <w:rFonts w:ascii="Calibri" w:hAnsi="Calibri" w:cs="Calibri"/>
          <w:lang w:val="es-GT"/>
        </w:rPr>
        <w:t xml:space="preserve"> comprende 85 razas de animales domésticos no origina</w:t>
      </w:r>
      <w:r w:rsidR="009E0B29">
        <w:rPr>
          <w:rFonts w:ascii="Calibri" w:hAnsi="Calibri" w:cs="Calibri"/>
          <w:lang w:val="es-GT"/>
        </w:rPr>
        <w:t xml:space="preserve">rios del país (MARN, IARNA-URL y </w:t>
      </w:r>
      <w:r w:rsidR="00DC1049" w:rsidRPr="001A01AB">
        <w:rPr>
          <w:rFonts w:ascii="Calibri" w:hAnsi="Calibri" w:cs="Calibri"/>
          <w:lang w:val="es-GT"/>
        </w:rPr>
        <w:t>PNUD, 2009).</w:t>
      </w:r>
    </w:p>
    <w:p w:rsidR="00DC1049" w:rsidRPr="001A01AB" w:rsidRDefault="00DC1049" w:rsidP="00A13498">
      <w:pPr>
        <w:autoSpaceDE w:val="0"/>
        <w:autoSpaceDN w:val="0"/>
        <w:adjustRightInd w:val="0"/>
        <w:jc w:val="both"/>
        <w:rPr>
          <w:rFonts w:ascii="Calibri" w:hAnsi="Calibri" w:cs="Calibri"/>
          <w:lang w:val="es-GT"/>
        </w:rPr>
      </w:pPr>
    </w:p>
    <w:p w:rsidR="00992A99" w:rsidRPr="001A01AB" w:rsidRDefault="00992A99" w:rsidP="00A13498">
      <w:pPr>
        <w:autoSpaceDE w:val="0"/>
        <w:autoSpaceDN w:val="0"/>
        <w:adjustRightInd w:val="0"/>
        <w:jc w:val="both"/>
        <w:rPr>
          <w:rFonts w:ascii="Calibri" w:hAnsi="Calibri" w:cs="Calibri"/>
          <w:lang w:val="es-GT"/>
        </w:rPr>
      </w:pPr>
    </w:p>
    <w:p w:rsidR="00DC1049" w:rsidRPr="002664F2" w:rsidRDefault="002E6EB9"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52" w:name="_Toc340065161"/>
      <w:bookmarkStart w:id="53" w:name="_Toc340065253"/>
      <w:bookmarkStart w:id="54" w:name="_Toc340565845"/>
      <w:bookmarkStart w:id="55" w:name="_Toc347841295"/>
      <w:r w:rsidRPr="002664F2">
        <w:rPr>
          <w:rFonts w:cs="Calibri"/>
          <w:b/>
          <w:color w:val="365F91"/>
          <w:sz w:val="28"/>
          <w:lang w:eastAsia="es-GT"/>
        </w:rPr>
        <w:t xml:space="preserve">Síntesis del </w:t>
      </w:r>
      <w:r w:rsidR="00020179" w:rsidRPr="002664F2">
        <w:rPr>
          <w:rFonts w:cs="Calibri"/>
          <w:b/>
          <w:color w:val="365F91"/>
          <w:sz w:val="28"/>
          <w:lang w:eastAsia="es-GT"/>
        </w:rPr>
        <w:t>Sistema Socio</w:t>
      </w:r>
      <w:r w:rsidRPr="002664F2">
        <w:rPr>
          <w:rFonts w:cs="Calibri"/>
          <w:b/>
          <w:color w:val="365F91"/>
          <w:sz w:val="28"/>
          <w:lang w:eastAsia="es-GT"/>
        </w:rPr>
        <w:t xml:space="preserve">ecológico </w:t>
      </w:r>
      <w:r w:rsidR="00020179" w:rsidRPr="002664F2">
        <w:rPr>
          <w:rFonts w:cs="Calibri"/>
          <w:b/>
          <w:color w:val="365F91"/>
          <w:sz w:val="28"/>
          <w:lang w:eastAsia="es-GT"/>
        </w:rPr>
        <w:t>Nacional</w:t>
      </w:r>
      <w:bookmarkEnd w:id="52"/>
      <w:bookmarkEnd w:id="53"/>
      <w:bookmarkEnd w:id="54"/>
      <w:bookmarkEnd w:id="55"/>
    </w:p>
    <w:p w:rsidR="00FF5EF4" w:rsidRPr="002664F2" w:rsidRDefault="00FF5EF4" w:rsidP="00A13498">
      <w:pPr>
        <w:autoSpaceDE w:val="0"/>
        <w:autoSpaceDN w:val="0"/>
        <w:adjustRightInd w:val="0"/>
        <w:jc w:val="both"/>
        <w:rPr>
          <w:rFonts w:ascii="Calibri" w:hAnsi="Calibri" w:cs="Calibri"/>
          <w:lang w:val="es-GT"/>
        </w:rPr>
      </w:pPr>
    </w:p>
    <w:p w:rsidR="00A85AB0" w:rsidRDefault="004B76E5" w:rsidP="00A13498">
      <w:pPr>
        <w:jc w:val="both"/>
        <w:rPr>
          <w:rFonts w:ascii="Calibri" w:hAnsi="Calibri" w:cs="Calibri"/>
          <w:lang w:val="es-GT"/>
        </w:rPr>
      </w:pPr>
      <w:r w:rsidRPr="002664F2">
        <w:rPr>
          <w:rFonts w:ascii="Calibri" w:hAnsi="Calibri" w:cs="Calibri"/>
          <w:lang w:val="es-GT"/>
        </w:rPr>
        <w:t xml:space="preserve">Estudios recientes </w:t>
      </w:r>
      <w:r w:rsidR="00425675" w:rsidRPr="002664F2">
        <w:rPr>
          <w:rFonts w:ascii="Calibri" w:hAnsi="Calibri" w:cs="Calibri"/>
          <w:lang w:val="es-GT"/>
        </w:rPr>
        <w:t xml:space="preserve">indican que algunos problemas ambientales del país han alcanzado dimensiones de crisis (IARNA-URL, 2012). Esto se debe a </w:t>
      </w:r>
      <w:r w:rsidRPr="002664F2">
        <w:rPr>
          <w:rFonts w:ascii="Calibri" w:hAnsi="Calibri" w:cs="Calibri"/>
          <w:lang w:val="es-GT"/>
        </w:rPr>
        <w:t>que los modelos de desarrollo han deteriorado y, en muchos casos agotado, la base de bienes y servicios naturales</w:t>
      </w:r>
      <w:r w:rsidR="009E0B29" w:rsidRPr="002664F2">
        <w:rPr>
          <w:rFonts w:ascii="Calibri" w:hAnsi="Calibri" w:cs="Calibri"/>
          <w:lang w:val="es-GT"/>
        </w:rPr>
        <w:t xml:space="preserve"> (</w:t>
      </w:r>
      <w:r w:rsidR="00425675" w:rsidRPr="002664F2">
        <w:rPr>
          <w:rFonts w:ascii="Calibri" w:hAnsi="Calibri" w:cs="Calibri"/>
          <w:lang w:val="es-GT"/>
        </w:rPr>
        <w:t>IARNA</w:t>
      </w:r>
      <w:r w:rsidR="009E0B29" w:rsidRPr="002664F2">
        <w:rPr>
          <w:rFonts w:ascii="Calibri" w:hAnsi="Calibri" w:cs="Calibri"/>
          <w:lang w:val="es-GT"/>
        </w:rPr>
        <w:t>-URL</w:t>
      </w:r>
      <w:r w:rsidR="00425675" w:rsidRPr="002664F2">
        <w:rPr>
          <w:rFonts w:ascii="Calibri" w:hAnsi="Calibri" w:cs="Calibri"/>
          <w:lang w:val="es-GT"/>
        </w:rPr>
        <w:t>, 2009), lo cual repercute en el bienestar social y la estabilidad del sistema país (IARNA-URL, 2012)</w:t>
      </w:r>
      <w:r w:rsidRPr="002664F2">
        <w:rPr>
          <w:rFonts w:ascii="Calibri" w:hAnsi="Calibri" w:cs="Calibri"/>
          <w:lang w:val="es-GT"/>
        </w:rPr>
        <w:t xml:space="preserve">. Esto provoca que las posibilidades de satisfacer </w:t>
      </w:r>
      <w:r w:rsidR="002664F2">
        <w:rPr>
          <w:rFonts w:ascii="Calibri" w:hAnsi="Calibri" w:cs="Calibri"/>
          <w:lang w:val="es-GT"/>
        </w:rPr>
        <w:t xml:space="preserve">las </w:t>
      </w:r>
      <w:r w:rsidRPr="002664F2">
        <w:rPr>
          <w:rFonts w:ascii="Calibri" w:hAnsi="Calibri" w:cs="Calibri"/>
          <w:lang w:val="es-GT"/>
        </w:rPr>
        <w:t xml:space="preserve">necesidades de la población disminuyan en igual proporción en la que se agotan o deterioran los bienes y servicios ecosistémicos, tal y como se ejemplifica </w:t>
      </w:r>
      <w:r w:rsidR="00254161" w:rsidRPr="002664F2">
        <w:rPr>
          <w:rFonts w:ascii="Calibri" w:hAnsi="Calibri" w:cs="Calibri"/>
          <w:lang w:val="es-GT"/>
        </w:rPr>
        <w:t xml:space="preserve">en </w:t>
      </w:r>
      <w:r w:rsidRPr="002664F2">
        <w:rPr>
          <w:rFonts w:ascii="Calibri" w:hAnsi="Calibri" w:cs="Calibri"/>
          <w:lang w:val="es-GT"/>
        </w:rPr>
        <w:t>el modelo de producción agropecuaria nacional, el cual se realiza a costa de degradar y a</w:t>
      </w:r>
      <w:r w:rsidR="009E0B29" w:rsidRPr="002664F2">
        <w:rPr>
          <w:rFonts w:ascii="Calibri" w:hAnsi="Calibri" w:cs="Calibri"/>
          <w:lang w:val="es-GT"/>
        </w:rPr>
        <w:t>gotar los bienes naturales (</w:t>
      </w:r>
      <w:r w:rsidRPr="002664F2">
        <w:rPr>
          <w:rFonts w:ascii="Calibri" w:hAnsi="Calibri" w:cs="Calibri"/>
          <w:lang w:val="es-GT"/>
        </w:rPr>
        <w:t>IARNA-</w:t>
      </w:r>
      <w:r w:rsidR="009E0B29" w:rsidRPr="002664F2">
        <w:rPr>
          <w:rFonts w:ascii="Calibri" w:hAnsi="Calibri" w:cs="Calibri"/>
          <w:lang w:val="es-GT"/>
        </w:rPr>
        <w:t xml:space="preserve">URL y </w:t>
      </w:r>
      <w:r w:rsidRPr="002664F2">
        <w:rPr>
          <w:rFonts w:ascii="Calibri" w:hAnsi="Calibri" w:cs="Calibri"/>
          <w:lang w:val="es-GT"/>
        </w:rPr>
        <w:t>SEGEPLAN, 2009</w:t>
      </w:r>
      <w:r w:rsidR="009E0B29" w:rsidRPr="002664F2">
        <w:rPr>
          <w:rFonts w:ascii="Calibri" w:hAnsi="Calibri" w:cs="Calibri"/>
          <w:lang w:val="es-GT"/>
        </w:rPr>
        <w:t>).</w:t>
      </w:r>
    </w:p>
    <w:p w:rsidR="001D22D7" w:rsidRPr="001A01AB" w:rsidRDefault="001D22D7" w:rsidP="00A13498">
      <w:pPr>
        <w:jc w:val="both"/>
        <w:rPr>
          <w:rFonts w:ascii="Calibri" w:hAnsi="Calibri" w:cs="Calibri"/>
          <w:lang w:val="es-GT"/>
        </w:rPr>
      </w:pPr>
    </w:p>
    <w:p w:rsidR="004B76E5" w:rsidRDefault="00A85AB0" w:rsidP="00A13498">
      <w:pPr>
        <w:jc w:val="both"/>
        <w:rPr>
          <w:rFonts w:ascii="Calibri" w:hAnsi="Calibri" w:cs="Calibri"/>
          <w:lang w:val="es-GT"/>
        </w:rPr>
      </w:pPr>
      <w:r w:rsidRPr="001A01AB">
        <w:rPr>
          <w:rFonts w:ascii="Calibri" w:hAnsi="Calibri" w:cs="Calibri"/>
          <w:lang w:val="es-GT"/>
        </w:rPr>
        <w:t>Como se mencion</w:t>
      </w:r>
      <w:r w:rsidR="009E0B29">
        <w:rPr>
          <w:rFonts w:ascii="Calibri" w:hAnsi="Calibri" w:cs="Calibri"/>
          <w:lang w:val="es-GT"/>
        </w:rPr>
        <w:t>ó</w:t>
      </w:r>
      <w:r w:rsidRPr="001A01AB">
        <w:rPr>
          <w:rFonts w:ascii="Calibri" w:hAnsi="Calibri" w:cs="Calibri"/>
          <w:lang w:val="es-GT"/>
        </w:rPr>
        <w:t xml:space="preserve"> anteriormente, el concepto de desarrollo sostenible </w:t>
      </w:r>
      <w:r w:rsidR="001D22D7">
        <w:rPr>
          <w:rFonts w:ascii="Calibri" w:hAnsi="Calibri" w:cs="Calibri"/>
          <w:lang w:val="es-GT"/>
        </w:rPr>
        <w:t>b</w:t>
      </w:r>
      <w:r w:rsidR="00254161">
        <w:rPr>
          <w:rFonts w:ascii="Calibri" w:hAnsi="Calibri" w:cs="Calibri"/>
          <w:lang w:val="es-GT"/>
        </w:rPr>
        <w:t>usc</w:t>
      </w:r>
      <w:r w:rsidR="001D22D7">
        <w:rPr>
          <w:rFonts w:ascii="Calibri" w:hAnsi="Calibri" w:cs="Calibri"/>
          <w:lang w:val="es-GT"/>
        </w:rPr>
        <w:t xml:space="preserve">a permanente </w:t>
      </w:r>
      <w:r w:rsidR="00254161">
        <w:rPr>
          <w:rFonts w:ascii="Calibri" w:hAnsi="Calibri" w:cs="Calibri"/>
          <w:lang w:val="es-GT"/>
        </w:rPr>
        <w:t>el</w:t>
      </w:r>
      <w:r w:rsidR="001D22D7">
        <w:rPr>
          <w:rFonts w:ascii="Calibri" w:hAnsi="Calibri" w:cs="Calibri"/>
          <w:lang w:val="es-GT"/>
        </w:rPr>
        <w:t xml:space="preserve"> </w:t>
      </w:r>
      <w:r w:rsidRPr="001A01AB">
        <w:rPr>
          <w:rFonts w:ascii="Calibri" w:hAnsi="Calibri" w:cs="Calibri"/>
          <w:lang w:val="es-GT"/>
        </w:rPr>
        <w:t>equilibrio</w:t>
      </w:r>
      <w:r w:rsidR="001D22D7">
        <w:rPr>
          <w:rFonts w:ascii="Calibri" w:hAnsi="Calibri" w:cs="Calibri"/>
          <w:lang w:val="es-GT"/>
        </w:rPr>
        <w:t xml:space="preserve">, al menos, </w:t>
      </w:r>
      <w:r w:rsidRPr="001A01AB">
        <w:rPr>
          <w:rFonts w:ascii="Calibri" w:hAnsi="Calibri" w:cs="Calibri"/>
          <w:lang w:val="es-GT"/>
        </w:rPr>
        <w:t xml:space="preserve">en </w:t>
      </w:r>
      <w:r w:rsidR="00254161" w:rsidRPr="001A01AB">
        <w:rPr>
          <w:rFonts w:ascii="Calibri" w:hAnsi="Calibri" w:cs="Calibri"/>
          <w:lang w:val="es-GT"/>
        </w:rPr>
        <w:t>las dimensiones sociales, económicas, ambientales e institucionales</w:t>
      </w:r>
      <w:r w:rsidRPr="001A01AB">
        <w:rPr>
          <w:rFonts w:ascii="Calibri" w:hAnsi="Calibri" w:cs="Calibri"/>
          <w:lang w:val="es-GT"/>
        </w:rPr>
        <w:t xml:space="preserve">. La </w:t>
      </w:r>
      <w:r w:rsidRPr="001A01AB">
        <w:rPr>
          <w:rFonts w:ascii="Calibri" w:hAnsi="Calibri" w:cs="Calibri"/>
          <w:lang w:val="es-GT"/>
        </w:rPr>
        <w:lastRenderedPageBreak/>
        <w:t xml:space="preserve">naturaleza multidimensional del concepto </w:t>
      </w:r>
      <w:r w:rsidR="001D22D7">
        <w:rPr>
          <w:rFonts w:ascii="Calibri" w:hAnsi="Calibri" w:cs="Calibri"/>
          <w:lang w:val="es-GT"/>
        </w:rPr>
        <w:t>ha conducido a la búsqueda de diferentes rutas para hacer operativo el mismo.</w:t>
      </w:r>
      <w:r w:rsidR="00141A70">
        <w:rPr>
          <w:rFonts w:ascii="Calibri" w:hAnsi="Calibri" w:cs="Calibri"/>
          <w:lang w:val="es-GT"/>
        </w:rPr>
        <w:t xml:space="preserve"> </w:t>
      </w:r>
      <w:r w:rsidR="002664F2">
        <w:rPr>
          <w:rFonts w:ascii="Calibri" w:hAnsi="Calibri" w:cs="Calibri"/>
          <w:lang w:val="es-GT"/>
        </w:rPr>
        <w:t>Una</w:t>
      </w:r>
      <w:r w:rsidR="001D22D7">
        <w:rPr>
          <w:rFonts w:ascii="Calibri" w:hAnsi="Calibri" w:cs="Calibri"/>
          <w:lang w:val="es-GT"/>
        </w:rPr>
        <w:t xml:space="preserve"> de las propuestas que </w:t>
      </w:r>
      <w:r w:rsidR="008A3A74">
        <w:rPr>
          <w:rFonts w:ascii="Calibri" w:hAnsi="Calibri" w:cs="Calibri"/>
          <w:lang w:val="es-GT"/>
        </w:rPr>
        <w:t>par</w:t>
      </w:r>
      <w:r w:rsidR="00254161">
        <w:rPr>
          <w:rFonts w:ascii="Calibri" w:hAnsi="Calibri" w:cs="Calibri"/>
          <w:lang w:val="es-GT"/>
        </w:rPr>
        <w:t>e</w:t>
      </w:r>
      <w:r w:rsidR="008A3A74">
        <w:rPr>
          <w:rFonts w:ascii="Calibri" w:hAnsi="Calibri" w:cs="Calibri"/>
          <w:lang w:val="es-GT"/>
        </w:rPr>
        <w:t>ce</w:t>
      </w:r>
      <w:r w:rsidR="001D22D7">
        <w:rPr>
          <w:rFonts w:ascii="Calibri" w:hAnsi="Calibri" w:cs="Calibri"/>
          <w:lang w:val="es-GT"/>
        </w:rPr>
        <w:t xml:space="preserve"> </w:t>
      </w:r>
      <w:r w:rsidR="008A3A74">
        <w:rPr>
          <w:rFonts w:ascii="Calibri" w:hAnsi="Calibri" w:cs="Calibri"/>
          <w:lang w:val="es-GT"/>
        </w:rPr>
        <w:t>apropiada</w:t>
      </w:r>
      <w:r w:rsidR="002664F2">
        <w:rPr>
          <w:rFonts w:ascii="Calibri" w:hAnsi="Calibri" w:cs="Calibri"/>
          <w:lang w:val="es-GT"/>
        </w:rPr>
        <w:t xml:space="preserve"> es la d</w:t>
      </w:r>
      <w:r w:rsidR="001D22D7">
        <w:rPr>
          <w:rFonts w:ascii="Calibri" w:hAnsi="Calibri" w:cs="Calibri"/>
          <w:lang w:val="es-GT"/>
        </w:rPr>
        <w:t xml:space="preserve">el </w:t>
      </w:r>
      <w:r w:rsidR="00254161">
        <w:rPr>
          <w:rFonts w:ascii="Calibri" w:hAnsi="Calibri" w:cs="Calibri"/>
          <w:lang w:val="es-GT"/>
        </w:rPr>
        <w:t xml:space="preserve">ecólogo </w:t>
      </w:r>
      <w:r w:rsidR="00351A80">
        <w:rPr>
          <w:rFonts w:ascii="Calibri" w:hAnsi="Calibri" w:cs="Calibri"/>
          <w:lang w:val="es-GT"/>
        </w:rPr>
        <w:t>argentino Gilberto Gallopí</w:t>
      </w:r>
      <w:r w:rsidR="001D22D7">
        <w:rPr>
          <w:rFonts w:ascii="Calibri" w:hAnsi="Calibri" w:cs="Calibri"/>
          <w:lang w:val="es-GT"/>
        </w:rPr>
        <w:t xml:space="preserve">n </w:t>
      </w:r>
      <w:r w:rsidR="001D22D7" w:rsidRPr="001A01AB">
        <w:rPr>
          <w:rFonts w:ascii="Calibri" w:hAnsi="Calibri" w:cs="Calibri"/>
          <w:lang w:val="es-GT"/>
        </w:rPr>
        <w:t xml:space="preserve">(Gallopín </w:t>
      </w:r>
      <w:r w:rsidR="001D22D7" w:rsidRPr="001A01AB">
        <w:rPr>
          <w:rFonts w:ascii="Calibri" w:hAnsi="Calibri" w:cs="Calibri"/>
          <w:i/>
          <w:lang w:val="es-GT"/>
        </w:rPr>
        <w:t>et al</w:t>
      </w:r>
      <w:r w:rsidR="002664F2">
        <w:rPr>
          <w:rFonts w:ascii="Calibri" w:hAnsi="Calibri" w:cs="Calibri"/>
          <w:lang w:val="es-GT"/>
        </w:rPr>
        <w:t xml:space="preserve">., 2001, citado de </w:t>
      </w:r>
      <w:r w:rsidR="001D22D7" w:rsidRPr="001A01AB">
        <w:rPr>
          <w:rFonts w:ascii="Calibri" w:hAnsi="Calibri" w:cs="Calibri"/>
          <w:lang w:val="es-GT"/>
        </w:rPr>
        <w:t>IARNA-</w:t>
      </w:r>
      <w:r w:rsidR="002664F2">
        <w:rPr>
          <w:rFonts w:ascii="Calibri" w:hAnsi="Calibri" w:cs="Calibri"/>
          <w:lang w:val="es-GT"/>
        </w:rPr>
        <w:t xml:space="preserve">URL y </w:t>
      </w:r>
      <w:r w:rsidR="001D22D7" w:rsidRPr="001A01AB">
        <w:rPr>
          <w:rFonts w:ascii="Calibri" w:hAnsi="Calibri" w:cs="Calibri"/>
          <w:lang w:val="es-GT"/>
        </w:rPr>
        <w:t>SEGEPLAN, 2009).</w:t>
      </w:r>
      <w:r w:rsidR="001D22D7">
        <w:rPr>
          <w:rFonts w:ascii="Calibri" w:hAnsi="Calibri" w:cs="Calibri"/>
          <w:lang w:val="es-GT"/>
        </w:rPr>
        <w:t xml:space="preserve"> Este autor propone un enfoque sistémico y desarrolla el marco analítico denominado </w:t>
      </w:r>
      <w:r w:rsidRPr="001A01AB">
        <w:rPr>
          <w:rFonts w:ascii="Calibri" w:hAnsi="Calibri" w:cs="Calibri"/>
          <w:lang w:val="es-GT"/>
        </w:rPr>
        <w:t>sistema socioecológico</w:t>
      </w:r>
      <w:r w:rsidR="001D22D7">
        <w:rPr>
          <w:rFonts w:ascii="Calibri" w:hAnsi="Calibri" w:cs="Calibri"/>
          <w:lang w:val="es-GT"/>
        </w:rPr>
        <w:t xml:space="preserve">, útil para analizar estados de situación e identificar </w:t>
      </w:r>
      <w:r w:rsidR="002664F2">
        <w:rPr>
          <w:rFonts w:ascii="Calibri" w:hAnsi="Calibri" w:cs="Calibri"/>
          <w:lang w:val="es-GT"/>
        </w:rPr>
        <w:t xml:space="preserve">la </w:t>
      </w:r>
      <w:r w:rsidR="001D22D7">
        <w:rPr>
          <w:rFonts w:ascii="Calibri" w:hAnsi="Calibri" w:cs="Calibri"/>
          <w:lang w:val="es-GT"/>
        </w:rPr>
        <w:t>necesidad de intervención en busca de equilibrios.</w:t>
      </w:r>
      <w:r w:rsidR="00141A70">
        <w:rPr>
          <w:rFonts w:ascii="Calibri" w:hAnsi="Calibri" w:cs="Calibri"/>
          <w:lang w:val="es-GT"/>
        </w:rPr>
        <w:t xml:space="preserve"> </w:t>
      </w:r>
      <w:r w:rsidR="001D22D7">
        <w:rPr>
          <w:rFonts w:ascii="Calibri" w:hAnsi="Calibri" w:cs="Calibri"/>
          <w:lang w:val="es-GT"/>
        </w:rPr>
        <w:t xml:space="preserve">En este sentido, resulta </w:t>
      </w:r>
      <w:r w:rsidR="002664F2">
        <w:rPr>
          <w:rFonts w:ascii="Calibri" w:hAnsi="Calibri" w:cs="Calibri"/>
          <w:lang w:val="es-GT"/>
        </w:rPr>
        <w:t>ventajoso</w:t>
      </w:r>
      <w:r w:rsidR="001D22D7">
        <w:rPr>
          <w:rFonts w:ascii="Calibri" w:hAnsi="Calibri" w:cs="Calibri"/>
          <w:lang w:val="es-GT"/>
        </w:rPr>
        <w:t xml:space="preserve"> para el</w:t>
      </w:r>
      <w:r w:rsidRPr="001A01AB">
        <w:rPr>
          <w:rFonts w:ascii="Calibri" w:hAnsi="Calibri" w:cs="Calibri"/>
          <w:lang w:val="es-GT"/>
        </w:rPr>
        <w:t xml:space="preserve"> análisis </w:t>
      </w:r>
      <w:r w:rsidR="001D22D7">
        <w:rPr>
          <w:rFonts w:ascii="Calibri" w:hAnsi="Calibri" w:cs="Calibri"/>
          <w:lang w:val="es-GT"/>
        </w:rPr>
        <w:t>de</w:t>
      </w:r>
      <w:r w:rsidRPr="001A01AB">
        <w:rPr>
          <w:rFonts w:ascii="Calibri" w:hAnsi="Calibri" w:cs="Calibri"/>
          <w:lang w:val="es-GT"/>
        </w:rPr>
        <w:t xml:space="preserve"> los problemas </w:t>
      </w:r>
      <w:r w:rsidR="001D22D7">
        <w:rPr>
          <w:rFonts w:ascii="Calibri" w:hAnsi="Calibri" w:cs="Calibri"/>
          <w:lang w:val="es-GT"/>
        </w:rPr>
        <w:t>ambientales, los contextos que los exp</w:t>
      </w:r>
      <w:r w:rsidR="002664F2">
        <w:rPr>
          <w:rFonts w:ascii="Calibri" w:hAnsi="Calibri" w:cs="Calibri"/>
          <w:lang w:val="es-GT"/>
        </w:rPr>
        <w:t>lican y las relaciones de causa-</w:t>
      </w:r>
      <w:r w:rsidR="001D22D7">
        <w:rPr>
          <w:rFonts w:ascii="Calibri" w:hAnsi="Calibri" w:cs="Calibri"/>
          <w:lang w:val="es-GT"/>
        </w:rPr>
        <w:t xml:space="preserve">efecto que los originan. </w:t>
      </w:r>
    </w:p>
    <w:p w:rsidR="001D22D7" w:rsidRPr="001A01AB" w:rsidRDefault="001D22D7" w:rsidP="00A13498">
      <w:pPr>
        <w:jc w:val="both"/>
        <w:rPr>
          <w:rFonts w:ascii="Calibri" w:hAnsi="Calibri" w:cs="Calibri"/>
          <w:lang w:val="es-GT"/>
        </w:rPr>
      </w:pPr>
    </w:p>
    <w:p w:rsidR="004B76E5" w:rsidRPr="001A01AB" w:rsidRDefault="008A3A74" w:rsidP="00A13498">
      <w:pPr>
        <w:jc w:val="both"/>
        <w:rPr>
          <w:rFonts w:ascii="Calibri" w:hAnsi="Calibri" w:cs="Calibri"/>
          <w:lang w:val="es-GT"/>
        </w:rPr>
      </w:pPr>
      <w:r>
        <w:rPr>
          <w:rFonts w:ascii="Calibri" w:hAnsi="Calibri" w:cs="Calibri"/>
          <w:lang w:val="es-GT"/>
        </w:rPr>
        <w:t xml:space="preserve">En las siguientes secciones se </w:t>
      </w:r>
      <w:r w:rsidR="004B76E5" w:rsidRPr="001A01AB">
        <w:rPr>
          <w:rFonts w:ascii="Calibri" w:hAnsi="Calibri" w:cs="Calibri"/>
          <w:lang w:val="es-GT"/>
        </w:rPr>
        <w:t xml:space="preserve">presenta </w:t>
      </w:r>
      <w:r>
        <w:rPr>
          <w:rFonts w:ascii="Calibri" w:hAnsi="Calibri" w:cs="Calibri"/>
          <w:lang w:val="es-GT"/>
        </w:rPr>
        <w:t xml:space="preserve">una síntesis </w:t>
      </w:r>
      <w:r w:rsidR="004B76E5" w:rsidRPr="001A01AB">
        <w:rPr>
          <w:rFonts w:ascii="Calibri" w:hAnsi="Calibri" w:cs="Calibri"/>
          <w:lang w:val="es-GT"/>
        </w:rPr>
        <w:t>sobre la situación actual de</w:t>
      </w:r>
      <w:r w:rsidR="00351A80">
        <w:rPr>
          <w:rFonts w:ascii="Calibri" w:hAnsi="Calibri" w:cs="Calibri"/>
          <w:lang w:val="es-GT"/>
        </w:rPr>
        <w:t>l sistema socioecoló</w:t>
      </w:r>
      <w:r>
        <w:rPr>
          <w:rFonts w:ascii="Calibri" w:hAnsi="Calibri" w:cs="Calibri"/>
          <w:lang w:val="es-GT"/>
        </w:rPr>
        <w:t xml:space="preserve">gico. Se utiliza como fuente principal </w:t>
      </w:r>
      <w:r w:rsidR="002664F2">
        <w:rPr>
          <w:rFonts w:ascii="Calibri" w:hAnsi="Calibri" w:cs="Calibri"/>
          <w:lang w:val="es-GT"/>
        </w:rPr>
        <w:t xml:space="preserve">la </w:t>
      </w:r>
      <w:r w:rsidR="002664F2" w:rsidRPr="002664F2">
        <w:rPr>
          <w:rFonts w:ascii="Calibri" w:hAnsi="Calibri" w:cs="Calibri"/>
          <w:i/>
          <w:lang w:val="es-GT"/>
        </w:rPr>
        <w:t>E</w:t>
      </w:r>
      <w:r w:rsidR="004B76E5" w:rsidRPr="002664F2">
        <w:rPr>
          <w:rFonts w:ascii="Calibri" w:hAnsi="Calibri" w:cs="Calibri"/>
          <w:i/>
          <w:lang w:val="es-GT"/>
        </w:rPr>
        <w:t>valuación de la sostenibilidad para el desarrollo de Guatemala 1990-2008</w:t>
      </w:r>
      <w:r w:rsidR="004B76E5" w:rsidRPr="001A01AB">
        <w:rPr>
          <w:rFonts w:ascii="Calibri" w:hAnsi="Calibri" w:cs="Calibri"/>
          <w:lang w:val="es-GT"/>
        </w:rPr>
        <w:t xml:space="preserve">, desarrollada por la Universidad Rafael </w:t>
      </w:r>
      <w:r w:rsidR="00A04815" w:rsidRPr="001A01AB">
        <w:rPr>
          <w:rFonts w:ascii="Calibri" w:hAnsi="Calibri" w:cs="Calibri"/>
          <w:lang w:val="es-GT"/>
        </w:rPr>
        <w:t>Landívar</w:t>
      </w:r>
      <w:r>
        <w:rPr>
          <w:rFonts w:ascii="Calibri" w:hAnsi="Calibri" w:cs="Calibri"/>
          <w:lang w:val="es-GT"/>
        </w:rPr>
        <w:t xml:space="preserve"> (URL) a través d</w:t>
      </w:r>
      <w:r w:rsidR="004B76E5" w:rsidRPr="001A01AB">
        <w:rPr>
          <w:rFonts w:ascii="Calibri" w:hAnsi="Calibri" w:cs="Calibri"/>
          <w:lang w:val="es-GT"/>
        </w:rPr>
        <w:t>el Instituto de Agricultura, Recurs</w:t>
      </w:r>
      <w:r>
        <w:rPr>
          <w:rFonts w:ascii="Calibri" w:hAnsi="Calibri" w:cs="Calibri"/>
          <w:lang w:val="es-GT"/>
        </w:rPr>
        <w:t xml:space="preserve">os Naturales y Ambiente (IARNA) </w:t>
      </w:r>
      <w:r w:rsidR="004B76E5" w:rsidRPr="001A01AB">
        <w:rPr>
          <w:rFonts w:ascii="Calibri" w:hAnsi="Calibri" w:cs="Calibri"/>
          <w:lang w:val="es-GT"/>
        </w:rPr>
        <w:t>y la Secretaría de Planificación y Programación de la Presidencia</w:t>
      </w:r>
      <w:r>
        <w:rPr>
          <w:rFonts w:ascii="Calibri" w:hAnsi="Calibri" w:cs="Calibri"/>
          <w:lang w:val="es-GT"/>
        </w:rPr>
        <w:t>, publicada</w:t>
      </w:r>
      <w:r w:rsidR="004B76E5" w:rsidRPr="001A01AB">
        <w:rPr>
          <w:rFonts w:ascii="Calibri" w:hAnsi="Calibri" w:cs="Calibri"/>
          <w:lang w:val="es-GT"/>
        </w:rPr>
        <w:t xml:space="preserve"> en el año 2009</w:t>
      </w:r>
      <w:r w:rsidR="002664F2">
        <w:rPr>
          <w:rFonts w:ascii="Calibri" w:hAnsi="Calibri" w:cs="Calibri"/>
          <w:lang w:val="es-GT"/>
        </w:rPr>
        <w:t xml:space="preserve"> (IARNA-URL y SEGEPLAN, 2009)</w:t>
      </w:r>
      <w:r w:rsidR="004B76E5" w:rsidRPr="001A01AB">
        <w:rPr>
          <w:rFonts w:ascii="Calibri" w:hAnsi="Calibri" w:cs="Calibri"/>
          <w:lang w:val="es-GT"/>
        </w:rPr>
        <w:t>.</w:t>
      </w:r>
      <w:r w:rsidR="00141A70">
        <w:rPr>
          <w:rFonts w:ascii="Calibri" w:hAnsi="Calibri" w:cs="Calibri"/>
          <w:lang w:val="es-GT"/>
        </w:rPr>
        <w:t xml:space="preserve"> </w:t>
      </w:r>
      <w:r>
        <w:rPr>
          <w:rFonts w:ascii="Calibri" w:hAnsi="Calibri" w:cs="Calibri"/>
          <w:lang w:val="es-GT"/>
        </w:rPr>
        <w:t>También se utilizan los Perfiles Ambientales de Guatemala publicados por la Universidad Rafael Landívar en los años 2009 y 2012</w:t>
      </w:r>
      <w:r w:rsidR="002664F2">
        <w:rPr>
          <w:rFonts w:ascii="Calibri" w:hAnsi="Calibri" w:cs="Calibri"/>
          <w:lang w:val="es-GT"/>
        </w:rPr>
        <w:t xml:space="preserve"> (IARNA-URL, 2009 y 2012)</w:t>
      </w:r>
      <w:r>
        <w:rPr>
          <w:rFonts w:ascii="Calibri" w:hAnsi="Calibri" w:cs="Calibri"/>
          <w:lang w:val="es-GT"/>
        </w:rPr>
        <w:t xml:space="preserve">. </w:t>
      </w:r>
      <w:r w:rsidR="00A85AB0" w:rsidRPr="001A01AB">
        <w:rPr>
          <w:rFonts w:ascii="Calibri" w:hAnsi="Calibri" w:cs="Calibri"/>
          <w:lang w:val="es-GT"/>
        </w:rPr>
        <w:t xml:space="preserve">En la Figura </w:t>
      </w:r>
      <w:r w:rsidR="00EC32D0">
        <w:rPr>
          <w:rFonts w:ascii="Calibri" w:hAnsi="Calibri" w:cs="Calibri"/>
          <w:lang w:val="es-GT"/>
        </w:rPr>
        <w:t>6</w:t>
      </w:r>
      <w:r w:rsidR="00A85AB0" w:rsidRPr="001A01AB">
        <w:rPr>
          <w:rFonts w:ascii="Calibri" w:hAnsi="Calibri" w:cs="Calibri"/>
          <w:lang w:val="es-GT"/>
        </w:rPr>
        <w:t xml:space="preserve"> se </w:t>
      </w:r>
      <w:r>
        <w:rPr>
          <w:rFonts w:ascii="Calibri" w:hAnsi="Calibri" w:cs="Calibri"/>
          <w:lang w:val="es-GT"/>
        </w:rPr>
        <w:t xml:space="preserve">señalan algunos de los indicadores que se abordan en la descripción de cada </w:t>
      </w:r>
      <w:r w:rsidR="00A85AB0" w:rsidRPr="001A01AB">
        <w:rPr>
          <w:rFonts w:ascii="Calibri" w:hAnsi="Calibri" w:cs="Calibri"/>
          <w:lang w:val="es-GT"/>
        </w:rPr>
        <w:t>su</w:t>
      </w:r>
      <w:r w:rsidR="002664F2">
        <w:rPr>
          <w:rFonts w:ascii="Calibri" w:hAnsi="Calibri" w:cs="Calibri"/>
          <w:lang w:val="es-GT"/>
        </w:rPr>
        <w:t>bsistema</w:t>
      </w:r>
      <w:r w:rsidR="007C3972" w:rsidRPr="001A01AB">
        <w:rPr>
          <w:rFonts w:ascii="Calibri" w:hAnsi="Calibri" w:cs="Calibri"/>
          <w:lang w:val="es-GT"/>
        </w:rPr>
        <w:t xml:space="preserve"> del sistema socioecoló</w:t>
      </w:r>
      <w:r w:rsidR="00A85AB0" w:rsidRPr="001A01AB">
        <w:rPr>
          <w:rFonts w:ascii="Calibri" w:hAnsi="Calibri" w:cs="Calibri"/>
          <w:lang w:val="es-GT"/>
        </w:rPr>
        <w:t>gico.</w:t>
      </w:r>
    </w:p>
    <w:p w:rsidR="007C3C28" w:rsidRPr="001A01AB" w:rsidRDefault="007C3C28"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pPr>
    </w:p>
    <w:p w:rsidR="008D4206" w:rsidRPr="001A01AB" w:rsidRDefault="008D4206" w:rsidP="00A13498">
      <w:pPr>
        <w:jc w:val="both"/>
        <w:rPr>
          <w:rFonts w:ascii="Calibri" w:hAnsi="Calibri" w:cs="Calibri"/>
          <w:lang w:val="es-GT"/>
        </w:rPr>
        <w:sectPr w:rsidR="008D4206" w:rsidRPr="001A01AB" w:rsidSect="00FC14C5">
          <w:pgSz w:w="12240" w:h="15840" w:code="1"/>
          <w:pgMar w:top="1440" w:right="1152" w:bottom="1440" w:left="1440" w:header="720" w:footer="720" w:gutter="0"/>
          <w:pgNumType w:start="1"/>
          <w:cols w:space="720"/>
          <w:docGrid w:linePitch="360"/>
        </w:sectPr>
      </w:pPr>
    </w:p>
    <w:p w:rsidR="004B76E5" w:rsidRPr="001A01AB" w:rsidRDefault="007C3C28" w:rsidP="0056604C">
      <w:pPr>
        <w:spacing w:after="120"/>
        <w:jc w:val="center"/>
        <w:rPr>
          <w:rFonts w:ascii="Calibri" w:eastAsia="Calibri" w:hAnsi="Calibri" w:cs="Calibri"/>
          <w:b/>
          <w:color w:val="365F91"/>
          <w:sz w:val="22"/>
          <w:szCs w:val="22"/>
          <w:lang w:val="es-GT"/>
        </w:rPr>
      </w:pPr>
      <w:bookmarkStart w:id="56" w:name="_Toc347841229"/>
      <w:r w:rsidRPr="001A01AB">
        <w:rPr>
          <w:rFonts w:ascii="Calibri" w:eastAsia="Calibri" w:hAnsi="Calibri" w:cs="Calibri"/>
          <w:b/>
          <w:color w:val="365F91"/>
          <w:sz w:val="22"/>
          <w:szCs w:val="22"/>
          <w:lang w:val="es-GT"/>
        </w:rPr>
        <w:lastRenderedPageBreak/>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6</w:t>
      </w:r>
      <w:r w:rsidR="004D1F6A" w:rsidRPr="001A01AB">
        <w:rPr>
          <w:rFonts w:ascii="Calibri" w:eastAsia="Calibri" w:hAnsi="Calibri" w:cs="Calibri"/>
          <w:b/>
          <w:color w:val="365F91"/>
          <w:sz w:val="22"/>
          <w:szCs w:val="22"/>
          <w:lang w:val="es-GT"/>
        </w:rPr>
        <w:fldChar w:fldCharType="end"/>
      </w:r>
      <w:r w:rsidR="004B76E5" w:rsidRPr="001A01AB">
        <w:rPr>
          <w:rFonts w:ascii="Calibri" w:eastAsia="Calibri" w:hAnsi="Calibri" w:cs="Calibri"/>
          <w:b/>
          <w:color w:val="365F91"/>
          <w:sz w:val="22"/>
          <w:szCs w:val="22"/>
          <w:lang w:val="es-GT"/>
        </w:rPr>
        <w:t xml:space="preserve">. Indicadores utilizados para analizar la situación actual del </w:t>
      </w:r>
      <w:r w:rsidR="002664F2" w:rsidRPr="001A01AB">
        <w:rPr>
          <w:rFonts w:ascii="Calibri" w:eastAsia="Calibri" w:hAnsi="Calibri" w:cs="Calibri"/>
          <w:b/>
          <w:color w:val="365F91"/>
          <w:sz w:val="22"/>
          <w:szCs w:val="22"/>
          <w:lang w:val="es-GT"/>
        </w:rPr>
        <w:t xml:space="preserve">desarrollo rural </w:t>
      </w:r>
      <w:r w:rsidR="004B76E5" w:rsidRPr="001A01AB">
        <w:rPr>
          <w:rFonts w:ascii="Calibri" w:eastAsia="Calibri" w:hAnsi="Calibri" w:cs="Calibri"/>
          <w:b/>
          <w:color w:val="365F91"/>
          <w:sz w:val="22"/>
          <w:szCs w:val="22"/>
          <w:lang w:val="es-GT"/>
        </w:rPr>
        <w:t>en Guatemala</w:t>
      </w:r>
      <w:bookmarkEnd w:id="56"/>
    </w:p>
    <w:p w:rsidR="004B76E5" w:rsidRDefault="004B76E5" w:rsidP="004B76E5">
      <w:pPr>
        <w:jc w:val="both"/>
        <w:rPr>
          <w:rFonts w:ascii="Calibri" w:hAnsi="Calibri" w:cs="Calibri"/>
          <w:b/>
          <w:sz w:val="18"/>
          <w:lang w:val="es-MX"/>
        </w:rPr>
      </w:pPr>
    </w:p>
    <w:p w:rsidR="0067044D" w:rsidRDefault="00544A9F" w:rsidP="004B76E5">
      <w:pPr>
        <w:jc w:val="both"/>
        <w:rPr>
          <w:rFonts w:ascii="Calibri" w:hAnsi="Calibri" w:cs="Calibri"/>
          <w:b/>
          <w:sz w:val="18"/>
          <w:lang w:val="es-MX"/>
        </w:rPr>
      </w:pPr>
      <w:r>
        <w:rPr>
          <w:rFonts w:ascii="Calibri" w:hAnsi="Calibri" w:cs="Calibri"/>
          <w:b/>
          <w:noProof/>
          <w:sz w:val="18"/>
          <w:lang w:val="es-GT" w:eastAsia="es-GT"/>
        </w:rPr>
        <w:drawing>
          <wp:inline distT="0" distB="0" distL="0" distR="0" wp14:anchorId="30BB6AF5" wp14:editId="210308C4">
            <wp:extent cx="8001000" cy="4914900"/>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01000" cy="4914900"/>
                    </a:xfrm>
                    <a:prstGeom prst="rect">
                      <a:avLst/>
                    </a:prstGeom>
                    <a:noFill/>
                    <a:ln>
                      <a:noFill/>
                    </a:ln>
                  </pic:spPr>
                </pic:pic>
              </a:graphicData>
            </a:graphic>
          </wp:inline>
        </w:drawing>
      </w:r>
    </w:p>
    <w:p w:rsidR="0067044D" w:rsidRDefault="0067044D" w:rsidP="004B76E5">
      <w:pPr>
        <w:jc w:val="both"/>
        <w:rPr>
          <w:rFonts w:ascii="Calibri" w:hAnsi="Calibri" w:cs="Calibri"/>
          <w:b/>
          <w:sz w:val="18"/>
          <w:lang w:val="es-MX"/>
        </w:rPr>
      </w:pPr>
    </w:p>
    <w:p w:rsidR="0067044D" w:rsidRPr="001A01AB" w:rsidRDefault="0067044D" w:rsidP="004B76E5">
      <w:pPr>
        <w:jc w:val="both"/>
        <w:rPr>
          <w:rFonts w:ascii="Calibri" w:hAnsi="Calibri" w:cs="Calibri"/>
          <w:highlight w:val="yellow"/>
          <w:lang w:val="es-GT"/>
        </w:rPr>
      </w:pPr>
    </w:p>
    <w:p w:rsidR="008D4206" w:rsidRPr="001A01AB" w:rsidRDefault="00B813FF" w:rsidP="00523BC1">
      <w:pPr>
        <w:ind w:left="720"/>
        <w:jc w:val="right"/>
        <w:rPr>
          <w:rFonts w:ascii="Calibri" w:hAnsi="Calibri" w:cs="Calibri"/>
          <w:lang w:val="es-GT"/>
        </w:rPr>
        <w:sectPr w:rsidR="008D4206" w:rsidRPr="001A01AB" w:rsidSect="003D0B53">
          <w:pgSz w:w="15840" w:h="12240" w:orient="landscape" w:code="1"/>
          <w:pgMar w:top="1440" w:right="1440" w:bottom="1152" w:left="1440" w:header="720" w:footer="720" w:gutter="0"/>
          <w:cols w:space="720"/>
          <w:docGrid w:linePitch="360"/>
        </w:sectPr>
      </w:pPr>
      <w:r>
        <w:rPr>
          <w:rFonts w:ascii="Calibri" w:hAnsi="Calibri" w:cs="Calibri"/>
          <w:sz w:val="20"/>
          <w:lang w:val="es-GT"/>
        </w:rPr>
        <w:t>Fuente: E</w:t>
      </w:r>
      <w:r w:rsidR="004B76E5" w:rsidRPr="001A01AB">
        <w:rPr>
          <w:rFonts w:ascii="Calibri" w:hAnsi="Calibri" w:cs="Calibri"/>
          <w:sz w:val="20"/>
          <w:lang w:val="es-GT"/>
        </w:rPr>
        <w:t xml:space="preserve">laboración propia, </w:t>
      </w:r>
      <w:r>
        <w:rPr>
          <w:rFonts w:ascii="Calibri" w:hAnsi="Calibri" w:cs="Calibri"/>
          <w:sz w:val="20"/>
          <w:lang w:val="es-GT"/>
        </w:rPr>
        <w:t>con base en IARNA-URL (</w:t>
      </w:r>
      <w:r w:rsidR="002664F2">
        <w:rPr>
          <w:rFonts w:ascii="Calibri" w:hAnsi="Calibri" w:cs="Calibri"/>
          <w:sz w:val="20"/>
          <w:lang w:val="es-GT"/>
        </w:rPr>
        <w:t>2009</w:t>
      </w:r>
      <w:r>
        <w:rPr>
          <w:rFonts w:ascii="Calibri" w:hAnsi="Calibri" w:cs="Calibri"/>
          <w:sz w:val="20"/>
          <w:lang w:val="es-GT"/>
        </w:rPr>
        <w:t>)</w:t>
      </w:r>
      <w:r w:rsidR="002664F2">
        <w:rPr>
          <w:rFonts w:ascii="Calibri" w:hAnsi="Calibri" w:cs="Calibri"/>
          <w:sz w:val="20"/>
          <w:lang w:val="es-GT"/>
        </w:rPr>
        <w:t>.</w:t>
      </w:r>
    </w:p>
    <w:p w:rsidR="00544D7C" w:rsidRPr="001A01AB" w:rsidRDefault="00220D4B" w:rsidP="006B0A31">
      <w:pPr>
        <w:pStyle w:val="Prrafodelista"/>
        <w:numPr>
          <w:ilvl w:val="2"/>
          <w:numId w:val="51"/>
        </w:numPr>
        <w:spacing w:after="120"/>
        <w:jc w:val="both"/>
        <w:rPr>
          <w:rFonts w:cs="Calibri"/>
          <w:b/>
          <w:i/>
          <w:color w:val="365F91"/>
          <w:sz w:val="24"/>
          <w:szCs w:val="24"/>
        </w:rPr>
      </w:pPr>
      <w:r w:rsidRPr="001A01AB">
        <w:rPr>
          <w:rFonts w:cs="Calibri"/>
          <w:b/>
          <w:i/>
          <w:color w:val="365F91"/>
          <w:sz w:val="24"/>
          <w:szCs w:val="24"/>
        </w:rPr>
        <w:lastRenderedPageBreak/>
        <w:t>Sub-s</w:t>
      </w:r>
      <w:r w:rsidR="00160E43" w:rsidRPr="001A01AB">
        <w:rPr>
          <w:rFonts w:cs="Calibri"/>
          <w:b/>
          <w:i/>
          <w:color w:val="365F91"/>
          <w:sz w:val="24"/>
          <w:szCs w:val="24"/>
        </w:rPr>
        <w:t xml:space="preserve">istema </w:t>
      </w:r>
      <w:r w:rsidR="002664F2">
        <w:rPr>
          <w:rFonts w:cs="Calibri"/>
          <w:b/>
          <w:i/>
          <w:color w:val="365F91"/>
          <w:sz w:val="24"/>
          <w:szCs w:val="24"/>
        </w:rPr>
        <w:t>n</w:t>
      </w:r>
      <w:r w:rsidR="00160E43" w:rsidRPr="001A01AB">
        <w:rPr>
          <w:rFonts w:cs="Calibri"/>
          <w:b/>
          <w:i/>
          <w:color w:val="365F91"/>
          <w:sz w:val="24"/>
          <w:szCs w:val="24"/>
        </w:rPr>
        <w:t>atural</w:t>
      </w:r>
    </w:p>
    <w:p w:rsidR="003176F4" w:rsidRPr="007450B6" w:rsidRDefault="003176F4" w:rsidP="003176F4">
      <w:pPr>
        <w:ind w:left="360"/>
        <w:jc w:val="both"/>
        <w:rPr>
          <w:rFonts w:ascii="Calibri" w:hAnsi="Calibri" w:cs="Calibri"/>
          <w:sz w:val="20"/>
          <w:lang w:val="es-GT"/>
        </w:rPr>
      </w:pPr>
    </w:p>
    <w:p w:rsidR="004B76E5" w:rsidRPr="001A01AB" w:rsidRDefault="00FC6640" w:rsidP="006B0A31">
      <w:pPr>
        <w:pStyle w:val="Prrafodelista"/>
        <w:numPr>
          <w:ilvl w:val="3"/>
          <w:numId w:val="51"/>
        </w:numPr>
        <w:jc w:val="both"/>
        <w:rPr>
          <w:rFonts w:cs="Calibri"/>
          <w:b/>
          <w:color w:val="365F91"/>
        </w:rPr>
      </w:pPr>
      <w:r w:rsidRPr="001A01AB">
        <w:rPr>
          <w:rFonts w:cs="Calibri"/>
          <w:b/>
          <w:color w:val="365F91"/>
        </w:rPr>
        <w:t xml:space="preserve"> </w:t>
      </w:r>
      <w:r w:rsidR="00DE578B" w:rsidRPr="001A01AB">
        <w:rPr>
          <w:rFonts w:cs="Calibri"/>
          <w:b/>
          <w:color w:val="365F91"/>
        </w:rPr>
        <w:t>Componente</w:t>
      </w:r>
      <w:r w:rsidR="004B76E5" w:rsidRPr="001A01AB">
        <w:rPr>
          <w:rFonts w:cs="Calibri"/>
          <w:b/>
          <w:color w:val="365F91"/>
        </w:rPr>
        <w:t xml:space="preserve"> </w:t>
      </w:r>
      <w:r w:rsidR="00DE578B" w:rsidRPr="001A01AB">
        <w:rPr>
          <w:rFonts w:cs="Calibri"/>
          <w:b/>
          <w:color w:val="365F91"/>
        </w:rPr>
        <w:t>“</w:t>
      </w:r>
      <w:r w:rsidR="004B76E5" w:rsidRPr="001A01AB">
        <w:rPr>
          <w:rFonts w:cs="Calibri"/>
          <w:b/>
          <w:color w:val="365F91"/>
        </w:rPr>
        <w:t>Bosque</w:t>
      </w:r>
      <w:r w:rsidR="00DE578B" w:rsidRPr="001A01AB">
        <w:rPr>
          <w:rFonts w:cs="Calibri"/>
          <w:b/>
          <w:color w:val="365F91"/>
        </w:rPr>
        <w:t>”</w:t>
      </w:r>
    </w:p>
    <w:p w:rsidR="0017059B" w:rsidRDefault="004B76E5" w:rsidP="005F608A">
      <w:pPr>
        <w:ind w:left="360"/>
        <w:jc w:val="both"/>
        <w:rPr>
          <w:rFonts w:ascii="Calibri" w:hAnsi="Calibri" w:cs="Calibri"/>
          <w:lang w:val="es-GT"/>
        </w:rPr>
      </w:pPr>
      <w:r w:rsidRPr="001A01AB">
        <w:rPr>
          <w:rFonts w:ascii="Calibri" w:hAnsi="Calibri" w:cs="Calibri"/>
          <w:lang w:val="es-GT"/>
        </w:rPr>
        <w:t>La cobertura boscosa del país en 20</w:t>
      </w:r>
      <w:r w:rsidR="0073679C" w:rsidRPr="001A01AB">
        <w:rPr>
          <w:rFonts w:ascii="Calibri" w:hAnsi="Calibri" w:cs="Calibri"/>
          <w:lang w:val="es-GT"/>
        </w:rPr>
        <w:t>10</w:t>
      </w:r>
      <w:r w:rsidRPr="001A01AB">
        <w:rPr>
          <w:rFonts w:ascii="Calibri" w:hAnsi="Calibri" w:cs="Calibri"/>
          <w:lang w:val="es-GT"/>
        </w:rPr>
        <w:t xml:space="preserve"> fue de </w:t>
      </w:r>
      <w:r w:rsidR="0073679C" w:rsidRPr="001A01AB">
        <w:rPr>
          <w:rFonts w:ascii="Calibri" w:hAnsi="Calibri" w:cs="Calibri"/>
          <w:lang w:val="es-GT"/>
        </w:rPr>
        <w:t>3,722</w:t>
      </w:r>
      <w:r w:rsidR="002664F2">
        <w:rPr>
          <w:rFonts w:ascii="Calibri" w:hAnsi="Calibri" w:cs="Calibri"/>
          <w:lang w:val="es-GT"/>
        </w:rPr>
        <w:t>,</w:t>
      </w:r>
      <w:r w:rsidR="00351A80" w:rsidRPr="001A01AB">
        <w:rPr>
          <w:rFonts w:ascii="Calibri" w:hAnsi="Calibri" w:cs="Calibri"/>
          <w:lang w:val="es-GT"/>
        </w:rPr>
        <w:t>595</w:t>
      </w:r>
      <w:r w:rsidRPr="001A01AB">
        <w:rPr>
          <w:rFonts w:ascii="Calibri" w:hAnsi="Calibri" w:cs="Calibri"/>
          <w:lang w:val="es-GT"/>
        </w:rPr>
        <w:t xml:space="preserve"> hectáreas</w:t>
      </w:r>
      <w:r w:rsidR="00B9385E">
        <w:rPr>
          <w:rFonts w:ascii="Calibri" w:hAnsi="Calibri" w:cs="Calibri"/>
          <w:lang w:val="es-GT"/>
        </w:rPr>
        <w:t xml:space="preserve"> (</w:t>
      </w:r>
      <w:r w:rsidR="0073679C" w:rsidRPr="001A01AB">
        <w:rPr>
          <w:rFonts w:ascii="Calibri" w:hAnsi="Calibri" w:cs="Calibri"/>
          <w:lang w:val="es-GT"/>
        </w:rPr>
        <w:t>34.2% del país</w:t>
      </w:r>
      <w:r w:rsidR="00B9385E">
        <w:rPr>
          <w:rFonts w:ascii="Calibri" w:hAnsi="Calibri" w:cs="Calibri"/>
          <w:lang w:val="es-GT"/>
        </w:rPr>
        <w:t>)</w:t>
      </w:r>
      <w:r w:rsidR="0073679C" w:rsidRPr="001A01AB">
        <w:rPr>
          <w:rFonts w:ascii="Calibri" w:hAnsi="Calibri" w:cs="Calibri"/>
          <w:lang w:val="es-GT"/>
        </w:rPr>
        <w:t>; comparado con la cobertura observada para el 2006</w:t>
      </w:r>
      <w:r w:rsidR="00B9385E">
        <w:rPr>
          <w:rFonts w:ascii="Calibri" w:hAnsi="Calibri" w:cs="Calibri"/>
          <w:lang w:val="es-GT"/>
        </w:rPr>
        <w:t xml:space="preserve"> (</w:t>
      </w:r>
      <w:r w:rsidR="0073679C" w:rsidRPr="001A01AB">
        <w:rPr>
          <w:rFonts w:ascii="Calibri" w:hAnsi="Calibri" w:cs="Calibri"/>
          <w:lang w:val="es-GT"/>
        </w:rPr>
        <w:t>3,868,708</w:t>
      </w:r>
      <w:r w:rsidR="00DF13D3" w:rsidRPr="001A01AB">
        <w:rPr>
          <w:rFonts w:ascii="Calibri" w:hAnsi="Calibri" w:cs="Calibri"/>
          <w:lang w:val="es-GT"/>
        </w:rPr>
        <w:t xml:space="preserve"> </w:t>
      </w:r>
      <w:r w:rsidR="00351A80">
        <w:rPr>
          <w:rFonts w:ascii="Calibri" w:hAnsi="Calibri" w:cs="Calibri"/>
          <w:lang w:val="es-GT"/>
        </w:rPr>
        <w:t>ha</w:t>
      </w:r>
      <w:r w:rsidR="00B9385E">
        <w:rPr>
          <w:rFonts w:ascii="Calibri" w:hAnsi="Calibri" w:cs="Calibri"/>
          <w:lang w:val="es-GT"/>
        </w:rPr>
        <w:t>)</w:t>
      </w:r>
      <w:r w:rsidR="00257AD1" w:rsidRPr="001A01AB">
        <w:rPr>
          <w:rFonts w:ascii="Calibri" w:hAnsi="Calibri" w:cs="Calibri"/>
          <w:lang w:val="es-GT"/>
        </w:rPr>
        <w:t xml:space="preserve">, </w:t>
      </w:r>
      <w:r w:rsidR="00254161">
        <w:rPr>
          <w:rFonts w:ascii="Calibri" w:hAnsi="Calibri" w:cs="Calibri"/>
          <w:lang w:val="es-GT"/>
        </w:rPr>
        <w:t xml:space="preserve">se determina </w:t>
      </w:r>
      <w:r w:rsidR="00257AD1" w:rsidRPr="001A01AB">
        <w:rPr>
          <w:rFonts w:ascii="Calibri" w:hAnsi="Calibri" w:cs="Calibri"/>
          <w:lang w:val="es-GT"/>
        </w:rPr>
        <w:t xml:space="preserve">una pérdida neta </w:t>
      </w:r>
      <w:r w:rsidR="00254161">
        <w:rPr>
          <w:rFonts w:ascii="Calibri" w:hAnsi="Calibri" w:cs="Calibri"/>
          <w:lang w:val="es-GT"/>
        </w:rPr>
        <w:t xml:space="preserve">anual </w:t>
      </w:r>
      <w:r w:rsidR="00257AD1" w:rsidRPr="001A01AB">
        <w:rPr>
          <w:rFonts w:ascii="Calibri" w:hAnsi="Calibri" w:cs="Calibri"/>
          <w:lang w:val="es-GT"/>
        </w:rPr>
        <w:t>de 38,597 hectáreas</w:t>
      </w:r>
      <w:r w:rsidR="00B9385E">
        <w:rPr>
          <w:rFonts w:ascii="Calibri" w:hAnsi="Calibri" w:cs="Calibri"/>
          <w:lang w:val="es-GT"/>
        </w:rPr>
        <w:t xml:space="preserve"> (Figura 7</w:t>
      </w:r>
      <w:r w:rsidR="00B9385E" w:rsidRPr="001A01AB">
        <w:rPr>
          <w:rFonts w:ascii="Calibri" w:hAnsi="Calibri" w:cs="Calibri"/>
          <w:lang w:val="es-GT"/>
        </w:rPr>
        <w:t>)</w:t>
      </w:r>
      <w:r w:rsidR="00257AD1" w:rsidRPr="001A01AB">
        <w:rPr>
          <w:rFonts w:ascii="Calibri" w:hAnsi="Calibri" w:cs="Calibri"/>
          <w:lang w:val="es-GT"/>
        </w:rPr>
        <w:t>, equivalentes a 1.0% respecto al bosque existente e</w:t>
      </w:r>
      <w:r w:rsidR="0017059B">
        <w:rPr>
          <w:rFonts w:ascii="Calibri" w:hAnsi="Calibri" w:cs="Calibri"/>
          <w:lang w:val="es-GT"/>
        </w:rPr>
        <w:t>n el 2006 (INAB, CONAP, UVG y</w:t>
      </w:r>
      <w:r w:rsidR="00257AD1" w:rsidRPr="001A01AB">
        <w:rPr>
          <w:rFonts w:ascii="Calibri" w:hAnsi="Calibri" w:cs="Calibri"/>
          <w:lang w:val="es-GT"/>
        </w:rPr>
        <w:t xml:space="preserve"> IARNA-URL, 2012).</w:t>
      </w:r>
      <w:r w:rsidR="005F608A" w:rsidRPr="001A01AB">
        <w:rPr>
          <w:rFonts w:ascii="Calibri" w:hAnsi="Calibri" w:cs="Calibri"/>
          <w:lang w:val="es-GT"/>
        </w:rPr>
        <w:t xml:space="preserve"> </w:t>
      </w:r>
    </w:p>
    <w:p w:rsidR="0017059B" w:rsidRDefault="0017059B" w:rsidP="005F608A">
      <w:pPr>
        <w:ind w:left="360"/>
        <w:jc w:val="both"/>
        <w:rPr>
          <w:rFonts w:ascii="Calibri" w:hAnsi="Calibri" w:cs="Calibri"/>
          <w:lang w:val="es-GT"/>
        </w:rPr>
      </w:pPr>
    </w:p>
    <w:p w:rsidR="004B76E5" w:rsidRPr="001A01AB" w:rsidRDefault="004B76E5" w:rsidP="005F608A">
      <w:pPr>
        <w:ind w:left="360"/>
        <w:jc w:val="both"/>
        <w:rPr>
          <w:rFonts w:ascii="Calibri" w:hAnsi="Calibri" w:cs="Calibri"/>
          <w:lang w:val="es-GT"/>
        </w:rPr>
      </w:pPr>
      <w:r w:rsidRPr="001A01AB">
        <w:rPr>
          <w:rFonts w:ascii="Calibri" w:hAnsi="Calibri" w:cs="Calibri"/>
          <w:lang w:val="es-GT"/>
        </w:rPr>
        <w:t xml:space="preserve">Desde la perspectiva socioecológica, se identificaron </w:t>
      </w:r>
      <w:r w:rsidR="0017059B">
        <w:rPr>
          <w:rFonts w:ascii="Calibri" w:hAnsi="Calibri" w:cs="Calibri"/>
          <w:lang w:val="es-GT"/>
        </w:rPr>
        <w:t>y priorizaron indicadores-señal</w:t>
      </w:r>
      <w:r w:rsidRPr="001A01AB">
        <w:rPr>
          <w:rFonts w:ascii="Calibri" w:hAnsi="Calibri" w:cs="Calibri"/>
          <w:lang w:val="es-GT"/>
        </w:rPr>
        <w:t xml:space="preserve"> vinculados al bosque para los subsistemas económico, social, natural e institucional a nivel comunitario, tales como</w:t>
      </w:r>
      <w:r w:rsidR="00665CFE" w:rsidRPr="001A01AB">
        <w:rPr>
          <w:rFonts w:ascii="Calibri" w:hAnsi="Calibri" w:cs="Calibri"/>
          <w:lang w:val="es-GT"/>
        </w:rPr>
        <w:t xml:space="preserve"> (IARNA-URL, 2012)</w:t>
      </w:r>
      <w:r w:rsidRPr="001A01AB">
        <w:rPr>
          <w:rFonts w:ascii="Calibri" w:hAnsi="Calibri" w:cs="Calibri"/>
          <w:lang w:val="es-GT"/>
        </w:rPr>
        <w:t xml:space="preserve">: </w:t>
      </w:r>
    </w:p>
    <w:p w:rsidR="004B76E5" w:rsidRPr="001A01AB" w:rsidRDefault="004B76E5" w:rsidP="00B9385E">
      <w:pPr>
        <w:pStyle w:val="Prrafodelista"/>
        <w:numPr>
          <w:ilvl w:val="0"/>
          <w:numId w:val="2"/>
        </w:numPr>
        <w:spacing w:after="60" w:line="240" w:lineRule="auto"/>
        <w:contextualSpacing w:val="0"/>
        <w:jc w:val="both"/>
        <w:rPr>
          <w:rFonts w:cs="Calibri"/>
          <w:sz w:val="24"/>
          <w:szCs w:val="24"/>
        </w:rPr>
      </w:pPr>
      <w:r w:rsidRPr="001A01AB">
        <w:rPr>
          <w:rFonts w:cs="Calibri"/>
          <w:sz w:val="24"/>
          <w:szCs w:val="24"/>
        </w:rPr>
        <w:t xml:space="preserve">Dinámica de la cobertura forestal: 132,138 </w:t>
      </w:r>
      <w:r w:rsidR="00665CFE" w:rsidRPr="001A01AB">
        <w:rPr>
          <w:rFonts w:cs="Calibri"/>
          <w:sz w:val="24"/>
          <w:szCs w:val="24"/>
        </w:rPr>
        <w:t>hectáreas</w:t>
      </w:r>
      <w:r w:rsidRPr="001A01AB">
        <w:rPr>
          <w:rFonts w:cs="Calibri"/>
          <w:sz w:val="24"/>
          <w:szCs w:val="24"/>
        </w:rPr>
        <w:t xml:space="preserve"> anuales de pérd</w:t>
      </w:r>
      <w:r w:rsidR="0017059B">
        <w:rPr>
          <w:rFonts w:cs="Calibri"/>
          <w:sz w:val="24"/>
          <w:szCs w:val="24"/>
        </w:rPr>
        <w:t>ida bruta de cobertura forestal</w:t>
      </w:r>
      <w:r w:rsidRPr="001A01AB">
        <w:rPr>
          <w:rFonts w:cs="Calibri"/>
          <w:sz w:val="24"/>
          <w:szCs w:val="24"/>
        </w:rPr>
        <w:t xml:space="preserve"> </w:t>
      </w:r>
      <w:r w:rsidR="00665CFE" w:rsidRPr="001A01AB">
        <w:rPr>
          <w:rFonts w:cs="Calibri"/>
          <w:sz w:val="24"/>
          <w:szCs w:val="24"/>
        </w:rPr>
        <w:t xml:space="preserve">y </w:t>
      </w:r>
      <w:r w:rsidRPr="001A01AB">
        <w:rPr>
          <w:rFonts w:cs="Calibri"/>
          <w:sz w:val="24"/>
          <w:szCs w:val="24"/>
        </w:rPr>
        <w:t xml:space="preserve">93,541 </w:t>
      </w:r>
      <w:r w:rsidR="00665CFE" w:rsidRPr="001A01AB">
        <w:rPr>
          <w:rFonts w:cs="Calibri"/>
          <w:sz w:val="24"/>
          <w:szCs w:val="24"/>
        </w:rPr>
        <w:t>hectáreas</w:t>
      </w:r>
      <w:r w:rsidRPr="001A01AB">
        <w:rPr>
          <w:rFonts w:cs="Calibri"/>
          <w:sz w:val="24"/>
          <w:szCs w:val="24"/>
        </w:rPr>
        <w:t xml:space="preserve"> anuales de ganancia bruta.</w:t>
      </w:r>
    </w:p>
    <w:p w:rsidR="004B76E5" w:rsidRPr="001A01AB" w:rsidRDefault="004B76E5" w:rsidP="00B9385E">
      <w:pPr>
        <w:pStyle w:val="Prrafodelista"/>
        <w:numPr>
          <w:ilvl w:val="0"/>
          <w:numId w:val="2"/>
        </w:numPr>
        <w:spacing w:after="60" w:line="240" w:lineRule="auto"/>
        <w:contextualSpacing w:val="0"/>
        <w:jc w:val="both"/>
        <w:rPr>
          <w:rFonts w:cs="Calibri"/>
          <w:sz w:val="24"/>
          <w:szCs w:val="24"/>
        </w:rPr>
      </w:pPr>
      <w:r w:rsidRPr="001A01AB">
        <w:rPr>
          <w:rFonts w:cs="Calibri"/>
          <w:sz w:val="24"/>
          <w:szCs w:val="24"/>
        </w:rPr>
        <w:t xml:space="preserve">Dinámica de los </w:t>
      </w:r>
      <w:r w:rsidR="0017059B">
        <w:rPr>
          <w:rFonts w:cs="Calibri"/>
          <w:sz w:val="24"/>
          <w:szCs w:val="24"/>
        </w:rPr>
        <w:t>aprovechamientos forestales: Q.</w:t>
      </w:r>
      <w:r w:rsidRPr="001A01AB">
        <w:rPr>
          <w:rFonts w:cs="Calibri"/>
          <w:sz w:val="24"/>
          <w:szCs w:val="24"/>
        </w:rPr>
        <w:t>5,914 millones de PIB forestal para el 2006</w:t>
      </w:r>
      <w:r w:rsidR="00665CFE" w:rsidRPr="001A01AB">
        <w:rPr>
          <w:rFonts w:cs="Calibri"/>
          <w:sz w:val="24"/>
          <w:szCs w:val="24"/>
        </w:rPr>
        <w:t>;</w:t>
      </w:r>
      <w:r w:rsidRPr="001A01AB">
        <w:rPr>
          <w:rFonts w:cs="Calibri"/>
          <w:sz w:val="24"/>
          <w:szCs w:val="24"/>
        </w:rPr>
        <w:t xml:space="preserve"> </w:t>
      </w:r>
      <w:r w:rsidR="00665CFE" w:rsidRPr="001A01AB">
        <w:rPr>
          <w:rFonts w:cs="Calibri"/>
          <w:sz w:val="24"/>
          <w:szCs w:val="24"/>
        </w:rPr>
        <w:t>33 millones de m</w:t>
      </w:r>
      <w:r w:rsidR="00665CFE" w:rsidRPr="001A01AB">
        <w:rPr>
          <w:rFonts w:cs="Calibri"/>
          <w:sz w:val="24"/>
          <w:szCs w:val="24"/>
          <w:vertAlign w:val="superscript"/>
        </w:rPr>
        <w:t>3</w:t>
      </w:r>
      <w:r w:rsidR="00665CFE" w:rsidRPr="001A01AB">
        <w:rPr>
          <w:rFonts w:cs="Calibri"/>
          <w:sz w:val="24"/>
          <w:szCs w:val="24"/>
        </w:rPr>
        <w:t xml:space="preserve"> de extracción total de madera; </w:t>
      </w:r>
      <w:r w:rsidRPr="001A01AB">
        <w:rPr>
          <w:rFonts w:cs="Calibri"/>
          <w:sz w:val="24"/>
          <w:szCs w:val="24"/>
        </w:rPr>
        <w:t>31.6 millones de m</w:t>
      </w:r>
      <w:r w:rsidRPr="001A01AB">
        <w:rPr>
          <w:rFonts w:cs="Calibri"/>
          <w:sz w:val="24"/>
          <w:szCs w:val="24"/>
          <w:vertAlign w:val="superscript"/>
        </w:rPr>
        <w:t>3</w:t>
      </w:r>
      <w:r w:rsidRPr="001A01AB">
        <w:rPr>
          <w:rFonts w:cs="Calibri"/>
          <w:sz w:val="24"/>
          <w:szCs w:val="24"/>
        </w:rPr>
        <w:t xml:space="preserve"> de extracción ilegal de madera</w:t>
      </w:r>
      <w:r w:rsidR="00665CFE" w:rsidRPr="001A01AB">
        <w:rPr>
          <w:rFonts w:cs="Calibri"/>
          <w:sz w:val="24"/>
          <w:szCs w:val="24"/>
        </w:rPr>
        <w:t>;</w:t>
      </w:r>
      <w:r w:rsidRPr="001A01AB">
        <w:rPr>
          <w:rFonts w:cs="Calibri"/>
          <w:sz w:val="24"/>
          <w:szCs w:val="24"/>
        </w:rPr>
        <w:t xml:space="preserve"> 2.7 m</w:t>
      </w:r>
      <w:r w:rsidRPr="001A01AB">
        <w:rPr>
          <w:rFonts w:cs="Calibri"/>
          <w:sz w:val="24"/>
          <w:szCs w:val="24"/>
          <w:vertAlign w:val="superscript"/>
        </w:rPr>
        <w:t>3</w:t>
      </w:r>
      <w:r w:rsidRPr="001A01AB">
        <w:rPr>
          <w:rFonts w:cs="Calibri"/>
          <w:sz w:val="24"/>
          <w:szCs w:val="24"/>
        </w:rPr>
        <w:t>/hab/año de consumo de leña rural</w:t>
      </w:r>
      <w:r w:rsidR="0017059B">
        <w:rPr>
          <w:rFonts w:cs="Calibri"/>
          <w:sz w:val="24"/>
          <w:szCs w:val="24"/>
        </w:rPr>
        <w:t xml:space="preserve"> y</w:t>
      </w:r>
      <w:r w:rsidRPr="001A01AB">
        <w:rPr>
          <w:rFonts w:cs="Calibri"/>
          <w:sz w:val="24"/>
          <w:szCs w:val="24"/>
        </w:rPr>
        <w:t xml:space="preserve"> 1 m</w:t>
      </w:r>
      <w:r w:rsidRPr="001A01AB">
        <w:rPr>
          <w:rFonts w:cs="Calibri"/>
          <w:sz w:val="24"/>
          <w:szCs w:val="24"/>
          <w:vertAlign w:val="superscript"/>
        </w:rPr>
        <w:t>3</w:t>
      </w:r>
      <w:r w:rsidRPr="001A01AB">
        <w:rPr>
          <w:rFonts w:cs="Calibri"/>
          <w:sz w:val="24"/>
          <w:szCs w:val="24"/>
        </w:rPr>
        <w:t>/hab/año de consumo de leña a nivel urbano.</w:t>
      </w:r>
    </w:p>
    <w:p w:rsidR="004B76E5" w:rsidRPr="001A01AB" w:rsidRDefault="004B76E5" w:rsidP="00E7258A">
      <w:pPr>
        <w:pStyle w:val="Prrafodelista"/>
        <w:numPr>
          <w:ilvl w:val="0"/>
          <w:numId w:val="2"/>
        </w:numPr>
        <w:spacing w:after="0" w:line="240" w:lineRule="auto"/>
        <w:jc w:val="both"/>
        <w:rPr>
          <w:rFonts w:cs="Calibri"/>
          <w:sz w:val="24"/>
          <w:szCs w:val="24"/>
        </w:rPr>
      </w:pPr>
      <w:r w:rsidRPr="001A01AB">
        <w:rPr>
          <w:rFonts w:cs="Calibri"/>
          <w:sz w:val="24"/>
          <w:szCs w:val="24"/>
        </w:rPr>
        <w:t>Dinámica de la inversión pública sectorial: Q. 1,222 millones para reforestar 102,000 ha y manejar 188,000 ha de bosque natural</w:t>
      </w:r>
      <w:r w:rsidR="0017059B">
        <w:rPr>
          <w:rFonts w:cs="Calibri"/>
          <w:sz w:val="24"/>
          <w:szCs w:val="24"/>
        </w:rPr>
        <w:t>. P</w:t>
      </w:r>
      <w:r w:rsidRPr="001A01AB">
        <w:rPr>
          <w:rFonts w:cs="Calibri"/>
          <w:sz w:val="24"/>
          <w:szCs w:val="24"/>
        </w:rPr>
        <w:t xml:space="preserve">resupuesto </w:t>
      </w:r>
      <w:r w:rsidR="0017059B">
        <w:rPr>
          <w:rFonts w:cs="Calibri"/>
          <w:sz w:val="24"/>
          <w:szCs w:val="24"/>
        </w:rPr>
        <w:t xml:space="preserve">del </w:t>
      </w:r>
      <w:r w:rsidRPr="001A01AB">
        <w:rPr>
          <w:rFonts w:cs="Calibri"/>
          <w:sz w:val="24"/>
          <w:szCs w:val="24"/>
        </w:rPr>
        <w:t>CONAP</w:t>
      </w:r>
      <w:r w:rsidR="0017059B">
        <w:rPr>
          <w:rFonts w:cs="Calibri"/>
          <w:sz w:val="24"/>
          <w:szCs w:val="24"/>
        </w:rPr>
        <w:t>:</w:t>
      </w:r>
      <w:r w:rsidRPr="001A01AB">
        <w:rPr>
          <w:rFonts w:cs="Calibri"/>
          <w:sz w:val="24"/>
          <w:szCs w:val="24"/>
        </w:rPr>
        <w:t xml:space="preserve"> </w:t>
      </w:r>
      <w:r w:rsidR="0017059B">
        <w:rPr>
          <w:rFonts w:cs="Calibri"/>
          <w:sz w:val="24"/>
          <w:szCs w:val="24"/>
        </w:rPr>
        <w:t>Q.46.4 millones (2009) y del</w:t>
      </w:r>
      <w:r w:rsidRPr="001A01AB">
        <w:rPr>
          <w:rFonts w:cs="Calibri"/>
          <w:sz w:val="24"/>
          <w:szCs w:val="24"/>
        </w:rPr>
        <w:t xml:space="preserve"> INAB</w:t>
      </w:r>
      <w:r w:rsidR="0017059B">
        <w:rPr>
          <w:rFonts w:cs="Calibri"/>
          <w:sz w:val="24"/>
          <w:szCs w:val="24"/>
        </w:rPr>
        <w:t>:</w:t>
      </w:r>
      <w:r w:rsidRPr="001A01AB">
        <w:rPr>
          <w:rFonts w:cs="Calibri"/>
          <w:sz w:val="24"/>
          <w:szCs w:val="24"/>
        </w:rPr>
        <w:t xml:space="preserve"> Q. 57.27 millones (2010).</w:t>
      </w:r>
    </w:p>
    <w:p w:rsidR="004B76E5" w:rsidRPr="007450B6" w:rsidRDefault="004B76E5" w:rsidP="007C3C28">
      <w:pPr>
        <w:ind w:left="360"/>
        <w:jc w:val="both"/>
        <w:rPr>
          <w:rFonts w:ascii="Calibri" w:hAnsi="Calibri" w:cs="Calibri"/>
          <w:sz w:val="20"/>
          <w:lang w:val="es-GT"/>
        </w:rPr>
      </w:pPr>
    </w:p>
    <w:p w:rsidR="003176F4" w:rsidRPr="001A01AB" w:rsidRDefault="004B76E5" w:rsidP="00A13498">
      <w:pPr>
        <w:spacing w:after="120"/>
        <w:ind w:left="360"/>
        <w:jc w:val="both"/>
        <w:rPr>
          <w:rFonts w:ascii="Calibri" w:hAnsi="Calibri" w:cs="Calibri"/>
          <w:lang w:val="es-GT"/>
        </w:rPr>
      </w:pPr>
      <w:r w:rsidRPr="001A01AB">
        <w:rPr>
          <w:rFonts w:ascii="Calibri" w:hAnsi="Calibri" w:cs="Calibri"/>
          <w:lang w:val="es-GT"/>
        </w:rPr>
        <w:t>Del análisis socioecológico realizado en el P</w:t>
      </w:r>
      <w:r w:rsidR="0017059B">
        <w:rPr>
          <w:rFonts w:ascii="Calibri" w:hAnsi="Calibri" w:cs="Calibri"/>
          <w:lang w:val="es-GT"/>
        </w:rPr>
        <w:t>erfil Ambiental de Guatemala,</w:t>
      </w:r>
      <w:r w:rsidRPr="001A01AB">
        <w:rPr>
          <w:rFonts w:ascii="Calibri" w:hAnsi="Calibri" w:cs="Calibri"/>
          <w:lang w:val="es-GT"/>
        </w:rPr>
        <w:t xml:space="preserve"> se desarrollan las siguiente</w:t>
      </w:r>
      <w:r w:rsidR="00665CFE" w:rsidRPr="001A01AB">
        <w:rPr>
          <w:rFonts w:ascii="Calibri" w:hAnsi="Calibri" w:cs="Calibri"/>
          <w:lang w:val="es-GT"/>
        </w:rPr>
        <w:t>s</w:t>
      </w:r>
      <w:r w:rsidRPr="001A01AB">
        <w:rPr>
          <w:rFonts w:ascii="Calibri" w:hAnsi="Calibri" w:cs="Calibri"/>
          <w:lang w:val="es-GT"/>
        </w:rPr>
        <w:t xml:space="preserve"> conclusiones</w:t>
      </w:r>
      <w:r w:rsidR="003176F4" w:rsidRPr="001A01AB">
        <w:rPr>
          <w:rFonts w:ascii="Calibri" w:hAnsi="Calibri" w:cs="Calibri"/>
          <w:lang w:val="es-GT"/>
        </w:rPr>
        <w:t xml:space="preserve"> (IARNA-URL, 2012):</w:t>
      </w:r>
    </w:p>
    <w:p w:rsidR="003176F4" w:rsidRPr="001A01AB" w:rsidRDefault="0017059B" w:rsidP="00B9385E">
      <w:pPr>
        <w:numPr>
          <w:ilvl w:val="0"/>
          <w:numId w:val="14"/>
        </w:numPr>
        <w:spacing w:after="60"/>
        <w:ind w:left="720"/>
        <w:jc w:val="both"/>
        <w:rPr>
          <w:rFonts w:ascii="Calibri" w:hAnsi="Calibri" w:cs="Calibri"/>
          <w:lang w:val="es-GT"/>
        </w:rPr>
      </w:pPr>
      <w:r>
        <w:rPr>
          <w:rFonts w:ascii="Calibri" w:hAnsi="Calibri" w:cs="Calibri"/>
          <w:lang w:val="es-GT"/>
        </w:rPr>
        <w:t>E</w:t>
      </w:r>
      <w:r w:rsidR="004B76E5" w:rsidRPr="001A01AB">
        <w:rPr>
          <w:rFonts w:ascii="Calibri" w:hAnsi="Calibri" w:cs="Calibri"/>
          <w:lang w:val="es-GT"/>
        </w:rPr>
        <w:t>l ritmo de deforestación bruta ha aumentado, lo que evidencia un deterioro de las capacidades institucionales para administrar el recurso bosque a nivel nacional y local específicamente, y de las pocas posibilidades de consolidar un esquema de manejo sostenible en el corto plazo</w:t>
      </w:r>
      <w:r w:rsidR="00665CFE" w:rsidRPr="001A01AB">
        <w:rPr>
          <w:rFonts w:ascii="Calibri" w:hAnsi="Calibri" w:cs="Calibri"/>
          <w:lang w:val="es-GT"/>
        </w:rPr>
        <w:t>.</w:t>
      </w:r>
    </w:p>
    <w:p w:rsidR="003176F4" w:rsidRPr="001A01AB" w:rsidRDefault="0017059B" w:rsidP="00B9385E">
      <w:pPr>
        <w:numPr>
          <w:ilvl w:val="0"/>
          <w:numId w:val="14"/>
        </w:numPr>
        <w:spacing w:after="60"/>
        <w:ind w:left="720"/>
        <w:jc w:val="both"/>
        <w:rPr>
          <w:rFonts w:ascii="Calibri" w:hAnsi="Calibri" w:cs="Calibri"/>
          <w:lang w:val="es-GT"/>
        </w:rPr>
      </w:pPr>
      <w:r>
        <w:rPr>
          <w:rFonts w:ascii="Calibri" w:hAnsi="Calibri" w:cs="Calibri"/>
          <w:lang w:val="es-GT"/>
        </w:rPr>
        <w:t>L</w:t>
      </w:r>
      <w:r w:rsidR="004B76E5" w:rsidRPr="001A01AB">
        <w:rPr>
          <w:rFonts w:ascii="Calibri" w:hAnsi="Calibri" w:cs="Calibri"/>
          <w:lang w:val="es-GT"/>
        </w:rPr>
        <w:t>as actividades principales que generan d</w:t>
      </w:r>
      <w:r w:rsidR="003176F4" w:rsidRPr="001A01AB">
        <w:rPr>
          <w:rFonts w:ascii="Calibri" w:hAnsi="Calibri" w:cs="Calibri"/>
          <w:lang w:val="es-GT"/>
        </w:rPr>
        <w:t>eterioro forestal en los frentes de d</w:t>
      </w:r>
      <w:r w:rsidR="004B76E5" w:rsidRPr="001A01AB">
        <w:rPr>
          <w:rFonts w:ascii="Calibri" w:hAnsi="Calibri" w:cs="Calibri"/>
          <w:lang w:val="es-GT"/>
        </w:rPr>
        <w:t>eforestación (42% de toda la deforestación) se vinculan a la expansión de ganadería extensiva, expansión de monocultivos como la palma africana, asentamientos humanos, incendios forestales y narcoactividad</w:t>
      </w:r>
      <w:r w:rsidR="003176F4" w:rsidRPr="001A01AB">
        <w:rPr>
          <w:rFonts w:ascii="Calibri" w:hAnsi="Calibri" w:cs="Calibri"/>
          <w:lang w:val="es-GT"/>
        </w:rPr>
        <w:t>.</w:t>
      </w:r>
    </w:p>
    <w:p w:rsidR="004B76E5" w:rsidRPr="001A01AB" w:rsidRDefault="0017059B" w:rsidP="00E7258A">
      <w:pPr>
        <w:numPr>
          <w:ilvl w:val="0"/>
          <w:numId w:val="14"/>
        </w:numPr>
        <w:ind w:left="720"/>
        <w:jc w:val="both"/>
        <w:rPr>
          <w:rFonts w:ascii="Calibri" w:hAnsi="Calibri" w:cs="Calibri"/>
          <w:lang w:val="es-GT"/>
        </w:rPr>
      </w:pPr>
      <w:r>
        <w:rPr>
          <w:rFonts w:ascii="Calibri" w:hAnsi="Calibri" w:cs="Calibri"/>
          <w:lang w:val="es-GT"/>
        </w:rPr>
        <w:t>L</w:t>
      </w:r>
      <w:r w:rsidR="004B76E5" w:rsidRPr="001A01AB">
        <w:rPr>
          <w:rFonts w:ascii="Calibri" w:hAnsi="Calibri" w:cs="Calibri"/>
          <w:lang w:val="es-GT"/>
        </w:rPr>
        <w:t>os niveles de consumo de leña a nivel de comunidades requieren de atención inmediata a través de</w:t>
      </w:r>
      <w:r>
        <w:rPr>
          <w:rFonts w:ascii="Calibri" w:hAnsi="Calibri" w:cs="Calibri"/>
          <w:lang w:val="es-GT"/>
        </w:rPr>
        <w:t>l</w:t>
      </w:r>
      <w:r w:rsidR="004B76E5" w:rsidRPr="001A01AB">
        <w:rPr>
          <w:rFonts w:ascii="Calibri" w:hAnsi="Calibri" w:cs="Calibri"/>
          <w:lang w:val="es-GT"/>
        </w:rPr>
        <w:t xml:space="preserve"> establecimiento de bosques energéticos, estufas ahorradoras de leña y la efectiva operativización del </w:t>
      </w:r>
      <w:r w:rsidR="00B813FF" w:rsidRPr="00B813FF">
        <w:rPr>
          <w:rFonts w:ascii="Calibri" w:hAnsi="Calibri" w:cs="Calibri"/>
          <w:lang w:val="es-GT"/>
        </w:rPr>
        <w:t>Programa de Incentivos Forestales para Poseedores de Pequeñas Extensiones de Tierra de Vocación Forestal o Agroforestal</w:t>
      </w:r>
      <w:r w:rsidR="00B813FF" w:rsidRPr="001A01AB">
        <w:rPr>
          <w:rFonts w:ascii="Calibri" w:hAnsi="Calibri" w:cs="Calibri"/>
          <w:lang w:val="es-GT"/>
        </w:rPr>
        <w:t xml:space="preserve"> </w:t>
      </w:r>
      <w:r w:rsidR="00B813FF">
        <w:rPr>
          <w:rFonts w:ascii="Calibri" w:hAnsi="Calibri" w:cs="Calibri"/>
          <w:lang w:val="es-GT"/>
        </w:rPr>
        <w:t>(</w:t>
      </w:r>
      <w:r w:rsidR="004B76E5" w:rsidRPr="001A01AB">
        <w:rPr>
          <w:rFonts w:ascii="Calibri" w:hAnsi="Calibri" w:cs="Calibri"/>
          <w:lang w:val="es-GT"/>
        </w:rPr>
        <w:t>PINPEP</w:t>
      </w:r>
      <w:r w:rsidR="00B813FF">
        <w:rPr>
          <w:rFonts w:ascii="Calibri" w:hAnsi="Calibri" w:cs="Calibri"/>
          <w:lang w:val="es-GT"/>
        </w:rPr>
        <w:t>)</w:t>
      </w:r>
      <w:r w:rsidR="004B76E5" w:rsidRPr="001A01AB">
        <w:rPr>
          <w:rFonts w:ascii="Calibri" w:hAnsi="Calibri" w:cs="Calibri"/>
          <w:lang w:val="es-GT"/>
        </w:rPr>
        <w:t xml:space="preserve"> para los campesinos. </w:t>
      </w:r>
    </w:p>
    <w:p w:rsidR="004B76E5" w:rsidRPr="00B9385E" w:rsidRDefault="004B76E5" w:rsidP="00B9385E">
      <w:pPr>
        <w:ind w:left="360"/>
        <w:jc w:val="both"/>
        <w:rPr>
          <w:rFonts w:ascii="Calibri" w:hAnsi="Calibri" w:cs="Calibri"/>
          <w:lang w:val="es-GT"/>
        </w:rPr>
      </w:pPr>
    </w:p>
    <w:p w:rsidR="007450B6" w:rsidRPr="00B9385E" w:rsidRDefault="00B9385E" w:rsidP="00B9385E">
      <w:pPr>
        <w:ind w:left="360"/>
        <w:jc w:val="both"/>
        <w:rPr>
          <w:rFonts w:ascii="Calibri" w:hAnsi="Calibri" w:cs="Calibri"/>
          <w:lang w:val="es-GT"/>
        </w:rPr>
      </w:pPr>
      <w:r w:rsidRPr="00B9385E">
        <w:rPr>
          <w:rFonts w:ascii="Calibri" w:hAnsi="Calibri" w:cs="Calibri"/>
          <w:lang w:val="es-GT"/>
        </w:rPr>
        <w:t>P</w:t>
      </w:r>
      <w:r w:rsidR="00617B8A" w:rsidRPr="00B9385E">
        <w:rPr>
          <w:rFonts w:ascii="Calibri" w:hAnsi="Calibri" w:cs="Calibri"/>
          <w:lang w:val="es-GT"/>
        </w:rPr>
        <w:t>ara reducir la deforestación</w:t>
      </w:r>
      <w:r w:rsidR="00B813FF">
        <w:rPr>
          <w:rFonts w:ascii="Calibri" w:hAnsi="Calibri" w:cs="Calibri"/>
          <w:lang w:val="es-GT"/>
        </w:rPr>
        <w:t>,</w:t>
      </w:r>
      <w:r w:rsidR="00617B8A" w:rsidRPr="00B9385E">
        <w:rPr>
          <w:rFonts w:ascii="Calibri" w:hAnsi="Calibri" w:cs="Calibri"/>
          <w:lang w:val="es-GT"/>
        </w:rPr>
        <w:t xml:space="preserve"> tanto fuera como dentro de áreas protegidas</w:t>
      </w:r>
      <w:r w:rsidR="00B813FF">
        <w:rPr>
          <w:rFonts w:ascii="Calibri" w:hAnsi="Calibri" w:cs="Calibri"/>
          <w:lang w:val="es-GT"/>
        </w:rPr>
        <w:t>,</w:t>
      </w:r>
      <w:r w:rsidR="00617B8A" w:rsidRPr="00B9385E">
        <w:rPr>
          <w:rFonts w:ascii="Calibri" w:hAnsi="Calibri" w:cs="Calibri"/>
          <w:lang w:val="es-GT"/>
        </w:rPr>
        <w:t xml:space="preserve"> se necesita de: a) </w:t>
      </w:r>
      <w:r w:rsidRPr="00B9385E">
        <w:rPr>
          <w:rFonts w:ascii="Calibri" w:hAnsi="Calibri" w:cs="Calibri"/>
          <w:lang w:val="es-GT"/>
        </w:rPr>
        <w:t>c</w:t>
      </w:r>
      <w:r w:rsidR="00617B8A" w:rsidRPr="00B9385E">
        <w:rPr>
          <w:rFonts w:ascii="Calibri" w:hAnsi="Calibri" w:cs="Calibri"/>
          <w:lang w:val="es-GT"/>
        </w:rPr>
        <w:t xml:space="preserve">ontrol territorial a partir de un mayor despliegue de capacidades humanas, físicas y financieras; b) </w:t>
      </w:r>
      <w:r w:rsidRPr="00B9385E">
        <w:rPr>
          <w:rFonts w:ascii="Calibri" w:hAnsi="Calibri" w:cs="Calibri"/>
          <w:lang w:val="es-GT"/>
        </w:rPr>
        <w:t>d</w:t>
      </w:r>
      <w:r w:rsidR="00617B8A" w:rsidRPr="00B9385E">
        <w:rPr>
          <w:rFonts w:ascii="Calibri" w:hAnsi="Calibri" w:cs="Calibri"/>
          <w:lang w:val="es-GT"/>
        </w:rPr>
        <w:t xml:space="preserve">eprimir la demanda ilegal por medio de la fiscalización de la industria y la clausura de </w:t>
      </w:r>
      <w:r w:rsidRPr="00B9385E">
        <w:rPr>
          <w:rFonts w:ascii="Calibri" w:hAnsi="Calibri" w:cs="Calibri"/>
          <w:lang w:val="es-GT"/>
        </w:rPr>
        <w:t>las</w:t>
      </w:r>
      <w:r w:rsidR="00617B8A" w:rsidRPr="00B9385E">
        <w:rPr>
          <w:rFonts w:ascii="Calibri" w:hAnsi="Calibri" w:cs="Calibri"/>
          <w:lang w:val="es-GT"/>
        </w:rPr>
        <w:t xml:space="preserve"> ilegales; c) </w:t>
      </w:r>
      <w:r w:rsidRPr="00B9385E">
        <w:rPr>
          <w:rFonts w:ascii="Calibri" w:hAnsi="Calibri" w:cs="Calibri"/>
          <w:lang w:val="es-GT"/>
        </w:rPr>
        <w:t>r</w:t>
      </w:r>
      <w:r w:rsidR="00617B8A" w:rsidRPr="00B9385E">
        <w:rPr>
          <w:rFonts w:ascii="Calibri" w:hAnsi="Calibri" w:cs="Calibri"/>
          <w:lang w:val="es-GT"/>
        </w:rPr>
        <w:t xml:space="preserve">egular el transporte nocturno y modificar los criterios actuales de </w:t>
      </w:r>
      <w:r w:rsidR="00617B8A" w:rsidRPr="00B9385E">
        <w:rPr>
          <w:rFonts w:ascii="Calibri" w:hAnsi="Calibri" w:cs="Calibri"/>
          <w:lang w:val="es-GT"/>
        </w:rPr>
        <w:lastRenderedPageBreak/>
        <w:t xml:space="preserve">autorización del flujo de productos forestales (notas de envío); d) </w:t>
      </w:r>
      <w:r w:rsidRPr="00B9385E">
        <w:rPr>
          <w:rFonts w:ascii="Calibri" w:hAnsi="Calibri" w:cs="Calibri"/>
          <w:lang w:val="es-GT"/>
        </w:rPr>
        <w:t>p</w:t>
      </w:r>
      <w:r w:rsidR="00617B8A" w:rsidRPr="00B9385E">
        <w:rPr>
          <w:rFonts w:ascii="Calibri" w:hAnsi="Calibri" w:cs="Calibri"/>
          <w:lang w:val="es-GT"/>
        </w:rPr>
        <w:t>roveer alternativas de desarrollo rural para comunidades campesinas</w:t>
      </w:r>
      <w:r w:rsidR="00B813FF">
        <w:rPr>
          <w:rFonts w:ascii="Calibri" w:hAnsi="Calibri" w:cs="Calibri"/>
          <w:lang w:val="es-GT"/>
        </w:rPr>
        <w:t>,</w:t>
      </w:r>
      <w:r w:rsidR="00617B8A" w:rsidRPr="00B9385E">
        <w:rPr>
          <w:rFonts w:ascii="Calibri" w:hAnsi="Calibri" w:cs="Calibri"/>
          <w:lang w:val="es-GT"/>
        </w:rPr>
        <w:t xml:space="preserve"> incluyendo la opción de actividades turísticas;</w:t>
      </w:r>
      <w:r w:rsidR="00141A70" w:rsidRPr="00B9385E">
        <w:rPr>
          <w:rFonts w:ascii="Calibri" w:hAnsi="Calibri" w:cs="Calibri"/>
          <w:lang w:val="es-GT"/>
        </w:rPr>
        <w:t xml:space="preserve"> </w:t>
      </w:r>
      <w:r w:rsidR="00617B8A" w:rsidRPr="00B9385E">
        <w:rPr>
          <w:rFonts w:ascii="Calibri" w:hAnsi="Calibri" w:cs="Calibri"/>
          <w:lang w:val="es-GT"/>
        </w:rPr>
        <w:t xml:space="preserve">e) </w:t>
      </w:r>
      <w:r w:rsidRPr="00B9385E">
        <w:rPr>
          <w:rFonts w:ascii="Calibri" w:hAnsi="Calibri" w:cs="Calibri"/>
          <w:lang w:val="es-GT"/>
        </w:rPr>
        <w:t>e</w:t>
      </w:r>
      <w:r w:rsidR="00617B8A" w:rsidRPr="00B9385E">
        <w:rPr>
          <w:rFonts w:ascii="Calibri" w:hAnsi="Calibri" w:cs="Calibri"/>
          <w:lang w:val="es-GT"/>
        </w:rPr>
        <w:t>stímulo a</w:t>
      </w:r>
      <w:r w:rsidR="00B813FF">
        <w:rPr>
          <w:rFonts w:ascii="Calibri" w:hAnsi="Calibri" w:cs="Calibri"/>
          <w:lang w:val="es-GT"/>
        </w:rPr>
        <w:t>l</w:t>
      </w:r>
      <w:r w:rsidR="00617B8A" w:rsidRPr="00B9385E">
        <w:rPr>
          <w:rFonts w:ascii="Calibri" w:hAnsi="Calibri" w:cs="Calibri"/>
          <w:lang w:val="es-GT"/>
        </w:rPr>
        <w:t xml:space="preserve"> uso de estufas ahorradoras de leña; f) </w:t>
      </w:r>
      <w:r w:rsidRPr="00B9385E">
        <w:rPr>
          <w:rFonts w:ascii="Calibri" w:hAnsi="Calibri" w:cs="Calibri"/>
          <w:lang w:val="es-GT"/>
        </w:rPr>
        <w:t>e</w:t>
      </w:r>
      <w:r w:rsidR="00617B8A" w:rsidRPr="00B9385E">
        <w:rPr>
          <w:rFonts w:ascii="Calibri" w:hAnsi="Calibri" w:cs="Calibri"/>
          <w:lang w:val="es-GT"/>
        </w:rPr>
        <w:t xml:space="preserve">stímulo a plantaciones energéticas manejadas; y g) </w:t>
      </w:r>
      <w:r w:rsidRPr="00B9385E">
        <w:rPr>
          <w:rFonts w:ascii="Calibri" w:hAnsi="Calibri" w:cs="Calibri"/>
          <w:lang w:val="es-GT"/>
        </w:rPr>
        <w:t>i</w:t>
      </w:r>
      <w:r w:rsidR="00617B8A" w:rsidRPr="00B9385E">
        <w:rPr>
          <w:rFonts w:ascii="Calibri" w:hAnsi="Calibri" w:cs="Calibri"/>
          <w:lang w:val="es-GT"/>
        </w:rPr>
        <w:t xml:space="preserve">ncentivo a fuentes mixtas de combustibles (leña y gas). </w:t>
      </w:r>
    </w:p>
    <w:p w:rsidR="00B9385E" w:rsidRPr="00B9385E" w:rsidRDefault="00B9385E" w:rsidP="00B9385E">
      <w:pPr>
        <w:ind w:left="360"/>
        <w:jc w:val="both"/>
        <w:rPr>
          <w:rFonts w:ascii="Calibri" w:hAnsi="Calibri" w:cs="Calibri"/>
          <w:lang w:val="es-GT"/>
        </w:rPr>
      </w:pPr>
    </w:p>
    <w:p w:rsidR="00EC32D0" w:rsidRPr="00224B57" w:rsidRDefault="00EC32D0" w:rsidP="00EC32D0">
      <w:pPr>
        <w:spacing w:after="120"/>
        <w:jc w:val="center"/>
        <w:rPr>
          <w:rFonts w:ascii="Calibri" w:eastAsia="Calibri" w:hAnsi="Calibri" w:cs="Calibri"/>
          <w:b/>
          <w:color w:val="365F91"/>
          <w:sz w:val="22"/>
          <w:szCs w:val="22"/>
          <w:lang w:val="es-GT"/>
        </w:rPr>
      </w:pPr>
      <w:bookmarkStart w:id="57" w:name="_Toc347841230"/>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7</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Dinámica de la </w:t>
      </w:r>
      <w:r w:rsidR="002664F2" w:rsidRPr="00224B57">
        <w:rPr>
          <w:rFonts w:ascii="Calibri" w:eastAsia="Calibri" w:hAnsi="Calibri" w:cs="Calibri"/>
          <w:b/>
          <w:color w:val="365F91"/>
          <w:sz w:val="22"/>
          <w:szCs w:val="22"/>
          <w:lang w:val="es-GT"/>
        </w:rPr>
        <w:t xml:space="preserve">cobertura forestal </w:t>
      </w:r>
      <w:r w:rsidR="00B9385E" w:rsidRPr="00224B57">
        <w:rPr>
          <w:rFonts w:ascii="Calibri" w:eastAsia="Calibri" w:hAnsi="Calibri" w:cs="Calibri"/>
          <w:b/>
          <w:color w:val="365F91"/>
          <w:sz w:val="22"/>
          <w:szCs w:val="22"/>
          <w:lang w:val="es-GT"/>
        </w:rPr>
        <w:t>de</w:t>
      </w:r>
      <w:r w:rsidRPr="00224B57">
        <w:rPr>
          <w:rFonts w:ascii="Calibri" w:eastAsia="Calibri" w:hAnsi="Calibri" w:cs="Calibri"/>
          <w:b/>
          <w:color w:val="365F91"/>
          <w:sz w:val="22"/>
          <w:szCs w:val="22"/>
          <w:lang w:val="es-GT"/>
        </w:rPr>
        <w:t xml:space="preserve"> Guatemala, </w:t>
      </w:r>
      <w:r w:rsidR="002664F2" w:rsidRPr="00224B57">
        <w:rPr>
          <w:rFonts w:ascii="Calibri" w:eastAsia="Calibri" w:hAnsi="Calibri" w:cs="Calibri"/>
          <w:b/>
          <w:color w:val="365F91"/>
          <w:sz w:val="22"/>
          <w:szCs w:val="22"/>
          <w:lang w:val="es-GT"/>
        </w:rPr>
        <w:t xml:space="preserve">periodo </w:t>
      </w:r>
      <w:r w:rsidRPr="00224B57">
        <w:rPr>
          <w:rFonts w:ascii="Calibri" w:eastAsia="Calibri" w:hAnsi="Calibri" w:cs="Calibri"/>
          <w:b/>
          <w:color w:val="365F91"/>
          <w:sz w:val="22"/>
          <w:szCs w:val="22"/>
          <w:lang w:val="es-GT"/>
        </w:rPr>
        <w:t>2006-2010</w:t>
      </w:r>
      <w:bookmarkEnd w:id="57"/>
    </w:p>
    <w:p w:rsidR="007450B6" w:rsidRPr="007A58FC" w:rsidRDefault="00544A9F" w:rsidP="007450B6">
      <w:pPr>
        <w:ind w:left="360"/>
        <w:jc w:val="center"/>
        <w:rPr>
          <w:rFonts w:ascii="Calibri" w:hAnsi="Calibri" w:cs="Calibri"/>
          <w:color w:val="FF0000"/>
          <w:lang w:val="es-GT"/>
        </w:rPr>
      </w:pPr>
      <w:r>
        <w:rPr>
          <w:rFonts w:ascii="Calibri" w:hAnsi="Calibri" w:cs="Calibri"/>
          <w:noProof/>
          <w:color w:val="FF0000"/>
          <w:lang w:val="es-GT" w:eastAsia="es-GT"/>
        </w:rPr>
        <w:drawing>
          <wp:inline distT="0" distB="0" distL="0" distR="0" wp14:anchorId="0C741B8A" wp14:editId="5D512E2C">
            <wp:extent cx="5848350" cy="5334000"/>
            <wp:effectExtent l="0" t="0" r="0" b="0"/>
            <wp:docPr id="12" name="Imagen 12" descr="Poster_dinamica 2006-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oster_dinamica 2006-20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8350" cy="5334000"/>
                    </a:xfrm>
                    <a:prstGeom prst="rect">
                      <a:avLst/>
                    </a:prstGeom>
                    <a:noFill/>
                    <a:ln>
                      <a:noFill/>
                    </a:ln>
                  </pic:spPr>
                </pic:pic>
              </a:graphicData>
            </a:graphic>
          </wp:inline>
        </w:drawing>
      </w:r>
    </w:p>
    <w:p w:rsidR="007450B6" w:rsidRPr="00351A80" w:rsidRDefault="00B9385E" w:rsidP="00B9385E">
      <w:pPr>
        <w:ind w:left="990" w:right="108"/>
        <w:jc w:val="right"/>
        <w:rPr>
          <w:rFonts w:ascii="Calibri" w:hAnsi="Calibri" w:cs="Calibri"/>
          <w:sz w:val="20"/>
          <w:szCs w:val="20"/>
          <w:lang w:val="es-GT"/>
        </w:rPr>
      </w:pPr>
      <w:r w:rsidRPr="00351A80">
        <w:rPr>
          <w:rFonts w:ascii="Calibri" w:hAnsi="Calibri" w:cs="Calibri"/>
          <w:sz w:val="20"/>
          <w:szCs w:val="20"/>
          <w:lang w:val="es-GT"/>
        </w:rPr>
        <w:t xml:space="preserve">Fuente: </w:t>
      </w:r>
      <w:r w:rsidR="00B813FF">
        <w:rPr>
          <w:rFonts w:ascii="Calibri" w:hAnsi="Calibri" w:cs="Calibri"/>
          <w:sz w:val="20"/>
          <w:szCs w:val="20"/>
          <w:lang w:val="es-GT"/>
        </w:rPr>
        <w:t>INAB, CONAP, UVG y IARNA-</w:t>
      </w:r>
      <w:r w:rsidRPr="00351A80">
        <w:rPr>
          <w:rFonts w:ascii="Calibri" w:hAnsi="Calibri" w:cs="Calibri"/>
          <w:sz w:val="20"/>
          <w:szCs w:val="20"/>
          <w:lang w:val="es-GT"/>
        </w:rPr>
        <w:t>URL</w:t>
      </w:r>
      <w:r w:rsidR="00B813FF">
        <w:rPr>
          <w:rFonts w:ascii="Calibri" w:hAnsi="Calibri" w:cs="Calibri"/>
          <w:sz w:val="20"/>
          <w:szCs w:val="20"/>
          <w:lang w:val="es-GT"/>
        </w:rPr>
        <w:t xml:space="preserve"> (2012).</w:t>
      </w:r>
    </w:p>
    <w:p w:rsidR="00B9385E" w:rsidRPr="007A58FC" w:rsidRDefault="00B9385E" w:rsidP="007C3C28">
      <w:pPr>
        <w:ind w:left="360"/>
        <w:jc w:val="both"/>
        <w:rPr>
          <w:rFonts w:ascii="Calibri" w:hAnsi="Calibri" w:cs="Calibri"/>
          <w:color w:val="FF0000"/>
          <w:lang w:val="es-GT"/>
        </w:rPr>
      </w:pPr>
    </w:p>
    <w:p w:rsidR="004B76E5" w:rsidRPr="00B9385E" w:rsidRDefault="00617B8A" w:rsidP="007C3C28">
      <w:pPr>
        <w:ind w:left="360"/>
        <w:jc w:val="both"/>
        <w:rPr>
          <w:rFonts w:ascii="Calibri" w:hAnsi="Calibri" w:cs="Calibri"/>
          <w:lang w:val="es-GT"/>
        </w:rPr>
      </w:pPr>
      <w:r w:rsidRPr="00B9385E">
        <w:rPr>
          <w:rFonts w:ascii="Calibri" w:hAnsi="Calibri" w:cs="Calibri"/>
          <w:lang w:val="es-GT"/>
        </w:rPr>
        <w:t>Las plantaciones forestales con fines madereros se deben estimular principalmente en territorios cercanos a la industria forestal donde empiezan a configurarse polos foresto-industriales y que se encuentran bajo esquemas que superen las carencias actuales del Programa de Incentivos Forestales (PINFOR). Las plantaciones forestales con fines energéticos son deseables en la medida que se garantiza la provisión de biomasa de fuentes manejadas y se reduce la presión sobre bosques</w:t>
      </w:r>
      <w:r w:rsidR="00351A80">
        <w:rPr>
          <w:rFonts w:ascii="Calibri" w:hAnsi="Calibri" w:cs="Calibri"/>
          <w:lang w:val="es-GT"/>
        </w:rPr>
        <w:t xml:space="preserve"> naturales de creciente escasez</w:t>
      </w:r>
      <w:r w:rsidR="004B76E5" w:rsidRPr="00B9385E">
        <w:rPr>
          <w:rFonts w:ascii="Calibri" w:hAnsi="Calibri" w:cs="Calibri"/>
          <w:lang w:val="es-GT"/>
        </w:rPr>
        <w:t xml:space="preserve"> (IARNA-URL, 2012).</w:t>
      </w:r>
    </w:p>
    <w:p w:rsidR="004B76E5" w:rsidRDefault="004B76E5" w:rsidP="007C3C28">
      <w:pPr>
        <w:ind w:left="360"/>
        <w:jc w:val="both"/>
        <w:rPr>
          <w:rFonts w:ascii="Calibri" w:hAnsi="Calibri" w:cs="Calibri"/>
          <w:lang w:val="es-GT"/>
        </w:rPr>
      </w:pPr>
    </w:p>
    <w:p w:rsidR="004B76E5" w:rsidRPr="001A01AB" w:rsidRDefault="00523BC1" w:rsidP="006B0A31">
      <w:pPr>
        <w:pStyle w:val="Prrafodelista"/>
        <w:numPr>
          <w:ilvl w:val="3"/>
          <w:numId w:val="51"/>
        </w:numPr>
        <w:jc w:val="both"/>
        <w:rPr>
          <w:rFonts w:cs="Calibri"/>
          <w:b/>
          <w:color w:val="365F91"/>
        </w:rPr>
      </w:pPr>
      <w:r>
        <w:rPr>
          <w:rFonts w:cs="Calibri"/>
          <w:b/>
          <w:color w:val="365F91"/>
        </w:rPr>
        <w:lastRenderedPageBreak/>
        <w:t xml:space="preserve"> </w:t>
      </w:r>
      <w:r w:rsidR="00DE578B" w:rsidRPr="001A01AB">
        <w:rPr>
          <w:rFonts w:cs="Calibri"/>
          <w:b/>
          <w:color w:val="365F91"/>
        </w:rPr>
        <w:t>Componente</w:t>
      </w:r>
      <w:r w:rsidR="004B76E5" w:rsidRPr="001A01AB">
        <w:rPr>
          <w:rFonts w:cs="Calibri"/>
          <w:b/>
          <w:color w:val="365F91"/>
        </w:rPr>
        <w:t xml:space="preserve"> </w:t>
      </w:r>
      <w:r w:rsidR="00DE578B" w:rsidRPr="001A01AB">
        <w:rPr>
          <w:rFonts w:cs="Calibri"/>
          <w:b/>
          <w:color w:val="365F91"/>
        </w:rPr>
        <w:t>“</w:t>
      </w:r>
      <w:r w:rsidR="00B813FF">
        <w:rPr>
          <w:rFonts w:cs="Calibri"/>
          <w:b/>
          <w:color w:val="365F91"/>
        </w:rPr>
        <w:t>Diversidad b</w:t>
      </w:r>
      <w:r w:rsidR="004B76E5" w:rsidRPr="001A01AB">
        <w:rPr>
          <w:rFonts w:cs="Calibri"/>
          <w:b/>
          <w:color w:val="365F91"/>
        </w:rPr>
        <w:t>iológica</w:t>
      </w:r>
      <w:r w:rsidR="00DE578B" w:rsidRPr="001A01AB">
        <w:rPr>
          <w:rFonts w:cs="Calibri"/>
          <w:b/>
          <w:color w:val="365F91"/>
        </w:rPr>
        <w:t>”</w:t>
      </w:r>
    </w:p>
    <w:p w:rsidR="004B76E5" w:rsidRPr="001A01AB" w:rsidRDefault="00787363" w:rsidP="007C3C28">
      <w:pPr>
        <w:ind w:left="360"/>
        <w:jc w:val="both"/>
        <w:rPr>
          <w:rFonts w:ascii="Calibri" w:hAnsi="Calibri" w:cs="Calibri"/>
          <w:lang w:val="es-GT"/>
        </w:rPr>
      </w:pPr>
      <w:r>
        <w:rPr>
          <w:rFonts w:ascii="Calibri" w:hAnsi="Calibri" w:cs="Calibri"/>
          <w:lang w:val="es-GT"/>
        </w:rPr>
        <w:t xml:space="preserve">Al analizar la integridad de los ecosistemas del país a partir del enfoque de las ecorregiones, se puede concluir que </w:t>
      </w:r>
      <w:r w:rsidR="004B76E5" w:rsidRPr="001A01AB">
        <w:rPr>
          <w:rFonts w:ascii="Calibri" w:hAnsi="Calibri" w:cs="Calibri"/>
          <w:lang w:val="es-GT"/>
        </w:rPr>
        <w:t>10 de las 14 ecorregiones terrestres</w:t>
      </w:r>
      <w:r>
        <w:rPr>
          <w:rFonts w:ascii="Calibri" w:hAnsi="Calibri" w:cs="Calibri"/>
          <w:lang w:val="es-GT"/>
        </w:rPr>
        <w:t xml:space="preserve"> </w:t>
      </w:r>
      <w:r w:rsidR="004B76E5" w:rsidRPr="001A01AB">
        <w:rPr>
          <w:rFonts w:ascii="Calibri" w:hAnsi="Calibri" w:cs="Calibri"/>
          <w:lang w:val="es-GT"/>
        </w:rPr>
        <w:t>tienen aún más de la mitad de su extensión con cobertura natural</w:t>
      </w:r>
      <w:r w:rsidR="00545EB4">
        <w:rPr>
          <w:rFonts w:ascii="Calibri" w:hAnsi="Calibri" w:cs="Calibri"/>
          <w:lang w:val="es-GT"/>
        </w:rPr>
        <w:t xml:space="preserve">. Sobresalen en este sentido, </w:t>
      </w:r>
      <w:r w:rsidR="004B76E5" w:rsidRPr="001A01AB">
        <w:rPr>
          <w:rFonts w:ascii="Calibri" w:hAnsi="Calibri" w:cs="Calibri"/>
          <w:lang w:val="es-GT"/>
        </w:rPr>
        <w:t>el bosque montano de Chiapas, el manglar de la costa de Belice, el bosque húmedo de Yucatán y el bosque húmedo de Petén-Veracruz, con más del 80% con cobertura natural (cubre el 44% del país). Las ecorregiones en estado más crítico son las de bosque seco de Centroamérica, el bosque húmedo de la sierra Madre de Chiapas y el mangle seco de la costa del Pacífico norte</w:t>
      </w:r>
      <w:r w:rsidR="004B5A57">
        <w:rPr>
          <w:rFonts w:ascii="Calibri" w:hAnsi="Calibri" w:cs="Calibri"/>
          <w:lang w:val="es-GT"/>
        </w:rPr>
        <w:t>,</w:t>
      </w:r>
      <w:r w:rsidR="004B76E5" w:rsidRPr="001A01AB">
        <w:rPr>
          <w:rFonts w:ascii="Calibri" w:hAnsi="Calibri" w:cs="Calibri"/>
          <w:lang w:val="es-GT"/>
        </w:rPr>
        <w:t xml:space="preserve"> con menos del 30% de cobertura natural remanente.</w:t>
      </w:r>
    </w:p>
    <w:p w:rsidR="004B76E5" w:rsidRPr="001A01AB" w:rsidRDefault="004B76E5" w:rsidP="007C3C28">
      <w:pPr>
        <w:ind w:left="360"/>
        <w:jc w:val="both"/>
        <w:rPr>
          <w:rFonts w:ascii="Calibri" w:hAnsi="Calibri" w:cs="Calibri"/>
          <w:lang w:val="es-GT"/>
        </w:rPr>
      </w:pPr>
    </w:p>
    <w:p w:rsidR="004B76E5" w:rsidRPr="001A01AB" w:rsidRDefault="004B76E5" w:rsidP="007C3C28">
      <w:pPr>
        <w:ind w:left="360"/>
        <w:jc w:val="both"/>
        <w:rPr>
          <w:rFonts w:ascii="Calibri" w:hAnsi="Calibri" w:cs="Calibri"/>
          <w:lang w:val="es-GT"/>
        </w:rPr>
      </w:pPr>
      <w:r w:rsidRPr="001A01AB">
        <w:rPr>
          <w:rFonts w:ascii="Calibri" w:hAnsi="Calibri" w:cs="Calibri"/>
          <w:lang w:val="es-GT"/>
        </w:rPr>
        <w:t>La estimación de la integridad ecológica de los recursos acuáticos a través de los elementos principales que la afectan establece que el 64% de los sistemas fluviales tiene una integridad buena o muy buena; sólo 0.5% tiene una integridad pobre y 35% tiene una regular. Por otro lado, el 68% de los sistemas lacustres tiene u</w:t>
      </w:r>
      <w:r w:rsidR="004B5A57">
        <w:rPr>
          <w:rFonts w:ascii="Calibri" w:hAnsi="Calibri" w:cs="Calibri"/>
          <w:lang w:val="es-GT"/>
        </w:rPr>
        <w:t>na integridad buena o muy buena,</w:t>
      </w:r>
      <w:r w:rsidRPr="001A01AB">
        <w:rPr>
          <w:rFonts w:ascii="Calibri" w:hAnsi="Calibri" w:cs="Calibri"/>
          <w:lang w:val="es-GT"/>
        </w:rPr>
        <w:t xml:space="preserve"> 20% u</w:t>
      </w:r>
      <w:r w:rsidR="004B5A57">
        <w:rPr>
          <w:rFonts w:ascii="Calibri" w:hAnsi="Calibri" w:cs="Calibri"/>
          <w:lang w:val="es-GT"/>
        </w:rPr>
        <w:t>na regular y 12% una pobre (</w:t>
      </w:r>
      <w:r w:rsidRPr="001A01AB">
        <w:rPr>
          <w:rFonts w:ascii="Calibri" w:hAnsi="Calibri" w:cs="Calibri"/>
          <w:lang w:val="es-GT"/>
        </w:rPr>
        <w:t>IARNA-</w:t>
      </w:r>
      <w:r w:rsidR="004B5A57">
        <w:rPr>
          <w:rFonts w:ascii="Calibri" w:hAnsi="Calibri" w:cs="Calibri"/>
          <w:lang w:val="es-GT"/>
        </w:rPr>
        <w:t xml:space="preserve">URL y </w:t>
      </w:r>
      <w:r w:rsidRPr="001A01AB">
        <w:rPr>
          <w:rFonts w:ascii="Calibri" w:hAnsi="Calibri" w:cs="Calibri"/>
          <w:lang w:val="es-GT"/>
        </w:rPr>
        <w:t>SEGEPLAN, 2009).</w:t>
      </w:r>
    </w:p>
    <w:p w:rsidR="004B76E5" w:rsidRPr="001A01AB" w:rsidRDefault="004B76E5" w:rsidP="007C3C28">
      <w:pPr>
        <w:ind w:left="360"/>
        <w:jc w:val="both"/>
        <w:rPr>
          <w:rFonts w:ascii="Calibri" w:hAnsi="Calibri" w:cs="Calibri"/>
          <w:lang w:val="es-GT"/>
        </w:rPr>
      </w:pPr>
    </w:p>
    <w:p w:rsidR="004B76E5" w:rsidRPr="001A01AB" w:rsidRDefault="004B76E5" w:rsidP="007C3C28">
      <w:pPr>
        <w:ind w:left="360"/>
        <w:jc w:val="both"/>
        <w:rPr>
          <w:rFonts w:ascii="Calibri" w:hAnsi="Calibri" w:cs="Calibri"/>
          <w:lang w:val="es-GT"/>
        </w:rPr>
      </w:pPr>
      <w:r w:rsidRPr="001A01AB">
        <w:rPr>
          <w:rFonts w:ascii="Calibri" w:hAnsi="Calibri" w:cs="Calibri"/>
          <w:lang w:val="es-GT"/>
        </w:rPr>
        <w:t xml:space="preserve">En el caso de </w:t>
      </w:r>
      <w:r w:rsidR="004B5A57">
        <w:rPr>
          <w:rFonts w:ascii="Calibri" w:hAnsi="Calibri" w:cs="Calibri"/>
          <w:lang w:val="es-GT"/>
        </w:rPr>
        <w:t>las presiones hacia</w:t>
      </w:r>
      <w:r w:rsidR="00545EB4">
        <w:rPr>
          <w:rFonts w:ascii="Calibri" w:hAnsi="Calibri" w:cs="Calibri"/>
          <w:lang w:val="es-GT"/>
        </w:rPr>
        <w:t xml:space="preserve"> los</w:t>
      </w:r>
      <w:r w:rsidRPr="001A01AB">
        <w:rPr>
          <w:rFonts w:ascii="Calibri" w:hAnsi="Calibri" w:cs="Calibri"/>
          <w:lang w:val="es-GT"/>
        </w:rPr>
        <w:t xml:space="preserve"> ecosistemas marinos, el 78% de la producción pesquera y acuícola del país es de carácter extractivo. Anualmente se extraen de las aguas continentales cerca de 7,300 tonelad</w:t>
      </w:r>
      <w:r w:rsidR="004B5A57">
        <w:rPr>
          <w:rFonts w:ascii="Calibri" w:hAnsi="Calibri" w:cs="Calibri"/>
          <w:lang w:val="es-GT"/>
        </w:rPr>
        <w:t xml:space="preserve">as de producto pesquero. Aproximadamente </w:t>
      </w:r>
      <w:r w:rsidRPr="001A01AB">
        <w:rPr>
          <w:rFonts w:ascii="Calibri" w:hAnsi="Calibri" w:cs="Calibri"/>
          <w:lang w:val="es-GT"/>
        </w:rPr>
        <w:t xml:space="preserve">el 61% de la extracción es marina, </w:t>
      </w:r>
      <w:r w:rsidR="004B5A57">
        <w:rPr>
          <w:rFonts w:ascii="Calibri" w:hAnsi="Calibri" w:cs="Calibri"/>
          <w:lang w:val="es-GT"/>
        </w:rPr>
        <w:t xml:space="preserve">y </w:t>
      </w:r>
      <w:r w:rsidRPr="001A01AB">
        <w:rPr>
          <w:rFonts w:ascii="Calibri" w:hAnsi="Calibri" w:cs="Calibri"/>
          <w:lang w:val="es-GT"/>
        </w:rPr>
        <w:t>casi en su totalidad (99%) proviene del litoral Pacífico.</w:t>
      </w:r>
    </w:p>
    <w:p w:rsidR="004B76E5" w:rsidRPr="001A01AB" w:rsidRDefault="004B76E5" w:rsidP="007C3C28">
      <w:pPr>
        <w:ind w:left="360"/>
        <w:jc w:val="both"/>
        <w:rPr>
          <w:rFonts w:ascii="Calibri" w:hAnsi="Calibri" w:cs="Calibri"/>
          <w:lang w:val="es-GT"/>
        </w:rPr>
      </w:pPr>
    </w:p>
    <w:p w:rsidR="004B76E5" w:rsidRPr="001A01AB" w:rsidRDefault="004B76E5" w:rsidP="007C3C28">
      <w:pPr>
        <w:ind w:left="360"/>
        <w:jc w:val="both"/>
        <w:rPr>
          <w:rFonts w:ascii="Calibri" w:hAnsi="Calibri" w:cs="Calibri"/>
          <w:lang w:val="es-GT"/>
        </w:rPr>
      </w:pPr>
      <w:r w:rsidRPr="001A01AB">
        <w:rPr>
          <w:rFonts w:ascii="Calibri" w:hAnsi="Calibri" w:cs="Calibri"/>
          <w:lang w:val="es-GT"/>
        </w:rPr>
        <w:t>Para el caso de la flora</w:t>
      </w:r>
      <w:r w:rsidR="00545EB4">
        <w:rPr>
          <w:rFonts w:ascii="Calibri" w:hAnsi="Calibri" w:cs="Calibri"/>
          <w:lang w:val="es-GT"/>
        </w:rPr>
        <w:t xml:space="preserve"> nacional</w:t>
      </w:r>
      <w:r w:rsidRPr="001A01AB">
        <w:rPr>
          <w:rFonts w:ascii="Calibri" w:hAnsi="Calibri" w:cs="Calibri"/>
          <w:lang w:val="es-GT"/>
        </w:rPr>
        <w:t>, la Lista de Especies Amenazadas –LEA 2006- reporta 1,106 especies, de las cuales 252 son maderables y 854 son de flora no maderable. Hay un incremento de 101 especies, lo cual implica que del total de especies reportadas para el país, cerca del 14.3% se encuentra</w:t>
      </w:r>
      <w:r w:rsidR="00A04815" w:rsidRPr="001A01AB">
        <w:rPr>
          <w:rFonts w:ascii="Calibri" w:hAnsi="Calibri" w:cs="Calibri"/>
          <w:lang w:val="es-GT"/>
        </w:rPr>
        <w:t xml:space="preserve"> amenazada. Según el CONAP</w:t>
      </w:r>
      <w:r w:rsidRPr="001A01AB">
        <w:rPr>
          <w:rFonts w:ascii="Calibri" w:hAnsi="Calibri" w:cs="Calibri"/>
          <w:lang w:val="es-GT"/>
        </w:rPr>
        <w:t>, la mayoría de especies amenazadas (608) se consideran de distribución restringida, 74 en peligro de extinción y el resto (416) como potencialmente amenaza</w:t>
      </w:r>
      <w:r w:rsidR="004B5A57">
        <w:rPr>
          <w:rFonts w:ascii="Calibri" w:hAnsi="Calibri" w:cs="Calibri"/>
          <w:lang w:val="es-GT"/>
        </w:rPr>
        <w:t>das si no se regula su uso (</w:t>
      </w:r>
      <w:r w:rsidRPr="001A01AB">
        <w:rPr>
          <w:rFonts w:ascii="Calibri" w:hAnsi="Calibri" w:cs="Calibri"/>
          <w:lang w:val="es-GT"/>
        </w:rPr>
        <w:t>IARNA</w:t>
      </w:r>
      <w:r w:rsidR="004B5A57">
        <w:rPr>
          <w:rFonts w:ascii="Calibri" w:hAnsi="Calibri" w:cs="Calibri"/>
          <w:lang w:val="es-GT"/>
        </w:rPr>
        <w:t xml:space="preserve">-URL y </w:t>
      </w:r>
      <w:r w:rsidRPr="001A01AB">
        <w:rPr>
          <w:rFonts w:ascii="Calibri" w:hAnsi="Calibri" w:cs="Calibri"/>
          <w:lang w:val="es-GT"/>
        </w:rPr>
        <w:t>SEGEPLAN, 2009).</w:t>
      </w:r>
    </w:p>
    <w:p w:rsidR="004B76E5" w:rsidRPr="001A01AB" w:rsidRDefault="004B76E5" w:rsidP="007C3C28">
      <w:pPr>
        <w:ind w:left="360"/>
        <w:jc w:val="both"/>
        <w:rPr>
          <w:rFonts w:ascii="Calibri" w:hAnsi="Calibri" w:cs="Calibri"/>
          <w:lang w:val="es-GT"/>
        </w:rPr>
      </w:pPr>
    </w:p>
    <w:p w:rsidR="004B76E5" w:rsidRPr="001A01AB" w:rsidRDefault="004B5A57" w:rsidP="007C3C28">
      <w:pPr>
        <w:ind w:left="360"/>
        <w:jc w:val="both"/>
        <w:rPr>
          <w:rFonts w:ascii="Calibri" w:hAnsi="Calibri" w:cs="Calibri"/>
          <w:lang w:val="es-GT"/>
        </w:rPr>
      </w:pPr>
      <w:r>
        <w:rPr>
          <w:rFonts w:ascii="Calibri" w:hAnsi="Calibri" w:cs="Calibri"/>
          <w:lang w:val="es-GT"/>
        </w:rPr>
        <w:t>Respecto a la</w:t>
      </w:r>
      <w:r w:rsidR="004B76E5" w:rsidRPr="001A01AB">
        <w:rPr>
          <w:rFonts w:ascii="Calibri" w:hAnsi="Calibri" w:cs="Calibri"/>
          <w:lang w:val="es-GT"/>
        </w:rPr>
        <w:t xml:space="preserve"> fauna</w:t>
      </w:r>
      <w:r w:rsidR="00545EB4">
        <w:rPr>
          <w:rFonts w:ascii="Calibri" w:hAnsi="Calibri" w:cs="Calibri"/>
          <w:lang w:val="es-GT"/>
        </w:rPr>
        <w:t xml:space="preserve"> nacional,</w:t>
      </w:r>
      <w:r w:rsidR="004B76E5" w:rsidRPr="001A01AB">
        <w:rPr>
          <w:rFonts w:ascii="Calibri" w:hAnsi="Calibri" w:cs="Calibri"/>
          <w:lang w:val="es-GT"/>
        </w:rPr>
        <w:t xml:space="preserve"> se reportan 687 especies de fauna amenazadas de acuerdo con los ín</w:t>
      </w:r>
      <w:r w:rsidR="009757CA" w:rsidRPr="001A01AB">
        <w:rPr>
          <w:rFonts w:ascii="Calibri" w:hAnsi="Calibri" w:cs="Calibri"/>
          <w:lang w:val="es-GT"/>
        </w:rPr>
        <w:t>dices del CONAP en la LEA 2006</w:t>
      </w:r>
      <w:r>
        <w:rPr>
          <w:rFonts w:ascii="Calibri" w:hAnsi="Calibri" w:cs="Calibri"/>
          <w:lang w:val="es-GT"/>
        </w:rPr>
        <w:t>.</w:t>
      </w:r>
      <w:r w:rsidR="00545EB4">
        <w:rPr>
          <w:rFonts w:ascii="Calibri" w:hAnsi="Calibri" w:cs="Calibri"/>
          <w:lang w:val="es-GT"/>
        </w:rPr>
        <w:t xml:space="preserve"> </w:t>
      </w:r>
      <w:r>
        <w:rPr>
          <w:rFonts w:ascii="Calibri" w:hAnsi="Calibri" w:cs="Calibri"/>
          <w:lang w:val="es-GT"/>
        </w:rPr>
        <w:t>L</w:t>
      </w:r>
      <w:r w:rsidR="004B76E5" w:rsidRPr="001A01AB">
        <w:rPr>
          <w:rFonts w:ascii="Calibri" w:hAnsi="Calibri" w:cs="Calibri"/>
          <w:lang w:val="es-GT"/>
        </w:rPr>
        <w:t xml:space="preserve">as aves, los reptiles, las mariposas, los mamíferos y los anfibios </w:t>
      </w:r>
      <w:r>
        <w:rPr>
          <w:rFonts w:ascii="Calibri" w:hAnsi="Calibri" w:cs="Calibri"/>
          <w:lang w:val="es-GT"/>
        </w:rPr>
        <w:t xml:space="preserve">son </w:t>
      </w:r>
      <w:r w:rsidR="004B76E5" w:rsidRPr="001A01AB">
        <w:rPr>
          <w:rFonts w:ascii="Calibri" w:hAnsi="Calibri" w:cs="Calibri"/>
          <w:lang w:val="es-GT"/>
        </w:rPr>
        <w:t>los grupos más amenazados.</w:t>
      </w:r>
      <w:r w:rsidR="003F295A" w:rsidRPr="001A01AB">
        <w:rPr>
          <w:rFonts w:ascii="Calibri" w:hAnsi="Calibri" w:cs="Calibri"/>
          <w:lang w:val="es-GT"/>
        </w:rPr>
        <w:t xml:space="preserve"> </w:t>
      </w:r>
      <w:r w:rsidR="004B76E5" w:rsidRPr="001A01AB">
        <w:rPr>
          <w:rFonts w:ascii="Calibri" w:hAnsi="Calibri" w:cs="Calibri"/>
          <w:lang w:val="es-GT"/>
        </w:rPr>
        <w:t>La lista incluye 29 especies de mamíferos marinos (17 menos que la lista de 1999), corrigiendo en parte la sobreestimación de la lista anterior.</w:t>
      </w:r>
      <w:r w:rsidR="003F295A" w:rsidRPr="001A01AB">
        <w:rPr>
          <w:rFonts w:ascii="Calibri" w:hAnsi="Calibri" w:cs="Calibri"/>
          <w:lang w:val="es-GT"/>
        </w:rPr>
        <w:t xml:space="preserve"> </w:t>
      </w:r>
      <w:r w:rsidR="004B76E5" w:rsidRPr="001A01AB">
        <w:rPr>
          <w:rFonts w:ascii="Calibri" w:hAnsi="Calibri" w:cs="Calibri"/>
          <w:lang w:val="es-GT"/>
        </w:rPr>
        <w:t xml:space="preserve">Se consideran extintas 32 especies de fauna silvestre, 280 en grave peligro, 312 que deben tener un manejo especial o controlado y cerca de 22 no se encuentran categorizadas </w:t>
      </w:r>
      <w:r>
        <w:rPr>
          <w:rFonts w:ascii="Calibri" w:hAnsi="Calibri" w:cs="Calibri"/>
          <w:lang w:val="es-GT"/>
        </w:rPr>
        <w:t>(</w:t>
      </w:r>
      <w:r w:rsidR="004B76E5" w:rsidRPr="008B4EC2">
        <w:rPr>
          <w:rFonts w:ascii="Calibri" w:hAnsi="Calibri" w:cs="Calibri"/>
          <w:lang w:val="es-GT"/>
        </w:rPr>
        <w:t>IARNA-</w:t>
      </w:r>
      <w:r>
        <w:rPr>
          <w:rFonts w:ascii="Calibri" w:hAnsi="Calibri" w:cs="Calibri"/>
          <w:lang w:val="es-GT"/>
        </w:rPr>
        <w:t xml:space="preserve">URL y </w:t>
      </w:r>
      <w:r w:rsidR="004B76E5" w:rsidRPr="008B4EC2">
        <w:rPr>
          <w:rFonts w:ascii="Calibri" w:hAnsi="Calibri" w:cs="Calibri"/>
          <w:lang w:val="es-GT"/>
        </w:rPr>
        <w:t>SEGEPLAN, 2009).</w:t>
      </w:r>
    </w:p>
    <w:p w:rsidR="004B76E5" w:rsidRPr="001A01AB" w:rsidRDefault="004B76E5" w:rsidP="007C3C28">
      <w:pPr>
        <w:ind w:left="360"/>
        <w:jc w:val="both"/>
        <w:rPr>
          <w:rFonts w:ascii="Calibri" w:hAnsi="Calibri" w:cs="Calibri"/>
          <w:lang w:val="es-GT"/>
        </w:rPr>
      </w:pPr>
    </w:p>
    <w:p w:rsidR="004B76E5" w:rsidRPr="001A01AB" w:rsidRDefault="004B76E5" w:rsidP="005F608A">
      <w:pPr>
        <w:spacing w:after="120"/>
        <w:ind w:left="360"/>
        <w:jc w:val="both"/>
        <w:rPr>
          <w:rFonts w:ascii="Calibri" w:hAnsi="Calibri" w:cs="Calibri"/>
          <w:lang w:val="es-GT"/>
        </w:rPr>
      </w:pPr>
      <w:r w:rsidRPr="001A01AB">
        <w:rPr>
          <w:rFonts w:ascii="Calibri" w:hAnsi="Calibri" w:cs="Calibri"/>
          <w:lang w:val="es-GT"/>
        </w:rPr>
        <w:t xml:space="preserve">Desde la perspectiva </w:t>
      </w:r>
      <w:r w:rsidR="006F082A">
        <w:rPr>
          <w:rFonts w:ascii="Calibri" w:hAnsi="Calibri" w:cs="Calibri"/>
          <w:lang w:val="es-GT"/>
        </w:rPr>
        <w:t>sistémica</w:t>
      </w:r>
      <w:r w:rsidRPr="001A01AB">
        <w:rPr>
          <w:rFonts w:ascii="Calibri" w:hAnsi="Calibri" w:cs="Calibri"/>
          <w:lang w:val="es-GT"/>
        </w:rPr>
        <w:t xml:space="preserve">, </w:t>
      </w:r>
      <w:r w:rsidR="006F082A">
        <w:rPr>
          <w:rFonts w:ascii="Calibri" w:hAnsi="Calibri" w:cs="Calibri"/>
          <w:lang w:val="es-GT"/>
        </w:rPr>
        <w:t xml:space="preserve">algunos </w:t>
      </w:r>
      <w:r w:rsidRPr="001A01AB">
        <w:rPr>
          <w:rFonts w:ascii="Calibri" w:hAnsi="Calibri" w:cs="Calibri"/>
          <w:lang w:val="es-GT"/>
        </w:rPr>
        <w:t xml:space="preserve">indicadores-señal </w:t>
      </w:r>
      <w:r w:rsidR="006F082A">
        <w:rPr>
          <w:rFonts w:ascii="Calibri" w:hAnsi="Calibri" w:cs="Calibri"/>
          <w:lang w:val="es-GT"/>
        </w:rPr>
        <w:t>que revelan la situación de aspectos clave ligados a la biodiversidad son:</w:t>
      </w:r>
      <w:r w:rsidRPr="001A01AB">
        <w:rPr>
          <w:rFonts w:ascii="Calibri" w:hAnsi="Calibri" w:cs="Calibri"/>
          <w:lang w:val="es-GT"/>
        </w:rPr>
        <w:t xml:space="preserve"> </w:t>
      </w:r>
    </w:p>
    <w:p w:rsidR="004B76E5" w:rsidRPr="001A01AB" w:rsidRDefault="004B76E5" w:rsidP="00E7258A">
      <w:pPr>
        <w:pStyle w:val="Prrafodelista"/>
        <w:numPr>
          <w:ilvl w:val="0"/>
          <w:numId w:val="2"/>
        </w:numPr>
        <w:spacing w:after="120" w:line="240" w:lineRule="auto"/>
        <w:jc w:val="both"/>
        <w:rPr>
          <w:rFonts w:cs="Calibri"/>
          <w:sz w:val="24"/>
          <w:szCs w:val="24"/>
        </w:rPr>
      </w:pPr>
      <w:r w:rsidRPr="001A01AB">
        <w:rPr>
          <w:rFonts w:cs="Calibri"/>
          <w:sz w:val="24"/>
          <w:szCs w:val="24"/>
        </w:rPr>
        <w:t>Diversidad biológica en peligro: 18.20% de todas las especies están en peligro de extinción para el 2006, los recursos genéticos de las plantas nativas cultivadas están desapareciendo con rapidez.</w:t>
      </w:r>
      <w:r w:rsidR="008B4EC2" w:rsidRPr="008B4EC2">
        <w:rPr>
          <w:rFonts w:cs="Calibri"/>
          <w:sz w:val="24"/>
          <w:szCs w:val="24"/>
        </w:rPr>
        <w:t xml:space="preserve"> </w:t>
      </w:r>
    </w:p>
    <w:p w:rsidR="004B76E5" w:rsidRPr="001A01AB" w:rsidRDefault="004B76E5" w:rsidP="00E7258A">
      <w:pPr>
        <w:pStyle w:val="Prrafodelista"/>
        <w:numPr>
          <w:ilvl w:val="0"/>
          <w:numId w:val="2"/>
        </w:numPr>
        <w:spacing w:after="120" w:line="240" w:lineRule="auto"/>
        <w:jc w:val="both"/>
        <w:rPr>
          <w:rFonts w:cs="Calibri"/>
          <w:sz w:val="24"/>
          <w:szCs w:val="24"/>
        </w:rPr>
      </w:pPr>
      <w:r w:rsidRPr="001A01AB">
        <w:rPr>
          <w:rFonts w:cs="Calibri"/>
          <w:sz w:val="24"/>
          <w:szCs w:val="24"/>
        </w:rPr>
        <w:lastRenderedPageBreak/>
        <w:t xml:space="preserve">Dinámica de la cobertura forestal en las áreas protegidas de Guatemala: </w:t>
      </w:r>
      <w:r w:rsidR="004B5A57">
        <w:rPr>
          <w:rFonts w:cs="Calibri"/>
          <w:sz w:val="24"/>
          <w:szCs w:val="24"/>
        </w:rPr>
        <w:t xml:space="preserve">la </w:t>
      </w:r>
      <w:r w:rsidRPr="001A01AB">
        <w:rPr>
          <w:rFonts w:cs="Calibri"/>
          <w:sz w:val="24"/>
          <w:szCs w:val="24"/>
        </w:rPr>
        <w:t xml:space="preserve">tasa bruta de deforestación </w:t>
      </w:r>
      <w:r w:rsidR="008B4EC2">
        <w:rPr>
          <w:rFonts w:cs="Calibri"/>
          <w:sz w:val="24"/>
          <w:szCs w:val="24"/>
        </w:rPr>
        <w:t xml:space="preserve">del sistema nacional de áreas protegidas </w:t>
      </w:r>
      <w:r w:rsidR="004B5A57">
        <w:rPr>
          <w:rFonts w:cs="Calibri"/>
          <w:sz w:val="24"/>
          <w:szCs w:val="24"/>
        </w:rPr>
        <w:t>-</w:t>
      </w:r>
      <w:r w:rsidR="008B4EC2" w:rsidRPr="001A01AB">
        <w:rPr>
          <w:rFonts w:cs="Calibri"/>
          <w:sz w:val="24"/>
          <w:szCs w:val="24"/>
        </w:rPr>
        <w:t xml:space="preserve">297 áreas protegidas registradas en </w:t>
      </w:r>
      <w:r w:rsidR="008B4EC2">
        <w:rPr>
          <w:rFonts w:cs="Calibri"/>
          <w:sz w:val="24"/>
          <w:szCs w:val="24"/>
        </w:rPr>
        <w:t>2010)</w:t>
      </w:r>
      <w:r w:rsidR="004B5A57">
        <w:rPr>
          <w:rFonts w:cs="Calibri"/>
          <w:sz w:val="24"/>
          <w:szCs w:val="24"/>
        </w:rPr>
        <w:t>-</w:t>
      </w:r>
      <w:r w:rsidR="008B4EC2" w:rsidRPr="001A01AB">
        <w:rPr>
          <w:rFonts w:cs="Calibri"/>
          <w:sz w:val="24"/>
          <w:szCs w:val="24"/>
        </w:rPr>
        <w:t xml:space="preserve"> </w:t>
      </w:r>
      <w:r w:rsidR="008B4EC2">
        <w:rPr>
          <w:rFonts w:cs="Calibri"/>
          <w:sz w:val="24"/>
          <w:szCs w:val="24"/>
        </w:rPr>
        <w:t xml:space="preserve">es </w:t>
      </w:r>
      <w:r w:rsidRPr="001A01AB">
        <w:rPr>
          <w:rFonts w:cs="Calibri"/>
          <w:sz w:val="24"/>
          <w:szCs w:val="24"/>
        </w:rPr>
        <w:t xml:space="preserve">de 2.63% </w:t>
      </w:r>
      <w:r w:rsidR="008B4EC2">
        <w:rPr>
          <w:rFonts w:cs="Calibri"/>
          <w:sz w:val="24"/>
          <w:szCs w:val="24"/>
        </w:rPr>
        <w:t xml:space="preserve">para el periodo </w:t>
      </w:r>
      <w:r w:rsidRPr="001A01AB">
        <w:rPr>
          <w:rFonts w:cs="Calibri"/>
          <w:sz w:val="24"/>
          <w:szCs w:val="24"/>
        </w:rPr>
        <w:t>2001-2006</w:t>
      </w:r>
      <w:r w:rsidR="008B4EC2">
        <w:rPr>
          <w:rFonts w:cs="Calibri"/>
          <w:sz w:val="24"/>
          <w:szCs w:val="24"/>
        </w:rPr>
        <w:t>. Teóricamente</w:t>
      </w:r>
      <w:r w:rsidR="004B5A57">
        <w:rPr>
          <w:rFonts w:cs="Calibri"/>
          <w:sz w:val="24"/>
          <w:szCs w:val="24"/>
        </w:rPr>
        <w:t>,</w:t>
      </w:r>
      <w:r w:rsidR="008B4EC2">
        <w:rPr>
          <w:rFonts w:cs="Calibri"/>
          <w:sz w:val="24"/>
          <w:szCs w:val="24"/>
        </w:rPr>
        <w:t xml:space="preserve"> en este espacio territorial la deforestación debiese ser cercana a cero.</w:t>
      </w:r>
    </w:p>
    <w:p w:rsidR="004B76E5" w:rsidRPr="001A01AB" w:rsidRDefault="004B76E5" w:rsidP="00E7258A">
      <w:pPr>
        <w:pStyle w:val="Prrafodelista"/>
        <w:numPr>
          <w:ilvl w:val="0"/>
          <w:numId w:val="2"/>
        </w:numPr>
        <w:spacing w:after="0" w:line="240" w:lineRule="auto"/>
        <w:jc w:val="both"/>
        <w:rPr>
          <w:rFonts w:cs="Calibri"/>
          <w:sz w:val="24"/>
          <w:szCs w:val="24"/>
        </w:rPr>
      </w:pPr>
      <w:r w:rsidRPr="001A01AB">
        <w:rPr>
          <w:rFonts w:cs="Calibri"/>
          <w:sz w:val="24"/>
          <w:szCs w:val="24"/>
        </w:rPr>
        <w:t xml:space="preserve">Dinámica institucional: </w:t>
      </w:r>
      <w:r w:rsidR="009116B8" w:rsidRPr="001A01AB">
        <w:rPr>
          <w:rFonts w:cs="Calibri"/>
          <w:sz w:val="24"/>
          <w:szCs w:val="24"/>
        </w:rPr>
        <w:t>El</w:t>
      </w:r>
      <w:r w:rsidRPr="001A01AB">
        <w:rPr>
          <w:rFonts w:cs="Calibri"/>
          <w:sz w:val="24"/>
          <w:szCs w:val="24"/>
        </w:rPr>
        <w:t xml:space="preserve"> </w:t>
      </w:r>
      <w:r w:rsidRPr="004B5A57">
        <w:rPr>
          <w:rFonts w:cs="Calibri"/>
          <w:i/>
          <w:sz w:val="24"/>
          <w:szCs w:val="24"/>
        </w:rPr>
        <w:t xml:space="preserve">IV </w:t>
      </w:r>
      <w:r w:rsidR="009116B8" w:rsidRPr="004B5A57">
        <w:rPr>
          <w:rFonts w:cs="Calibri"/>
          <w:i/>
          <w:sz w:val="24"/>
          <w:szCs w:val="24"/>
        </w:rPr>
        <w:t xml:space="preserve">Informe Nacional </w:t>
      </w:r>
      <w:r w:rsidR="004B5A57" w:rsidRPr="004B5A57">
        <w:rPr>
          <w:rFonts w:cs="Calibri"/>
          <w:i/>
          <w:sz w:val="24"/>
          <w:szCs w:val="24"/>
        </w:rPr>
        <w:t>de C</w:t>
      </w:r>
      <w:r w:rsidRPr="004B5A57">
        <w:rPr>
          <w:rFonts w:cs="Calibri"/>
          <w:i/>
          <w:sz w:val="24"/>
          <w:szCs w:val="24"/>
        </w:rPr>
        <w:t>umplimiento de Acuerdos de Diversidad Biológica</w:t>
      </w:r>
      <w:r w:rsidR="004B5A57">
        <w:rPr>
          <w:rFonts w:cs="Calibri"/>
          <w:sz w:val="24"/>
          <w:szCs w:val="24"/>
        </w:rPr>
        <w:t xml:space="preserve"> señala que la </w:t>
      </w:r>
      <w:r w:rsidR="004B5A57" w:rsidRPr="004B5A57">
        <w:rPr>
          <w:rFonts w:cs="Calibri"/>
          <w:i/>
          <w:sz w:val="24"/>
          <w:szCs w:val="24"/>
        </w:rPr>
        <w:t>Estrategia N</w:t>
      </w:r>
      <w:r w:rsidRPr="004B5A57">
        <w:rPr>
          <w:rFonts w:cs="Calibri"/>
          <w:i/>
          <w:sz w:val="24"/>
          <w:szCs w:val="24"/>
        </w:rPr>
        <w:t>acional de Diversidad Biológica</w:t>
      </w:r>
      <w:r w:rsidRPr="001A01AB">
        <w:rPr>
          <w:rFonts w:cs="Calibri"/>
          <w:sz w:val="24"/>
          <w:szCs w:val="24"/>
        </w:rPr>
        <w:t xml:space="preserve"> no se logró implementar después de una década</w:t>
      </w:r>
      <w:r w:rsidR="009116B8" w:rsidRPr="001A01AB">
        <w:rPr>
          <w:rFonts w:cs="Calibri"/>
          <w:sz w:val="24"/>
          <w:szCs w:val="24"/>
        </w:rPr>
        <w:t xml:space="preserve">. </w:t>
      </w:r>
      <w:r w:rsidR="008B4EC2">
        <w:rPr>
          <w:rFonts w:cs="Calibri"/>
          <w:sz w:val="24"/>
          <w:szCs w:val="24"/>
        </w:rPr>
        <w:t>En parte, debido a la marginalidad financiera del sistema (</w:t>
      </w:r>
      <w:r w:rsidR="004B5A57">
        <w:rPr>
          <w:rFonts w:cs="Calibri"/>
          <w:sz w:val="24"/>
          <w:szCs w:val="24"/>
        </w:rPr>
        <w:t>e</w:t>
      </w:r>
      <w:r w:rsidRPr="001A01AB">
        <w:rPr>
          <w:rFonts w:cs="Calibri"/>
          <w:sz w:val="24"/>
          <w:szCs w:val="24"/>
        </w:rPr>
        <w:t xml:space="preserve">l presupuesto de CONAP fue de </w:t>
      </w:r>
      <w:r w:rsidR="004D4D08">
        <w:rPr>
          <w:rFonts w:cs="Calibri"/>
          <w:sz w:val="24"/>
          <w:szCs w:val="24"/>
        </w:rPr>
        <w:t>Q</w:t>
      </w:r>
      <w:r w:rsidRPr="001A01AB">
        <w:rPr>
          <w:rFonts w:cs="Calibri"/>
          <w:sz w:val="24"/>
          <w:szCs w:val="24"/>
        </w:rPr>
        <w:t>46.4</w:t>
      </w:r>
      <w:r w:rsidR="008B4EC2">
        <w:rPr>
          <w:rFonts w:cs="Calibri"/>
          <w:sz w:val="24"/>
          <w:szCs w:val="24"/>
        </w:rPr>
        <w:t>4 millones en 2010 para ate</w:t>
      </w:r>
      <w:r w:rsidR="00B9385E">
        <w:rPr>
          <w:rFonts w:cs="Calibri"/>
          <w:sz w:val="24"/>
          <w:szCs w:val="24"/>
        </w:rPr>
        <w:t>nder</w:t>
      </w:r>
      <w:r w:rsidR="008B4EC2">
        <w:rPr>
          <w:rFonts w:cs="Calibri"/>
          <w:sz w:val="24"/>
          <w:szCs w:val="24"/>
        </w:rPr>
        <w:t xml:space="preserve"> poco </w:t>
      </w:r>
      <w:r w:rsidR="00B9385E">
        <w:rPr>
          <w:rFonts w:cs="Calibri"/>
          <w:sz w:val="24"/>
          <w:szCs w:val="24"/>
        </w:rPr>
        <w:t>más</w:t>
      </w:r>
      <w:r w:rsidR="008B4EC2">
        <w:rPr>
          <w:rFonts w:cs="Calibri"/>
          <w:sz w:val="24"/>
          <w:szCs w:val="24"/>
        </w:rPr>
        <w:t xml:space="preserve"> del 33% del territorio nacional).</w:t>
      </w:r>
    </w:p>
    <w:p w:rsidR="004B76E5" w:rsidRPr="001A01AB" w:rsidRDefault="004B76E5" w:rsidP="007C3C28">
      <w:pPr>
        <w:ind w:left="360"/>
        <w:jc w:val="both"/>
        <w:rPr>
          <w:rFonts w:ascii="Calibri" w:hAnsi="Calibri" w:cs="Calibri"/>
          <w:lang w:val="es-GT"/>
        </w:rPr>
      </w:pPr>
    </w:p>
    <w:p w:rsidR="001C33BB" w:rsidRDefault="008B4EC2" w:rsidP="001C33BB">
      <w:pPr>
        <w:ind w:left="360"/>
        <w:jc w:val="both"/>
        <w:rPr>
          <w:rFonts w:ascii="Calibri" w:hAnsi="Calibri" w:cs="Calibri"/>
          <w:lang w:val="es-GT"/>
        </w:rPr>
      </w:pPr>
      <w:r>
        <w:rPr>
          <w:rFonts w:ascii="Calibri" w:hAnsi="Calibri" w:cs="Calibri"/>
          <w:lang w:val="es-GT"/>
        </w:rPr>
        <w:t>Se puede concluir que</w:t>
      </w:r>
      <w:r w:rsidR="00141A70">
        <w:rPr>
          <w:rFonts w:ascii="Calibri" w:hAnsi="Calibri" w:cs="Calibri"/>
          <w:lang w:val="es-GT"/>
        </w:rPr>
        <w:t xml:space="preserve"> </w:t>
      </w:r>
      <w:r w:rsidR="004B76E5" w:rsidRPr="001A01AB">
        <w:rPr>
          <w:rFonts w:ascii="Calibri" w:hAnsi="Calibri" w:cs="Calibri"/>
          <w:lang w:val="es-GT"/>
        </w:rPr>
        <w:t>en los últimos 10 años, la destrucción, degradación y fragmentación de los ecosistemas naturales se ha incrementado de manera sustancial, generando un entorno totalmente desfavorable para la permanencia de la biodiversidad en el tiempo.</w:t>
      </w:r>
      <w:r w:rsidR="003F295A" w:rsidRPr="001A01AB">
        <w:rPr>
          <w:rFonts w:ascii="Calibri" w:hAnsi="Calibri" w:cs="Calibri"/>
          <w:lang w:val="es-GT"/>
        </w:rPr>
        <w:t xml:space="preserve"> </w:t>
      </w:r>
      <w:r w:rsidR="00BC6134">
        <w:rPr>
          <w:rFonts w:ascii="Calibri" w:hAnsi="Calibri" w:cs="Calibri"/>
          <w:lang w:val="es-GT"/>
        </w:rPr>
        <w:t>L</w:t>
      </w:r>
      <w:r w:rsidR="004B76E5" w:rsidRPr="001A01AB">
        <w:rPr>
          <w:rFonts w:ascii="Calibri" w:hAnsi="Calibri" w:cs="Calibri"/>
          <w:lang w:val="es-GT"/>
        </w:rPr>
        <w:t>as causas de pérdida de biodiversidad son en su mayoría d</w:t>
      </w:r>
      <w:r w:rsidR="00617B8A">
        <w:rPr>
          <w:rFonts w:ascii="Calibri" w:hAnsi="Calibri" w:cs="Calibri"/>
          <w:lang w:val="es-GT"/>
        </w:rPr>
        <w:t>e carácter estructural. U</w:t>
      </w:r>
      <w:r w:rsidR="004B76E5" w:rsidRPr="001A01AB">
        <w:rPr>
          <w:rFonts w:ascii="Calibri" w:hAnsi="Calibri" w:cs="Calibri"/>
          <w:lang w:val="es-GT"/>
        </w:rPr>
        <w:t>n pacto social basado en la conservación y aprovechamiento de los recursos naturales y la biodiversidad puede contribuir a mejorar el desarrollo del país involucrando directamente a las comunidades organizadas (IARNA-URL, 2012).</w:t>
      </w:r>
    </w:p>
    <w:p w:rsidR="007A58FC" w:rsidRDefault="007A58FC" w:rsidP="007A58FC">
      <w:pPr>
        <w:ind w:left="360"/>
        <w:jc w:val="both"/>
        <w:rPr>
          <w:rFonts w:ascii="Calibri" w:hAnsi="Calibri" w:cs="Calibri"/>
          <w:lang w:val="es-GT"/>
        </w:rPr>
      </w:pPr>
    </w:p>
    <w:p w:rsidR="00B9385E" w:rsidRPr="00351A80" w:rsidRDefault="00B9385E" w:rsidP="007A58FC">
      <w:pPr>
        <w:ind w:left="360"/>
        <w:jc w:val="both"/>
        <w:rPr>
          <w:rFonts w:ascii="Calibri" w:hAnsi="Calibri" w:cs="Calibri"/>
          <w:lang w:val="es-GT"/>
        </w:rPr>
      </w:pPr>
      <w:r w:rsidRPr="00351A80">
        <w:rPr>
          <w:rFonts w:ascii="Calibri" w:hAnsi="Calibri" w:cs="Calibri"/>
          <w:lang w:val="es-GT"/>
        </w:rPr>
        <w:t xml:space="preserve">Como una medida para conservar la diversidad biológica, se creó el Sistema Guatemalteco de Áreas Protegidas (SIGAP), que es el conjunto de todas las áreas protegidas del país y las entidades que las administran. Fue </w:t>
      </w:r>
      <w:r w:rsidR="004B5A57" w:rsidRPr="00351A80">
        <w:rPr>
          <w:rFonts w:ascii="Calibri" w:hAnsi="Calibri" w:cs="Calibri"/>
          <w:lang w:val="es-GT"/>
        </w:rPr>
        <w:t>establecido</w:t>
      </w:r>
      <w:r w:rsidRPr="00351A80">
        <w:rPr>
          <w:rFonts w:ascii="Calibri" w:hAnsi="Calibri" w:cs="Calibri"/>
          <w:lang w:val="es-GT"/>
        </w:rPr>
        <w:t xml:space="preserve"> para lograr los objetivos de conservación, rehabilitación y protección de la diversidad biológica y los recursos naturales del país.</w:t>
      </w:r>
      <w:r w:rsidR="007A58FC" w:rsidRPr="00351A80">
        <w:rPr>
          <w:rFonts w:ascii="Calibri" w:hAnsi="Calibri" w:cs="Calibri"/>
          <w:lang w:val="es-GT"/>
        </w:rPr>
        <w:t xml:space="preserve"> </w:t>
      </w:r>
      <w:r w:rsidRPr="00351A80">
        <w:rPr>
          <w:rFonts w:ascii="Calibri" w:hAnsi="Calibri" w:cs="Calibri"/>
          <w:lang w:val="es-GT"/>
        </w:rPr>
        <w:t>Actualmente, el SIGAP está conformado por 313 áreas protegidas localizadas en el territorio nacional</w:t>
      </w:r>
      <w:r w:rsidR="007A58FC" w:rsidRPr="00351A80">
        <w:rPr>
          <w:rFonts w:ascii="Calibri" w:hAnsi="Calibri" w:cs="Calibri"/>
          <w:lang w:val="es-GT"/>
        </w:rPr>
        <w:t xml:space="preserve"> (Ver Figura 8)</w:t>
      </w:r>
      <w:r w:rsidRPr="00351A80">
        <w:rPr>
          <w:rFonts w:ascii="Calibri" w:hAnsi="Calibri" w:cs="Calibri"/>
          <w:lang w:val="es-GT"/>
        </w:rPr>
        <w:t>.</w:t>
      </w:r>
    </w:p>
    <w:p w:rsidR="001C33BB" w:rsidRDefault="001C33BB" w:rsidP="001C33BB">
      <w:pPr>
        <w:ind w:left="360"/>
        <w:jc w:val="both"/>
        <w:rPr>
          <w:rFonts w:ascii="Calibri" w:hAnsi="Calibri" w:cs="Calibri"/>
          <w:lang w:val="es-GT"/>
        </w:rPr>
      </w:pPr>
    </w:p>
    <w:p w:rsidR="004B5A57" w:rsidRDefault="00617B8A" w:rsidP="001C33BB">
      <w:pPr>
        <w:ind w:left="360"/>
        <w:jc w:val="both"/>
        <w:rPr>
          <w:rFonts w:ascii="Calibri" w:hAnsi="Calibri" w:cs="Calibri"/>
          <w:lang w:val="es-GT"/>
        </w:rPr>
      </w:pPr>
      <w:r w:rsidRPr="001C33BB">
        <w:rPr>
          <w:rFonts w:ascii="Calibri" w:hAnsi="Calibri" w:cs="Calibri"/>
          <w:lang w:val="es-GT"/>
        </w:rPr>
        <w:t xml:space="preserve">En síntesis, </w:t>
      </w:r>
      <w:r w:rsidR="004B5A57">
        <w:rPr>
          <w:rFonts w:ascii="Calibri" w:hAnsi="Calibri" w:cs="Calibri"/>
          <w:lang w:val="es-GT"/>
        </w:rPr>
        <w:t xml:space="preserve">para </w:t>
      </w:r>
      <w:r w:rsidRPr="001C33BB">
        <w:rPr>
          <w:rFonts w:ascii="Calibri" w:hAnsi="Calibri" w:cs="Calibri"/>
          <w:lang w:val="es-GT"/>
        </w:rPr>
        <w:t>fortalecer el sistema de áreas protegidas y la gestión de la biodiversidad en general se necesita:</w:t>
      </w:r>
      <w:r w:rsidR="00141A70">
        <w:rPr>
          <w:rFonts w:ascii="Calibri" w:hAnsi="Calibri" w:cs="Calibri"/>
          <w:lang w:val="es-GT"/>
        </w:rPr>
        <w:t xml:space="preserve"> </w:t>
      </w:r>
    </w:p>
    <w:p w:rsidR="00C470CE" w:rsidRDefault="00C470CE" w:rsidP="001C33BB">
      <w:pPr>
        <w:ind w:left="360"/>
        <w:jc w:val="both"/>
        <w:rPr>
          <w:rFonts w:ascii="Calibri" w:hAnsi="Calibri" w:cs="Calibri"/>
          <w:lang w:val="es-GT"/>
        </w:rPr>
      </w:pPr>
    </w:p>
    <w:p w:rsidR="004B5A57" w:rsidRPr="00C470CE" w:rsidRDefault="001C33BB" w:rsidP="00C470CE">
      <w:pPr>
        <w:pStyle w:val="Prrafodelista"/>
        <w:numPr>
          <w:ilvl w:val="0"/>
          <w:numId w:val="78"/>
        </w:numPr>
        <w:spacing w:after="0" w:line="240" w:lineRule="auto"/>
        <w:ind w:left="714" w:hanging="357"/>
        <w:jc w:val="both"/>
        <w:rPr>
          <w:rFonts w:cs="Calibri"/>
          <w:sz w:val="24"/>
          <w:szCs w:val="24"/>
        </w:rPr>
      </w:pPr>
      <w:r w:rsidRPr="00C470CE">
        <w:rPr>
          <w:rFonts w:cs="Calibri"/>
          <w:sz w:val="24"/>
          <w:szCs w:val="24"/>
        </w:rPr>
        <w:t xml:space="preserve">El incremento de capacidades humanas, físicas y financieras que permitan a los administradores del SIGAP asumir acciones con un enfoque preventivo y promotor para dejar la acción reactiva; </w:t>
      </w:r>
    </w:p>
    <w:p w:rsidR="007A58FC" w:rsidRPr="00C470CE" w:rsidRDefault="004B5A57" w:rsidP="00C470CE">
      <w:pPr>
        <w:pStyle w:val="Prrafodelista"/>
        <w:numPr>
          <w:ilvl w:val="0"/>
          <w:numId w:val="78"/>
        </w:numPr>
        <w:spacing w:after="0" w:line="240" w:lineRule="auto"/>
        <w:ind w:left="714" w:hanging="357"/>
        <w:jc w:val="both"/>
        <w:rPr>
          <w:rFonts w:cs="Calibri"/>
          <w:color w:val="000000"/>
          <w:sz w:val="24"/>
          <w:szCs w:val="24"/>
        </w:rPr>
      </w:pPr>
      <w:r w:rsidRPr="00C470CE">
        <w:rPr>
          <w:rFonts w:cs="Calibri"/>
          <w:sz w:val="24"/>
          <w:szCs w:val="24"/>
        </w:rPr>
        <w:t xml:space="preserve"> </w:t>
      </w:r>
      <w:r w:rsidR="001C33BB" w:rsidRPr="00C470CE">
        <w:rPr>
          <w:rFonts w:cs="Calibri"/>
          <w:color w:val="000000"/>
          <w:sz w:val="24"/>
          <w:szCs w:val="24"/>
        </w:rPr>
        <w:t>Tomar control pleno de las áreas protegidas por parte de sus administradores, en su sentido más amplio, genuino y acorde a la realidad nacional, -es decir en un sentido en el que se garantizan bienes naturales de consumo y servicios ambientales para toda la sociedad, se involucra a pobladores dentro y alrededor de éstas áreas en pequeñas y medianas iniciativas empresariales rurales</w:t>
      </w:r>
      <w:r w:rsidRPr="00C470CE">
        <w:rPr>
          <w:rFonts w:cs="Calibri"/>
          <w:color w:val="000000"/>
          <w:sz w:val="24"/>
          <w:szCs w:val="24"/>
        </w:rPr>
        <w:t>,</w:t>
      </w:r>
      <w:r w:rsidR="001C33BB" w:rsidRPr="00C470CE">
        <w:rPr>
          <w:rFonts w:cs="Calibri"/>
          <w:color w:val="000000"/>
          <w:sz w:val="24"/>
          <w:szCs w:val="24"/>
        </w:rPr>
        <w:t xml:space="preserve"> y se contribuye a erradicar la pobreza-; asimismo, requiere dotar a los administradores de capacidades suficientes para concretar estas </w:t>
      </w:r>
      <w:r w:rsidR="00351A80" w:rsidRPr="00C470CE">
        <w:rPr>
          <w:rFonts w:cs="Calibri"/>
          <w:color w:val="000000"/>
          <w:sz w:val="24"/>
          <w:szCs w:val="24"/>
        </w:rPr>
        <w:t>legítimas</w:t>
      </w:r>
      <w:r w:rsidR="001C33BB" w:rsidRPr="00C470CE">
        <w:rPr>
          <w:rFonts w:cs="Calibri"/>
          <w:color w:val="000000"/>
          <w:sz w:val="24"/>
          <w:szCs w:val="24"/>
        </w:rPr>
        <w:t xml:space="preserve"> aspiraciones. Por un lado, deberán hacerse inversiones extraordinarias para llevar a las áreas protegidas a niveles razonables de inf</w:t>
      </w:r>
      <w:r w:rsidRPr="00C470CE">
        <w:rPr>
          <w:rFonts w:cs="Calibri"/>
          <w:color w:val="000000"/>
          <w:sz w:val="24"/>
          <w:szCs w:val="24"/>
        </w:rPr>
        <w:t>raestructura, personal y equipo;</w:t>
      </w:r>
      <w:r w:rsidR="001C33BB" w:rsidRPr="00C470CE">
        <w:rPr>
          <w:rFonts w:cs="Calibri"/>
          <w:color w:val="000000"/>
          <w:sz w:val="24"/>
          <w:szCs w:val="24"/>
        </w:rPr>
        <w:t xml:space="preserve"> y por otro, deberán asegurarse presupuestos ordinarios suficientes para operar cotidianamente conforme el sentido anteriormente planteado. Siendo las áreas protegidas las reservas ambientales más importantes y estratégicas para el país, sus necesidades financieras deben ser asumidas por éste. Los fondos, cada vez más escasos,</w:t>
      </w:r>
      <w:r w:rsidR="00141A70" w:rsidRPr="00C470CE">
        <w:rPr>
          <w:rFonts w:cs="Calibri"/>
          <w:color w:val="000000"/>
          <w:sz w:val="24"/>
          <w:szCs w:val="24"/>
        </w:rPr>
        <w:t xml:space="preserve"> </w:t>
      </w:r>
      <w:r w:rsidR="001C33BB" w:rsidRPr="00C470CE">
        <w:rPr>
          <w:rFonts w:cs="Calibri"/>
          <w:color w:val="000000"/>
          <w:sz w:val="24"/>
          <w:szCs w:val="24"/>
        </w:rPr>
        <w:t xml:space="preserve">provenientes </w:t>
      </w:r>
      <w:r w:rsidR="001C33BB" w:rsidRPr="00C470CE">
        <w:rPr>
          <w:rFonts w:cs="Calibri"/>
          <w:color w:val="000000"/>
          <w:sz w:val="24"/>
          <w:szCs w:val="24"/>
        </w:rPr>
        <w:lastRenderedPageBreak/>
        <w:t>de la cooperación internacional,</w:t>
      </w:r>
      <w:r w:rsidR="00141A70" w:rsidRPr="00C470CE">
        <w:rPr>
          <w:rFonts w:cs="Calibri"/>
          <w:color w:val="000000"/>
          <w:sz w:val="24"/>
          <w:szCs w:val="24"/>
        </w:rPr>
        <w:t xml:space="preserve"> </w:t>
      </w:r>
      <w:r w:rsidR="001C33BB" w:rsidRPr="00C470CE">
        <w:rPr>
          <w:rFonts w:cs="Calibri"/>
          <w:color w:val="000000"/>
          <w:sz w:val="24"/>
          <w:szCs w:val="24"/>
        </w:rPr>
        <w:t xml:space="preserve">no pueden ni deben ser vistos como la base de un asunto tan estratégico para la nación. </w:t>
      </w:r>
    </w:p>
    <w:p w:rsidR="007A58FC" w:rsidRDefault="007A58FC" w:rsidP="001C33BB">
      <w:pPr>
        <w:ind w:left="360"/>
        <w:jc w:val="both"/>
        <w:rPr>
          <w:rFonts w:ascii="Calibri" w:eastAsia="Calibri" w:hAnsi="Calibri" w:cs="Calibri"/>
          <w:color w:val="000000"/>
          <w:lang w:val="es-GT"/>
        </w:rPr>
      </w:pPr>
    </w:p>
    <w:p w:rsidR="007A58FC" w:rsidRPr="00224B57" w:rsidRDefault="007A58FC" w:rsidP="007A58FC">
      <w:pPr>
        <w:spacing w:after="120"/>
        <w:jc w:val="center"/>
        <w:rPr>
          <w:rFonts w:ascii="Calibri" w:eastAsia="Calibri" w:hAnsi="Calibri" w:cs="Calibri"/>
          <w:b/>
          <w:color w:val="365F91"/>
          <w:sz w:val="22"/>
          <w:szCs w:val="22"/>
          <w:lang w:val="es-GT"/>
        </w:rPr>
      </w:pPr>
      <w:bookmarkStart w:id="58" w:name="_Toc347841231"/>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8</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Sistema Guatemalteco de Áreas Protegidas (SIGAP)</w:t>
      </w:r>
      <w:bookmarkEnd w:id="58"/>
    </w:p>
    <w:p w:rsidR="007A58FC" w:rsidRPr="007A58FC" w:rsidRDefault="00544A9F" w:rsidP="001C33BB">
      <w:pPr>
        <w:ind w:left="360"/>
        <w:jc w:val="both"/>
        <w:rPr>
          <w:rFonts w:ascii="Calibri" w:eastAsia="Calibri" w:hAnsi="Calibri" w:cs="Calibri"/>
          <w:color w:val="FF0000"/>
          <w:lang w:val="es-GT"/>
        </w:rPr>
      </w:pPr>
      <w:r>
        <w:rPr>
          <w:rFonts w:ascii="Calibri" w:eastAsia="Calibri" w:hAnsi="Calibri" w:cs="Calibri"/>
          <w:noProof/>
          <w:color w:val="FF0000"/>
          <w:lang w:val="es-GT" w:eastAsia="es-GT"/>
        </w:rPr>
        <w:drawing>
          <wp:inline distT="0" distB="0" distL="0" distR="0" wp14:anchorId="0E65368D" wp14:editId="5BEA71F3">
            <wp:extent cx="5629991" cy="7258050"/>
            <wp:effectExtent l="0" t="0" r="8890" b="0"/>
            <wp:docPr id="13" name="Imagen 13" descr="MAPA_SIGAP_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PA_SIGAP_2008"/>
                    <pic:cNvPicPr>
                      <a:picLocks noChangeAspect="1" noChangeArrowheads="1"/>
                    </pic:cNvPicPr>
                  </pic:nvPicPr>
                  <pic:blipFill>
                    <a:blip r:embed="rId21">
                      <a:extLst>
                        <a:ext uri="{28A0092B-C50C-407E-A947-70E740481C1C}">
                          <a14:useLocalDpi xmlns:a14="http://schemas.microsoft.com/office/drawing/2010/main" val="0"/>
                        </a:ext>
                      </a:extLst>
                    </a:blip>
                    <a:srcRect l="2594" t="531" b="1698"/>
                    <a:stretch>
                      <a:fillRect/>
                    </a:stretch>
                  </pic:blipFill>
                  <pic:spPr bwMode="auto">
                    <a:xfrm>
                      <a:off x="0" y="0"/>
                      <a:ext cx="5639101" cy="7269794"/>
                    </a:xfrm>
                    <a:prstGeom prst="rect">
                      <a:avLst/>
                    </a:prstGeom>
                    <a:noFill/>
                    <a:ln>
                      <a:noFill/>
                    </a:ln>
                  </pic:spPr>
                </pic:pic>
              </a:graphicData>
            </a:graphic>
          </wp:inline>
        </w:drawing>
      </w:r>
    </w:p>
    <w:p w:rsidR="007A58FC" w:rsidRPr="00351A80" w:rsidRDefault="007A58FC" w:rsidP="007A58FC">
      <w:pPr>
        <w:autoSpaceDE w:val="0"/>
        <w:autoSpaceDN w:val="0"/>
        <w:adjustRightInd w:val="0"/>
        <w:ind w:right="468"/>
        <w:jc w:val="right"/>
        <w:rPr>
          <w:rFonts w:ascii="Calibri" w:hAnsi="Calibri" w:cs="Calibri"/>
          <w:sz w:val="20"/>
          <w:szCs w:val="20"/>
          <w:lang w:val="es-GT"/>
        </w:rPr>
      </w:pPr>
      <w:r w:rsidRPr="00351A80">
        <w:rPr>
          <w:rFonts w:ascii="Calibri" w:hAnsi="Calibri" w:cs="Calibri"/>
          <w:sz w:val="20"/>
          <w:szCs w:val="20"/>
          <w:lang w:val="es-GT"/>
        </w:rPr>
        <w:t xml:space="preserve">Fuente: </w:t>
      </w:r>
      <w:r w:rsidR="004B5A57">
        <w:rPr>
          <w:rFonts w:ascii="Calibri" w:hAnsi="Calibri" w:cs="Calibri"/>
          <w:sz w:val="20"/>
          <w:szCs w:val="20"/>
          <w:lang w:val="es-GT"/>
        </w:rPr>
        <w:t>MARN, IARNA-URL y PNUD (</w:t>
      </w:r>
      <w:r w:rsidRPr="00351A80">
        <w:rPr>
          <w:rFonts w:ascii="Calibri" w:hAnsi="Calibri" w:cs="Calibri"/>
          <w:sz w:val="20"/>
          <w:szCs w:val="20"/>
          <w:lang w:val="es-GT"/>
        </w:rPr>
        <w:t>2009).</w:t>
      </w:r>
    </w:p>
    <w:p w:rsidR="008A0EC7" w:rsidRDefault="001C33BB" w:rsidP="001C33BB">
      <w:pPr>
        <w:ind w:left="360"/>
        <w:jc w:val="both"/>
        <w:rPr>
          <w:rFonts w:ascii="Calibri" w:eastAsia="Calibri" w:hAnsi="Calibri" w:cs="Calibri"/>
          <w:color w:val="000000"/>
          <w:lang w:val="es-GT"/>
        </w:rPr>
      </w:pPr>
      <w:r w:rsidRPr="003B3A2D">
        <w:rPr>
          <w:rFonts w:ascii="Calibri" w:eastAsia="Calibri" w:hAnsi="Calibri" w:cs="Calibri"/>
          <w:color w:val="000000"/>
          <w:lang w:val="es-GT"/>
        </w:rPr>
        <w:lastRenderedPageBreak/>
        <w:t xml:space="preserve">El desafío es que los gobiernos, no sólo entiendan este punto de vista, sino que </w:t>
      </w:r>
      <w:r w:rsidRPr="003710E2">
        <w:rPr>
          <w:rFonts w:ascii="Calibri" w:eastAsia="Calibri" w:hAnsi="Calibri" w:cs="Calibri"/>
          <w:color w:val="000000"/>
          <w:lang w:val="es-GT"/>
        </w:rPr>
        <w:t xml:space="preserve">también </w:t>
      </w:r>
      <w:r w:rsidR="003710E2" w:rsidRPr="003710E2">
        <w:rPr>
          <w:rFonts w:ascii="Calibri" w:eastAsia="Calibri" w:hAnsi="Calibri" w:cs="Calibri"/>
          <w:color w:val="000000"/>
          <w:lang w:val="es-GT"/>
        </w:rPr>
        <w:t>fomenten el</w:t>
      </w:r>
      <w:r w:rsidRPr="003710E2">
        <w:rPr>
          <w:rFonts w:ascii="Calibri" w:eastAsia="Calibri" w:hAnsi="Calibri" w:cs="Calibri"/>
          <w:color w:val="000000"/>
          <w:lang w:val="es-GT"/>
        </w:rPr>
        <w:t xml:space="preserve"> establecimiento de una estrategia de financ</w:t>
      </w:r>
      <w:r w:rsidR="008A0EC7">
        <w:rPr>
          <w:rFonts w:ascii="Calibri" w:eastAsia="Calibri" w:hAnsi="Calibri" w:cs="Calibri"/>
          <w:color w:val="000000"/>
          <w:lang w:val="es-GT"/>
        </w:rPr>
        <w:t>iamiento integral y sostenido para</w:t>
      </w:r>
      <w:r w:rsidRPr="003710E2">
        <w:rPr>
          <w:rFonts w:ascii="Calibri" w:eastAsia="Calibri" w:hAnsi="Calibri" w:cs="Calibri"/>
          <w:color w:val="000000"/>
          <w:lang w:val="es-GT"/>
        </w:rPr>
        <w:t xml:space="preserve"> las áreas protegidas, que debe incluir fondos públicos derivados quizá, de un impuesto específico para la conservación; así como eficientes mecanismos de mercado para la recaudación de fondos -tarifas, concesiones, licencias, entre otros- y convenios internacionales en torno de aquellas áreas de relevancia mundial. </w:t>
      </w:r>
    </w:p>
    <w:p w:rsidR="008A0EC7" w:rsidRDefault="008A0EC7" w:rsidP="001C33BB">
      <w:pPr>
        <w:ind w:left="360"/>
        <w:jc w:val="both"/>
        <w:rPr>
          <w:rFonts w:ascii="Calibri" w:eastAsia="Calibri" w:hAnsi="Calibri" w:cs="Calibri"/>
          <w:color w:val="000000"/>
          <w:lang w:val="es-GT"/>
        </w:rPr>
      </w:pPr>
    </w:p>
    <w:p w:rsidR="001C33BB" w:rsidRPr="003710E2" w:rsidRDefault="001C33BB" w:rsidP="001C33BB">
      <w:pPr>
        <w:ind w:left="360"/>
        <w:jc w:val="both"/>
        <w:rPr>
          <w:rStyle w:val="eacep1"/>
          <w:rFonts w:ascii="Calibri" w:hAnsi="Calibri" w:cs="Calibri"/>
          <w:color w:val="auto"/>
          <w:lang w:val="es-GT"/>
        </w:rPr>
      </w:pPr>
      <w:r w:rsidRPr="003710E2">
        <w:rPr>
          <w:rFonts w:ascii="Calibri" w:eastAsia="Calibri" w:hAnsi="Calibri" w:cs="Calibri"/>
          <w:color w:val="000000"/>
          <w:lang w:val="es-GT"/>
        </w:rPr>
        <w:t>La implementación simultánea de estas estrategias debe asegurar los recursos ordinarios y extraordinarios que requieren la gestión ambiental en general</w:t>
      </w:r>
      <w:r w:rsidR="008A0EC7">
        <w:rPr>
          <w:rFonts w:ascii="Calibri" w:eastAsia="Calibri" w:hAnsi="Calibri" w:cs="Calibri"/>
          <w:color w:val="000000"/>
          <w:lang w:val="es-GT"/>
        </w:rPr>
        <w:t>,</w:t>
      </w:r>
      <w:r w:rsidRPr="003710E2">
        <w:rPr>
          <w:rFonts w:ascii="Calibri" w:eastAsia="Calibri" w:hAnsi="Calibri" w:cs="Calibri"/>
          <w:color w:val="000000"/>
          <w:lang w:val="es-GT"/>
        </w:rPr>
        <w:t xml:space="preserve"> y las áreas protegidas en particular. Propu</w:t>
      </w:r>
      <w:r w:rsidR="004B5A57">
        <w:rPr>
          <w:rFonts w:ascii="Calibri" w:eastAsia="Calibri" w:hAnsi="Calibri" w:cs="Calibri"/>
          <w:color w:val="000000"/>
          <w:lang w:val="es-GT"/>
        </w:rPr>
        <w:t>estas actuales y técnicamente só</w:t>
      </w:r>
      <w:r w:rsidRPr="003710E2">
        <w:rPr>
          <w:rFonts w:ascii="Calibri" w:eastAsia="Calibri" w:hAnsi="Calibri" w:cs="Calibri"/>
          <w:color w:val="000000"/>
          <w:lang w:val="es-GT"/>
        </w:rPr>
        <w:t>lidas, ya existen.</w:t>
      </w:r>
      <w:r w:rsidRPr="003710E2">
        <w:rPr>
          <w:rFonts w:ascii="Calibri" w:hAnsi="Calibri" w:cs="Calibri"/>
          <w:color w:val="000000"/>
          <w:lang w:val="es-GT"/>
        </w:rPr>
        <w:t xml:space="preserve"> De manera inmediata se necesita </w:t>
      </w:r>
      <w:r w:rsidRPr="003710E2">
        <w:rPr>
          <w:rFonts w:ascii="Calibri" w:hAnsi="Calibri" w:cs="Calibri"/>
          <w:lang w:val="es-GT"/>
        </w:rPr>
        <w:t xml:space="preserve">hacer operativa la política de coadministración, tanto para hacerla </w:t>
      </w:r>
      <w:r w:rsidR="003710E2" w:rsidRPr="003710E2">
        <w:rPr>
          <w:rFonts w:ascii="Calibri" w:hAnsi="Calibri" w:cs="Calibri"/>
          <w:lang w:val="es-GT"/>
        </w:rPr>
        <w:t xml:space="preserve">funcional, como </w:t>
      </w:r>
      <w:r w:rsidRPr="003710E2">
        <w:rPr>
          <w:rFonts w:ascii="Calibri" w:hAnsi="Calibri" w:cs="Calibri"/>
          <w:lang w:val="es-GT"/>
        </w:rPr>
        <w:t xml:space="preserve">para incrementar el número de coadministradores calificados. </w:t>
      </w:r>
      <w:r w:rsidRPr="003710E2">
        <w:rPr>
          <w:rStyle w:val="eacep1"/>
          <w:rFonts w:ascii="Calibri" w:hAnsi="Calibri" w:cs="Calibri"/>
          <w:lang w:val="es-GT"/>
        </w:rPr>
        <w:t>En caso de continuar con el mismo nivel de esfuerzo, estas áreas serán permanentemente el objetivo de ocupaciones ilegales, incluidas aquellas ligadas a la narcoactividad.</w:t>
      </w:r>
    </w:p>
    <w:p w:rsidR="00617B8A" w:rsidRPr="001A01AB" w:rsidRDefault="00617B8A" w:rsidP="007C3C28">
      <w:pPr>
        <w:ind w:left="360"/>
        <w:jc w:val="both"/>
        <w:rPr>
          <w:rFonts w:ascii="Calibri" w:hAnsi="Calibri" w:cs="Calibri"/>
          <w:lang w:val="es-GT"/>
        </w:rPr>
      </w:pPr>
    </w:p>
    <w:p w:rsidR="004B76E5" w:rsidRPr="001A01AB" w:rsidRDefault="00523BC1" w:rsidP="006B0A31">
      <w:pPr>
        <w:pStyle w:val="Prrafodelista"/>
        <w:numPr>
          <w:ilvl w:val="3"/>
          <w:numId w:val="51"/>
        </w:numPr>
        <w:jc w:val="both"/>
        <w:rPr>
          <w:rFonts w:cs="Calibri"/>
          <w:b/>
          <w:color w:val="365F91"/>
        </w:rPr>
      </w:pPr>
      <w:r>
        <w:rPr>
          <w:rFonts w:cs="Calibri"/>
          <w:b/>
          <w:color w:val="365F91"/>
        </w:rPr>
        <w:t xml:space="preserve"> </w:t>
      </w:r>
      <w:r w:rsidR="00DE578B" w:rsidRPr="001A01AB">
        <w:rPr>
          <w:rFonts w:cs="Calibri"/>
          <w:b/>
          <w:color w:val="365F91"/>
        </w:rPr>
        <w:t>Componente</w:t>
      </w:r>
      <w:r w:rsidR="004B76E5" w:rsidRPr="001A01AB">
        <w:rPr>
          <w:rFonts w:cs="Calibri"/>
          <w:b/>
          <w:color w:val="365F91"/>
        </w:rPr>
        <w:t xml:space="preserve"> </w:t>
      </w:r>
      <w:r w:rsidR="00DE578B" w:rsidRPr="001A01AB">
        <w:rPr>
          <w:rFonts w:cs="Calibri"/>
          <w:b/>
          <w:color w:val="365F91"/>
        </w:rPr>
        <w:t>“</w:t>
      </w:r>
      <w:r w:rsidR="004B76E5" w:rsidRPr="001A01AB">
        <w:rPr>
          <w:rFonts w:cs="Calibri"/>
          <w:b/>
          <w:color w:val="365F91"/>
        </w:rPr>
        <w:t xml:space="preserve">Recursos </w:t>
      </w:r>
      <w:r w:rsidR="008A0EC7">
        <w:rPr>
          <w:rFonts w:cs="Calibri"/>
          <w:b/>
          <w:color w:val="365F91"/>
        </w:rPr>
        <w:t>h</w:t>
      </w:r>
      <w:r w:rsidR="004B76E5" w:rsidRPr="001A01AB">
        <w:rPr>
          <w:rFonts w:cs="Calibri"/>
          <w:b/>
          <w:color w:val="365F91"/>
        </w:rPr>
        <w:t>ídric</w:t>
      </w:r>
      <w:r w:rsidR="009116B8" w:rsidRPr="001A01AB">
        <w:rPr>
          <w:rFonts w:cs="Calibri"/>
          <w:b/>
          <w:color w:val="365F91"/>
        </w:rPr>
        <w:t>os</w:t>
      </w:r>
      <w:r w:rsidR="00DE578B" w:rsidRPr="001A01AB">
        <w:rPr>
          <w:rFonts w:cs="Calibri"/>
          <w:b/>
          <w:color w:val="365F91"/>
        </w:rPr>
        <w:t>”</w:t>
      </w:r>
    </w:p>
    <w:p w:rsidR="004B76E5" w:rsidRPr="001A01AB" w:rsidRDefault="004B76E5" w:rsidP="007C3C28">
      <w:pPr>
        <w:ind w:left="360"/>
        <w:jc w:val="both"/>
        <w:rPr>
          <w:rFonts w:ascii="Calibri" w:hAnsi="Calibri" w:cs="Calibri"/>
          <w:lang w:val="es-GT"/>
        </w:rPr>
      </w:pPr>
      <w:r w:rsidRPr="001A01AB">
        <w:rPr>
          <w:rFonts w:ascii="Calibri" w:hAnsi="Calibri" w:cs="Calibri"/>
          <w:lang w:val="es-GT"/>
        </w:rPr>
        <w:t>El agua juega un papel fundamental en todos los ámbitos de la vida</w:t>
      </w:r>
      <w:r w:rsidR="00BC6134">
        <w:rPr>
          <w:rFonts w:ascii="Calibri" w:hAnsi="Calibri" w:cs="Calibri"/>
          <w:lang w:val="es-GT"/>
        </w:rPr>
        <w:t xml:space="preserve">, lo cual incluye los ámbitos </w:t>
      </w:r>
      <w:r w:rsidRPr="001A01AB">
        <w:rPr>
          <w:rFonts w:ascii="Calibri" w:hAnsi="Calibri" w:cs="Calibri"/>
          <w:lang w:val="es-GT"/>
        </w:rPr>
        <w:t>del desarrollo social y económico de los guatemaltecos a nivel urbano y rural.</w:t>
      </w:r>
      <w:r w:rsidR="003F295A" w:rsidRPr="001A01AB">
        <w:rPr>
          <w:rFonts w:ascii="Calibri" w:hAnsi="Calibri" w:cs="Calibri"/>
          <w:lang w:val="es-GT"/>
        </w:rPr>
        <w:t xml:space="preserve"> </w:t>
      </w:r>
      <w:r w:rsidRPr="001A01AB">
        <w:rPr>
          <w:rFonts w:ascii="Calibri" w:hAnsi="Calibri" w:cs="Calibri"/>
          <w:lang w:val="es-GT"/>
        </w:rPr>
        <w:t xml:space="preserve">Sin embargo, </w:t>
      </w:r>
      <w:r w:rsidR="00BC6134">
        <w:rPr>
          <w:rFonts w:ascii="Calibri" w:hAnsi="Calibri" w:cs="Calibri"/>
          <w:lang w:val="es-GT"/>
        </w:rPr>
        <w:t xml:space="preserve">es conocido que el enfoque extractivo es dominante, la contaminación es generalizada y se acentúan, por falta de gestión integral, </w:t>
      </w:r>
      <w:r w:rsidRPr="001A01AB">
        <w:rPr>
          <w:rFonts w:ascii="Calibri" w:hAnsi="Calibri" w:cs="Calibri"/>
          <w:lang w:val="es-GT"/>
        </w:rPr>
        <w:t xml:space="preserve">los conflictos por </w:t>
      </w:r>
      <w:r w:rsidR="006B3932">
        <w:rPr>
          <w:rFonts w:ascii="Calibri" w:hAnsi="Calibri" w:cs="Calibri"/>
          <w:lang w:val="es-GT"/>
        </w:rPr>
        <w:t>escasez</w:t>
      </w:r>
      <w:r w:rsidR="00BC6134">
        <w:rPr>
          <w:rFonts w:ascii="Calibri" w:hAnsi="Calibri" w:cs="Calibri"/>
          <w:lang w:val="es-GT"/>
        </w:rPr>
        <w:t xml:space="preserve"> y creciente demanda.</w:t>
      </w:r>
    </w:p>
    <w:p w:rsidR="004B76E5" w:rsidRPr="001A01AB" w:rsidRDefault="004B76E5" w:rsidP="007C3C28">
      <w:pPr>
        <w:ind w:left="360"/>
        <w:jc w:val="both"/>
        <w:rPr>
          <w:rFonts w:ascii="Calibri" w:hAnsi="Calibri" w:cs="Calibri"/>
          <w:lang w:val="es-GT"/>
        </w:rPr>
      </w:pPr>
    </w:p>
    <w:p w:rsidR="007A58FC" w:rsidRPr="00351A80" w:rsidRDefault="007A58FC" w:rsidP="007A58FC">
      <w:pPr>
        <w:autoSpaceDE w:val="0"/>
        <w:autoSpaceDN w:val="0"/>
        <w:adjustRightInd w:val="0"/>
        <w:ind w:left="360"/>
        <w:jc w:val="both"/>
        <w:rPr>
          <w:rFonts w:ascii="Calibri" w:hAnsi="Calibri" w:cs="Optima-Regular"/>
          <w:lang w:val="es-GT"/>
        </w:rPr>
      </w:pPr>
      <w:r w:rsidRPr="00351A80">
        <w:rPr>
          <w:rFonts w:ascii="Calibri" w:hAnsi="Calibri" w:cs="Optima-Regular"/>
          <w:lang w:val="es-GT"/>
        </w:rPr>
        <w:t>Los sistemas montañosos determinan tres grandes regiones hidrográficas o vertientes: la vertiente del océano Pacífico (24,016 km</w:t>
      </w:r>
      <w:r w:rsidRPr="00351A80">
        <w:rPr>
          <w:rFonts w:ascii="Calibri" w:hAnsi="Calibri" w:cs="Optima-Regular"/>
          <w:vertAlign w:val="superscript"/>
          <w:lang w:val="es-GT"/>
        </w:rPr>
        <w:t>2</w:t>
      </w:r>
      <w:r w:rsidRPr="00351A80">
        <w:rPr>
          <w:rFonts w:ascii="Calibri" w:hAnsi="Calibri" w:cs="Optima-Regular"/>
          <w:lang w:val="es-GT"/>
        </w:rPr>
        <w:t>), y la vertiente del Atlántico, que a su vez se divide en dos: la vertiente del Atlántico Caribe (34,143 km</w:t>
      </w:r>
      <w:r w:rsidRPr="00351A80">
        <w:rPr>
          <w:rFonts w:ascii="Calibri" w:hAnsi="Calibri" w:cs="Optima-Regular"/>
          <w:vertAlign w:val="superscript"/>
          <w:lang w:val="es-GT"/>
        </w:rPr>
        <w:t>2</w:t>
      </w:r>
      <w:r w:rsidRPr="00351A80">
        <w:rPr>
          <w:rFonts w:ascii="Calibri" w:hAnsi="Calibri" w:cs="Optima-Regular"/>
          <w:lang w:val="es-GT"/>
        </w:rPr>
        <w:t>) de los ríos que  desembocan en el golfo de Honduras</w:t>
      </w:r>
      <w:r w:rsidR="006B3932">
        <w:rPr>
          <w:rFonts w:ascii="Calibri" w:hAnsi="Calibri" w:cs="Optima-Regular"/>
          <w:lang w:val="es-GT"/>
        </w:rPr>
        <w:t>;</w:t>
      </w:r>
      <w:r w:rsidRPr="00351A80">
        <w:rPr>
          <w:rFonts w:ascii="Calibri" w:hAnsi="Calibri" w:cs="Optima-Regular"/>
          <w:lang w:val="es-GT"/>
        </w:rPr>
        <w:t xml:space="preserve"> y la vertiente del golfo de México (50,730 km</w:t>
      </w:r>
      <w:r w:rsidRPr="00351A80">
        <w:rPr>
          <w:rFonts w:ascii="Calibri" w:hAnsi="Calibri" w:cs="Optima-Regular"/>
          <w:vertAlign w:val="superscript"/>
          <w:lang w:val="es-GT"/>
        </w:rPr>
        <w:t>2</w:t>
      </w:r>
      <w:r w:rsidRPr="00351A80">
        <w:rPr>
          <w:rFonts w:ascii="Calibri" w:hAnsi="Calibri" w:cs="Optima-Regular"/>
          <w:lang w:val="es-GT"/>
        </w:rPr>
        <w:t>) de los ríos ubicados en la península de Yucatán (Ver Figura 9).</w:t>
      </w:r>
    </w:p>
    <w:p w:rsidR="007A58FC" w:rsidRPr="00351A80" w:rsidRDefault="007A58FC" w:rsidP="007A58FC">
      <w:pPr>
        <w:autoSpaceDE w:val="0"/>
        <w:autoSpaceDN w:val="0"/>
        <w:adjustRightInd w:val="0"/>
        <w:ind w:left="360"/>
        <w:jc w:val="both"/>
        <w:rPr>
          <w:rFonts w:ascii="Calibri" w:hAnsi="Calibri" w:cs="Optima-Regular"/>
          <w:lang w:val="es-GT"/>
        </w:rPr>
      </w:pPr>
    </w:p>
    <w:p w:rsidR="007A58FC" w:rsidRPr="00351A80" w:rsidRDefault="007A58FC" w:rsidP="007A58FC">
      <w:pPr>
        <w:autoSpaceDE w:val="0"/>
        <w:autoSpaceDN w:val="0"/>
        <w:adjustRightInd w:val="0"/>
        <w:ind w:left="360"/>
        <w:jc w:val="both"/>
        <w:rPr>
          <w:rFonts w:ascii="Calibri" w:hAnsi="Calibri" w:cs="Optima-Regular"/>
          <w:lang w:val="es-GT"/>
        </w:rPr>
      </w:pPr>
      <w:r w:rsidRPr="00351A80">
        <w:rPr>
          <w:rFonts w:ascii="Calibri" w:hAnsi="Calibri" w:cs="Optima-Regular"/>
          <w:lang w:val="es-GT"/>
        </w:rPr>
        <w:t xml:space="preserve">La vertiente del Pacífico contiene 18 cuencas de ríos cortos y de curso rápido e impetuoso. Los principales son el río Suchiate (frontera natural entre México y Guatemala), y el río La Paz (frontera natural entre El Salvador y Guatemala). Los diez ríos que desembocan en el </w:t>
      </w:r>
      <w:r w:rsidR="00351A80" w:rsidRPr="00351A80">
        <w:rPr>
          <w:rFonts w:ascii="Calibri" w:hAnsi="Calibri" w:cs="Optima-Regular"/>
          <w:lang w:val="es-GT"/>
        </w:rPr>
        <w:t>G</w:t>
      </w:r>
      <w:r w:rsidRPr="00351A80">
        <w:rPr>
          <w:rFonts w:ascii="Calibri" w:hAnsi="Calibri" w:cs="Optima-Regular"/>
          <w:lang w:val="es-GT"/>
        </w:rPr>
        <w:t>olfo de Honduras son extensos y profundos, propios para la navegación y la pesca; entre los más importantes están: el río Motagua o río Grande y el Río Dulce, desagüe natural del lago de Izabal. De los diez ríos de la vertiente del Golfo de México sobresalen el río La Pasión y el Chixoy o Negro, afluentes del Usumacinta, el río más largo y caudaloso de América Central, y frontera natural entre Guatemala y México.</w:t>
      </w:r>
    </w:p>
    <w:p w:rsidR="007A58FC" w:rsidRPr="005E3687" w:rsidRDefault="007A58FC" w:rsidP="007A58FC">
      <w:pPr>
        <w:autoSpaceDE w:val="0"/>
        <w:autoSpaceDN w:val="0"/>
        <w:adjustRightInd w:val="0"/>
        <w:ind w:left="360"/>
        <w:jc w:val="both"/>
        <w:rPr>
          <w:rFonts w:ascii="Calibri" w:hAnsi="Calibri" w:cs="Optima-Regular"/>
          <w:color w:val="FF0000"/>
          <w:lang w:val="es-GT"/>
        </w:rPr>
      </w:pPr>
    </w:p>
    <w:p w:rsidR="007A58FC" w:rsidRPr="00351A80" w:rsidRDefault="007A58FC" w:rsidP="007A58FC">
      <w:pPr>
        <w:autoSpaceDE w:val="0"/>
        <w:autoSpaceDN w:val="0"/>
        <w:adjustRightInd w:val="0"/>
        <w:ind w:left="360"/>
        <w:jc w:val="both"/>
        <w:rPr>
          <w:rFonts w:ascii="Calibri" w:hAnsi="Calibri" w:cs="Optima-Regular"/>
          <w:lang w:val="es-GT"/>
        </w:rPr>
      </w:pPr>
      <w:r w:rsidRPr="00351A80">
        <w:rPr>
          <w:rFonts w:ascii="Calibri" w:hAnsi="Calibri" w:cs="Optima-Regular"/>
          <w:lang w:val="es-GT"/>
        </w:rPr>
        <w:t xml:space="preserve">El territorio cuenta con numerosos lagos y lagunas, muchos de origen volcánico, como los lagos de Atitlán y Amatitlán. De origen fluvial destacan el Petén Itzá y el lago de Izabal, que desemboca en el </w:t>
      </w:r>
      <w:r w:rsidR="00351A80" w:rsidRPr="00351A80">
        <w:rPr>
          <w:rFonts w:ascii="Calibri" w:hAnsi="Calibri" w:cs="Optima-Regular"/>
          <w:lang w:val="es-GT"/>
        </w:rPr>
        <w:t>G</w:t>
      </w:r>
      <w:r w:rsidRPr="00351A80">
        <w:rPr>
          <w:rFonts w:ascii="Calibri" w:hAnsi="Calibri" w:cs="Optima-Regular"/>
          <w:lang w:val="es-GT"/>
        </w:rPr>
        <w:t>olfo de Honduras a través del Río Dulce.</w:t>
      </w:r>
    </w:p>
    <w:p w:rsidR="007A58FC" w:rsidRPr="00351A80" w:rsidRDefault="007A58FC" w:rsidP="007A58FC">
      <w:pPr>
        <w:autoSpaceDE w:val="0"/>
        <w:autoSpaceDN w:val="0"/>
        <w:adjustRightInd w:val="0"/>
        <w:ind w:left="360"/>
        <w:jc w:val="both"/>
        <w:rPr>
          <w:rFonts w:ascii="Calibri" w:hAnsi="Calibri" w:cs="Optima-Regular"/>
          <w:lang w:val="es-GT"/>
        </w:rPr>
      </w:pPr>
    </w:p>
    <w:p w:rsidR="007A58FC" w:rsidRPr="00351A80" w:rsidRDefault="007A58FC" w:rsidP="007A58FC">
      <w:pPr>
        <w:autoSpaceDE w:val="0"/>
        <w:autoSpaceDN w:val="0"/>
        <w:adjustRightInd w:val="0"/>
        <w:ind w:left="360"/>
        <w:jc w:val="both"/>
        <w:rPr>
          <w:rFonts w:ascii="Calibri" w:hAnsi="Calibri" w:cs="Optima-Regular"/>
          <w:lang w:val="es-GT"/>
        </w:rPr>
      </w:pPr>
      <w:r w:rsidRPr="00351A80">
        <w:rPr>
          <w:rFonts w:ascii="Calibri" w:hAnsi="Calibri" w:cs="Optima-Regular"/>
          <w:lang w:val="es-GT"/>
        </w:rPr>
        <w:t>El litoral costero de Guatemala tiene una extensión de 402 km. Las costas del mar Caribe, estimadas en 14</w:t>
      </w:r>
      <w:r w:rsidR="00351A80" w:rsidRPr="00351A80">
        <w:rPr>
          <w:rFonts w:ascii="Calibri" w:hAnsi="Calibri" w:cs="Optima-Regular"/>
          <w:lang w:val="es-GT"/>
        </w:rPr>
        <w:t>8 km, están comprendidas en el G</w:t>
      </w:r>
      <w:r w:rsidRPr="00351A80">
        <w:rPr>
          <w:rFonts w:ascii="Calibri" w:hAnsi="Calibri" w:cs="Optima-Regular"/>
          <w:lang w:val="es-GT"/>
        </w:rPr>
        <w:t>olfo de Honduras, donde se encuentra la Bahía de Amatique. El litoral costero del Pacífico es el más extenso, con 254 km.</w:t>
      </w:r>
    </w:p>
    <w:p w:rsidR="007A58FC" w:rsidRPr="00224B57" w:rsidRDefault="007A58FC" w:rsidP="007A58FC">
      <w:pPr>
        <w:spacing w:after="120"/>
        <w:jc w:val="center"/>
        <w:rPr>
          <w:rFonts w:ascii="Calibri" w:eastAsia="Calibri" w:hAnsi="Calibri" w:cs="Calibri"/>
          <w:b/>
          <w:color w:val="365F91"/>
          <w:sz w:val="22"/>
          <w:szCs w:val="22"/>
          <w:lang w:val="es-GT"/>
        </w:rPr>
      </w:pPr>
      <w:bookmarkStart w:id="59" w:name="_Toc347841232"/>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9</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Cuencas hidrográficas de Guatemala</w:t>
      </w:r>
      <w:bookmarkEnd w:id="59"/>
    </w:p>
    <w:p w:rsidR="007A58FC" w:rsidRPr="007A58FC" w:rsidRDefault="00544A9F" w:rsidP="007A58FC">
      <w:pPr>
        <w:ind w:left="360"/>
        <w:jc w:val="both"/>
        <w:rPr>
          <w:rFonts w:ascii="Calibri" w:eastAsia="Calibri" w:hAnsi="Calibri" w:cs="Calibri"/>
          <w:color w:val="FF0000"/>
          <w:lang w:val="es-GT"/>
        </w:rPr>
      </w:pPr>
      <w:r>
        <w:rPr>
          <w:rFonts w:ascii="Calibri" w:eastAsia="Calibri" w:hAnsi="Calibri" w:cs="Calibri"/>
          <w:noProof/>
          <w:color w:val="FF0000"/>
          <w:lang w:val="es-GT" w:eastAsia="es-GT"/>
        </w:rPr>
        <w:drawing>
          <wp:inline distT="0" distB="0" distL="0" distR="0" wp14:anchorId="4C224FFE" wp14:editId="5B639F82">
            <wp:extent cx="6067425" cy="7658100"/>
            <wp:effectExtent l="0" t="0" r="9525" b="0"/>
            <wp:docPr id="14" name="Imagen 14" descr="MAPA_CUEN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PA_CUENCA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7425" cy="7658100"/>
                    </a:xfrm>
                    <a:prstGeom prst="rect">
                      <a:avLst/>
                    </a:prstGeom>
                    <a:noFill/>
                    <a:ln>
                      <a:noFill/>
                    </a:ln>
                  </pic:spPr>
                </pic:pic>
              </a:graphicData>
            </a:graphic>
          </wp:inline>
        </w:drawing>
      </w:r>
    </w:p>
    <w:p w:rsidR="007A58FC" w:rsidRPr="00351A80" w:rsidRDefault="007A58FC" w:rsidP="007A58FC">
      <w:pPr>
        <w:autoSpaceDE w:val="0"/>
        <w:autoSpaceDN w:val="0"/>
        <w:adjustRightInd w:val="0"/>
        <w:ind w:right="468"/>
        <w:jc w:val="right"/>
        <w:rPr>
          <w:rFonts w:ascii="Calibri" w:hAnsi="Calibri" w:cs="Calibri"/>
          <w:sz w:val="20"/>
          <w:szCs w:val="20"/>
          <w:lang w:val="es-GT"/>
        </w:rPr>
      </w:pPr>
      <w:r w:rsidRPr="00351A80">
        <w:rPr>
          <w:rFonts w:ascii="Calibri" w:hAnsi="Calibri" w:cs="Calibri"/>
          <w:sz w:val="20"/>
          <w:szCs w:val="20"/>
          <w:lang w:val="es-GT"/>
        </w:rPr>
        <w:t xml:space="preserve">Fuente: </w:t>
      </w:r>
      <w:r w:rsidR="006B3932">
        <w:rPr>
          <w:rFonts w:ascii="Calibri" w:hAnsi="Calibri" w:cs="Calibri"/>
          <w:sz w:val="20"/>
          <w:szCs w:val="20"/>
          <w:lang w:val="es-GT"/>
        </w:rPr>
        <w:t xml:space="preserve">MARN, IARNA/URL y </w:t>
      </w:r>
      <w:r w:rsidRPr="00351A80">
        <w:rPr>
          <w:rFonts w:ascii="Calibri" w:hAnsi="Calibri" w:cs="Calibri"/>
          <w:sz w:val="20"/>
          <w:szCs w:val="20"/>
          <w:lang w:val="es-GT"/>
        </w:rPr>
        <w:t>PNUD</w:t>
      </w:r>
      <w:r w:rsidR="006B3932">
        <w:rPr>
          <w:rFonts w:ascii="Calibri" w:hAnsi="Calibri" w:cs="Calibri"/>
          <w:sz w:val="20"/>
          <w:szCs w:val="20"/>
          <w:lang w:val="es-GT"/>
        </w:rPr>
        <w:t xml:space="preserve"> (</w:t>
      </w:r>
      <w:r w:rsidRPr="00351A80">
        <w:rPr>
          <w:rFonts w:ascii="Calibri" w:hAnsi="Calibri" w:cs="Calibri"/>
          <w:sz w:val="20"/>
          <w:szCs w:val="20"/>
          <w:lang w:val="es-GT"/>
        </w:rPr>
        <w:t>2009).</w:t>
      </w:r>
    </w:p>
    <w:p w:rsidR="004B76E5" w:rsidRPr="001A01AB" w:rsidRDefault="00BC6134" w:rsidP="007C3C28">
      <w:pPr>
        <w:ind w:left="360"/>
        <w:jc w:val="both"/>
        <w:rPr>
          <w:rFonts w:ascii="Calibri" w:hAnsi="Calibri" w:cs="Calibri"/>
          <w:lang w:val="es-GT"/>
        </w:rPr>
      </w:pPr>
      <w:r>
        <w:rPr>
          <w:rFonts w:ascii="Calibri" w:hAnsi="Calibri" w:cs="Calibri"/>
          <w:lang w:val="es-GT"/>
        </w:rPr>
        <w:lastRenderedPageBreak/>
        <w:t>S</w:t>
      </w:r>
      <w:r w:rsidR="004B76E5" w:rsidRPr="001A01AB">
        <w:rPr>
          <w:rFonts w:ascii="Calibri" w:hAnsi="Calibri" w:cs="Calibri"/>
          <w:lang w:val="es-GT"/>
        </w:rPr>
        <w:t>egún cálculos referidos al 2006, en Guatemala se emplean anualmente 5,143 millones m</w:t>
      </w:r>
      <w:r w:rsidR="004B76E5" w:rsidRPr="001A01AB">
        <w:rPr>
          <w:rFonts w:ascii="Calibri" w:hAnsi="Calibri" w:cs="Calibri"/>
          <w:vertAlign w:val="superscript"/>
          <w:lang w:val="es-GT"/>
        </w:rPr>
        <w:t>3</w:t>
      </w:r>
      <w:r w:rsidR="004B76E5" w:rsidRPr="001A01AB">
        <w:rPr>
          <w:rFonts w:ascii="Calibri" w:hAnsi="Calibri" w:cs="Calibri"/>
          <w:lang w:val="es-GT"/>
        </w:rPr>
        <w:t xml:space="preserve"> de agua, es decir, el 5% del capital hídrico del país (97,120 millones m</w:t>
      </w:r>
      <w:r w:rsidR="004B76E5" w:rsidRPr="001A01AB">
        <w:rPr>
          <w:rFonts w:ascii="Calibri" w:hAnsi="Calibri" w:cs="Calibri"/>
          <w:vertAlign w:val="superscript"/>
          <w:lang w:val="es-GT"/>
        </w:rPr>
        <w:t>3</w:t>
      </w:r>
      <w:r w:rsidR="004B76E5" w:rsidRPr="001A01AB">
        <w:rPr>
          <w:rFonts w:ascii="Calibri" w:hAnsi="Calibri" w:cs="Calibri"/>
          <w:lang w:val="es-GT"/>
        </w:rPr>
        <w:t>) con fines agropecuarios, principalmente para el riego de cereales, caña de azúcar, café, hortalizas y legumbres (3,957 millones de m</w:t>
      </w:r>
      <w:r w:rsidR="004B76E5" w:rsidRPr="001A01AB">
        <w:rPr>
          <w:rFonts w:ascii="Calibri" w:hAnsi="Calibri" w:cs="Calibri"/>
          <w:vertAlign w:val="superscript"/>
          <w:lang w:val="es-GT"/>
        </w:rPr>
        <w:t>3</w:t>
      </w:r>
      <w:r w:rsidR="004B76E5" w:rsidRPr="001A01AB">
        <w:rPr>
          <w:rFonts w:ascii="Calibri" w:hAnsi="Calibri" w:cs="Calibri"/>
          <w:lang w:val="es-GT"/>
        </w:rPr>
        <w:t>, 77%); domésticos (835 millones de m</w:t>
      </w:r>
      <w:r w:rsidR="004B76E5" w:rsidRPr="001A01AB">
        <w:rPr>
          <w:rFonts w:ascii="Calibri" w:hAnsi="Calibri" w:cs="Calibri"/>
          <w:vertAlign w:val="superscript"/>
          <w:lang w:val="es-GT"/>
        </w:rPr>
        <w:t>3</w:t>
      </w:r>
      <w:r w:rsidR="004B76E5" w:rsidRPr="001A01AB">
        <w:rPr>
          <w:rFonts w:ascii="Calibri" w:hAnsi="Calibri" w:cs="Calibri"/>
          <w:lang w:val="es-GT"/>
        </w:rPr>
        <w:t>, 16%)</w:t>
      </w:r>
      <w:r w:rsidR="006B3932">
        <w:rPr>
          <w:rFonts w:ascii="Calibri" w:hAnsi="Calibri" w:cs="Calibri"/>
          <w:lang w:val="es-GT"/>
        </w:rPr>
        <w:t>;</w:t>
      </w:r>
      <w:r w:rsidR="004B76E5" w:rsidRPr="001A01AB">
        <w:rPr>
          <w:rFonts w:ascii="Calibri" w:hAnsi="Calibri" w:cs="Calibri"/>
          <w:lang w:val="es-GT"/>
        </w:rPr>
        <w:t xml:space="preserve"> e industriales u otras actividades de transformación (351 millones de m</w:t>
      </w:r>
      <w:r w:rsidR="004B76E5" w:rsidRPr="00BC6134">
        <w:rPr>
          <w:rFonts w:ascii="Calibri" w:hAnsi="Calibri" w:cs="Calibri"/>
          <w:vertAlign w:val="superscript"/>
          <w:lang w:val="es-GT"/>
        </w:rPr>
        <w:t>3</w:t>
      </w:r>
      <w:r w:rsidR="006B3932">
        <w:rPr>
          <w:rFonts w:ascii="Calibri" w:hAnsi="Calibri" w:cs="Calibri"/>
          <w:lang w:val="es-GT"/>
        </w:rPr>
        <w:t>, 7%) (</w:t>
      </w:r>
      <w:r w:rsidR="004B76E5" w:rsidRPr="001A01AB">
        <w:rPr>
          <w:rFonts w:ascii="Calibri" w:hAnsi="Calibri" w:cs="Calibri"/>
          <w:lang w:val="es-GT"/>
        </w:rPr>
        <w:t>IARNA-</w:t>
      </w:r>
      <w:r w:rsidR="006B3932">
        <w:rPr>
          <w:rFonts w:ascii="Calibri" w:hAnsi="Calibri" w:cs="Calibri"/>
          <w:lang w:val="es-GT"/>
        </w:rPr>
        <w:t xml:space="preserve">URL y </w:t>
      </w:r>
      <w:r w:rsidR="004B76E5" w:rsidRPr="001A01AB">
        <w:rPr>
          <w:rFonts w:ascii="Calibri" w:hAnsi="Calibri" w:cs="Calibri"/>
          <w:lang w:val="es-GT"/>
        </w:rPr>
        <w:t>SEGEPLAN, 2009).</w:t>
      </w:r>
    </w:p>
    <w:p w:rsidR="004B76E5" w:rsidRPr="001A01AB" w:rsidRDefault="004B76E5" w:rsidP="007C3C28">
      <w:pPr>
        <w:ind w:left="360"/>
        <w:jc w:val="both"/>
        <w:rPr>
          <w:rFonts w:ascii="Calibri" w:hAnsi="Calibri" w:cs="Calibri"/>
          <w:lang w:val="es-GT"/>
        </w:rPr>
      </w:pPr>
    </w:p>
    <w:p w:rsidR="004B76E5" w:rsidRPr="001A01AB" w:rsidRDefault="00BC6134" w:rsidP="007C3C28">
      <w:pPr>
        <w:ind w:left="360"/>
        <w:jc w:val="both"/>
        <w:rPr>
          <w:rFonts w:ascii="Calibri" w:hAnsi="Calibri" w:cs="Calibri"/>
          <w:lang w:val="es-GT"/>
        </w:rPr>
      </w:pPr>
      <w:r>
        <w:rPr>
          <w:rFonts w:ascii="Calibri" w:hAnsi="Calibri" w:cs="Calibri"/>
          <w:lang w:val="es-GT"/>
        </w:rPr>
        <w:t>Respecto al abastecimiento de agua para consumo humano</w:t>
      </w:r>
      <w:r w:rsidR="006B3932">
        <w:rPr>
          <w:rFonts w:ascii="Calibri" w:hAnsi="Calibri" w:cs="Calibri"/>
          <w:lang w:val="es-GT"/>
        </w:rPr>
        <w:t>,</w:t>
      </w:r>
      <w:r>
        <w:rPr>
          <w:rFonts w:ascii="Calibri" w:hAnsi="Calibri" w:cs="Calibri"/>
          <w:lang w:val="es-GT"/>
        </w:rPr>
        <w:t xml:space="preserve"> y</w:t>
      </w:r>
      <w:r w:rsidR="00141A70">
        <w:rPr>
          <w:rFonts w:ascii="Calibri" w:hAnsi="Calibri" w:cs="Calibri"/>
          <w:lang w:val="es-GT"/>
        </w:rPr>
        <w:t xml:space="preserve"> </w:t>
      </w:r>
      <w:r w:rsidR="004B76E5" w:rsidRPr="001A01AB">
        <w:rPr>
          <w:rFonts w:ascii="Calibri" w:hAnsi="Calibri" w:cs="Calibri"/>
          <w:lang w:val="es-GT"/>
        </w:rPr>
        <w:t xml:space="preserve">de acuerdo </w:t>
      </w:r>
      <w:r w:rsidR="006B3932">
        <w:rPr>
          <w:rFonts w:ascii="Calibri" w:hAnsi="Calibri" w:cs="Calibri"/>
          <w:lang w:val="es-GT"/>
        </w:rPr>
        <w:t>con</w:t>
      </w:r>
      <w:r w:rsidR="004B76E5" w:rsidRPr="001A01AB">
        <w:rPr>
          <w:rFonts w:ascii="Calibri" w:hAnsi="Calibri" w:cs="Calibri"/>
          <w:lang w:val="es-GT"/>
        </w:rPr>
        <w:t xml:space="preserve"> la información disponible en la ENCOVI 2006, el Gobierno de Guatemala</w:t>
      </w:r>
      <w:r w:rsidR="006B3932">
        <w:rPr>
          <w:rFonts w:ascii="Calibri" w:hAnsi="Calibri" w:cs="Calibri"/>
          <w:lang w:val="es-GT"/>
        </w:rPr>
        <w:t>,</w:t>
      </w:r>
      <w:r w:rsidR="004B76E5" w:rsidRPr="001A01AB">
        <w:rPr>
          <w:rFonts w:ascii="Calibri" w:hAnsi="Calibri" w:cs="Calibri"/>
          <w:lang w:val="es-GT"/>
        </w:rPr>
        <w:t xml:space="preserve"> a través de sus distintas instituciones, realiza una cobertura del 67.8% de los usuarios potenciales. El restante 32.2% de la población se divide en un porcentaje que no cuenta con acceso a agua potable (28.2%) y un porcentaje que es atendido por instituciones privadas</w:t>
      </w:r>
      <w:r w:rsidR="009757CA" w:rsidRPr="001A01AB">
        <w:rPr>
          <w:rFonts w:ascii="Calibri" w:hAnsi="Calibri" w:cs="Calibri"/>
          <w:lang w:val="es-GT"/>
        </w:rPr>
        <w:t xml:space="preserve"> (INE, 2007)</w:t>
      </w:r>
      <w:r w:rsidR="004B76E5" w:rsidRPr="001A01AB">
        <w:rPr>
          <w:rFonts w:ascii="Calibri" w:hAnsi="Calibri" w:cs="Calibri"/>
          <w:lang w:val="es-GT"/>
        </w:rPr>
        <w:t xml:space="preserve">. Para el año 2011, el </w:t>
      </w:r>
      <w:r w:rsidR="006B3932">
        <w:rPr>
          <w:rFonts w:ascii="Calibri" w:hAnsi="Calibri" w:cs="Calibri"/>
          <w:lang w:val="es-GT"/>
        </w:rPr>
        <w:t xml:space="preserve">Perfil Ambiental de Guatemala </w:t>
      </w:r>
      <w:r w:rsidR="004B76E5" w:rsidRPr="001A01AB">
        <w:rPr>
          <w:rFonts w:ascii="Calibri" w:hAnsi="Calibri" w:cs="Calibri"/>
          <w:lang w:val="es-GT"/>
        </w:rPr>
        <w:t xml:space="preserve">reporta que </w:t>
      </w:r>
      <w:r w:rsidR="006B3932">
        <w:rPr>
          <w:rFonts w:ascii="Calibri" w:hAnsi="Calibri" w:cs="Calibri"/>
          <w:lang w:val="es-GT"/>
        </w:rPr>
        <w:t>dicho porcentaje ha disminuido a</w:t>
      </w:r>
      <w:r w:rsidR="004B76E5" w:rsidRPr="001A01AB">
        <w:rPr>
          <w:rFonts w:ascii="Calibri" w:hAnsi="Calibri" w:cs="Calibri"/>
          <w:lang w:val="es-GT"/>
        </w:rPr>
        <w:t xml:space="preserve"> 24.73%. (IARNA-URL, 2012).</w:t>
      </w:r>
    </w:p>
    <w:p w:rsidR="004B76E5" w:rsidRPr="001A01AB" w:rsidRDefault="004B76E5" w:rsidP="007C3C28">
      <w:pPr>
        <w:ind w:left="360"/>
        <w:jc w:val="both"/>
        <w:rPr>
          <w:rFonts w:ascii="Calibri" w:hAnsi="Calibri" w:cs="Calibri"/>
          <w:lang w:val="es-GT"/>
        </w:rPr>
      </w:pPr>
    </w:p>
    <w:p w:rsidR="004B76E5" w:rsidRPr="001A01AB" w:rsidRDefault="004B76E5" w:rsidP="007C3C28">
      <w:pPr>
        <w:ind w:left="360"/>
        <w:jc w:val="both"/>
        <w:rPr>
          <w:rFonts w:ascii="Calibri" w:hAnsi="Calibri" w:cs="Calibri"/>
          <w:lang w:val="es-GT"/>
        </w:rPr>
      </w:pPr>
      <w:r w:rsidRPr="001A01AB">
        <w:rPr>
          <w:rFonts w:ascii="Calibri" w:hAnsi="Calibri" w:cs="Calibri"/>
          <w:lang w:val="es-GT"/>
        </w:rPr>
        <w:t>Hay que considerar que no todos los hogares que acceden a agua entubada tienen garantía de consumir agua potable. De 18,800 sistemas de provisión de agua entubada muestreados en 2008, más del 50% no tuvieron un nivel adecuado de cloro y un 25% presentó contaminación bacteriológica (Sistema de Información Gerencial en Salud -SIGSA- del Ministerio de Salud Pública y Asistencia Social -MSPAS-).</w:t>
      </w:r>
      <w:r w:rsidR="003F295A" w:rsidRPr="001A01AB">
        <w:rPr>
          <w:rFonts w:ascii="Calibri" w:hAnsi="Calibri" w:cs="Calibri"/>
          <w:lang w:val="es-GT"/>
        </w:rPr>
        <w:t xml:space="preserve"> </w:t>
      </w:r>
      <w:r w:rsidRPr="001A01AB">
        <w:rPr>
          <w:rFonts w:ascii="Calibri" w:hAnsi="Calibri" w:cs="Calibri"/>
          <w:lang w:val="es-GT"/>
        </w:rPr>
        <w:t>En Guatemala, el precio financiero y económico del agua es prácticamente igual a cero</w:t>
      </w:r>
      <w:r w:rsidR="006B3932">
        <w:rPr>
          <w:rFonts w:ascii="Calibri" w:hAnsi="Calibri" w:cs="Calibri"/>
          <w:lang w:val="es-GT"/>
        </w:rPr>
        <w:t>,</w:t>
      </w:r>
      <w:r w:rsidRPr="001A01AB">
        <w:rPr>
          <w:rFonts w:ascii="Calibri" w:hAnsi="Calibri" w:cs="Calibri"/>
          <w:lang w:val="es-GT"/>
        </w:rPr>
        <w:t xml:space="preserve"> con excepción del agua potable y raras veces</w:t>
      </w:r>
      <w:r w:rsidR="006B3932">
        <w:rPr>
          <w:rFonts w:ascii="Calibri" w:hAnsi="Calibri" w:cs="Calibri"/>
          <w:lang w:val="es-GT"/>
        </w:rPr>
        <w:t xml:space="preserve"> el agua de riego (</w:t>
      </w:r>
      <w:r w:rsidRPr="001A01AB">
        <w:rPr>
          <w:rFonts w:ascii="Calibri" w:hAnsi="Calibri" w:cs="Calibri"/>
          <w:lang w:val="es-GT"/>
        </w:rPr>
        <w:t>IARNA-</w:t>
      </w:r>
      <w:r w:rsidR="006B3932">
        <w:rPr>
          <w:rFonts w:ascii="Calibri" w:hAnsi="Calibri" w:cs="Calibri"/>
          <w:lang w:val="es-GT"/>
        </w:rPr>
        <w:t xml:space="preserve">URL y </w:t>
      </w:r>
      <w:r w:rsidRPr="001A01AB">
        <w:rPr>
          <w:rFonts w:ascii="Calibri" w:hAnsi="Calibri" w:cs="Calibri"/>
          <w:lang w:val="es-GT"/>
        </w:rPr>
        <w:t>SEGEPLAN, 2009).</w:t>
      </w:r>
    </w:p>
    <w:p w:rsidR="004B76E5" w:rsidRPr="001A01AB" w:rsidRDefault="004B76E5" w:rsidP="007C3C28">
      <w:pPr>
        <w:ind w:left="360"/>
        <w:jc w:val="both"/>
        <w:rPr>
          <w:rFonts w:ascii="Calibri" w:hAnsi="Calibri" w:cs="Calibri"/>
          <w:lang w:val="es-GT"/>
        </w:rPr>
      </w:pPr>
    </w:p>
    <w:p w:rsidR="004B76E5" w:rsidRDefault="004B76E5" w:rsidP="007C3C28">
      <w:pPr>
        <w:ind w:left="360"/>
        <w:jc w:val="both"/>
        <w:rPr>
          <w:rFonts w:ascii="Calibri" w:hAnsi="Calibri" w:cs="Calibri"/>
          <w:lang w:val="es-GT"/>
        </w:rPr>
      </w:pPr>
      <w:r w:rsidRPr="001A01AB">
        <w:rPr>
          <w:rFonts w:ascii="Calibri" w:hAnsi="Calibri" w:cs="Calibri"/>
          <w:lang w:val="es-GT"/>
        </w:rPr>
        <w:t xml:space="preserve">Desde </w:t>
      </w:r>
      <w:r w:rsidR="006F082A">
        <w:rPr>
          <w:rFonts w:ascii="Calibri" w:hAnsi="Calibri" w:cs="Calibri"/>
          <w:lang w:val="es-GT"/>
        </w:rPr>
        <w:t>la</w:t>
      </w:r>
      <w:r w:rsidRPr="001A01AB">
        <w:rPr>
          <w:rFonts w:ascii="Calibri" w:hAnsi="Calibri" w:cs="Calibri"/>
          <w:lang w:val="es-GT"/>
        </w:rPr>
        <w:t xml:space="preserve"> perspectiva </w:t>
      </w:r>
      <w:r w:rsidR="006F082A">
        <w:rPr>
          <w:rFonts w:ascii="Calibri" w:hAnsi="Calibri" w:cs="Calibri"/>
          <w:lang w:val="es-GT"/>
        </w:rPr>
        <w:t xml:space="preserve">sistémica </w:t>
      </w:r>
      <w:r w:rsidRPr="001A01AB">
        <w:rPr>
          <w:rFonts w:ascii="Calibri" w:hAnsi="Calibri" w:cs="Calibri"/>
          <w:lang w:val="es-GT"/>
        </w:rPr>
        <w:t xml:space="preserve">se identificaron y </w:t>
      </w:r>
      <w:r w:rsidR="006F082A">
        <w:rPr>
          <w:rFonts w:ascii="Calibri" w:hAnsi="Calibri" w:cs="Calibri"/>
          <w:lang w:val="es-GT"/>
        </w:rPr>
        <w:t xml:space="preserve">analizaron algunos </w:t>
      </w:r>
      <w:r w:rsidRPr="001A01AB">
        <w:rPr>
          <w:rFonts w:ascii="Calibri" w:hAnsi="Calibri" w:cs="Calibri"/>
          <w:lang w:val="es-GT"/>
        </w:rPr>
        <w:t>indica</w:t>
      </w:r>
      <w:r w:rsidR="006B3932">
        <w:rPr>
          <w:rFonts w:ascii="Calibri" w:hAnsi="Calibri" w:cs="Calibri"/>
          <w:lang w:val="es-GT"/>
        </w:rPr>
        <w:t>dores-señal</w:t>
      </w:r>
      <w:r w:rsidR="006F082A">
        <w:rPr>
          <w:rFonts w:ascii="Calibri" w:hAnsi="Calibri" w:cs="Calibri"/>
          <w:lang w:val="es-GT"/>
        </w:rPr>
        <w:t xml:space="preserve"> vinculados al agua, destacando los siguientes:</w:t>
      </w:r>
    </w:p>
    <w:p w:rsidR="006F082A" w:rsidRPr="001A01AB" w:rsidRDefault="006F082A" w:rsidP="007C3C28">
      <w:pPr>
        <w:ind w:left="360"/>
        <w:jc w:val="both"/>
        <w:rPr>
          <w:rFonts w:ascii="Calibri" w:hAnsi="Calibri" w:cs="Calibri"/>
          <w:lang w:val="es-GT"/>
        </w:rPr>
      </w:pPr>
    </w:p>
    <w:p w:rsidR="004B76E5" w:rsidRDefault="004B76E5" w:rsidP="00E7258A">
      <w:pPr>
        <w:pStyle w:val="Prrafodelista"/>
        <w:numPr>
          <w:ilvl w:val="0"/>
          <w:numId w:val="2"/>
        </w:numPr>
        <w:spacing w:after="0" w:line="240" w:lineRule="auto"/>
        <w:jc w:val="both"/>
        <w:rPr>
          <w:rFonts w:cs="Calibri"/>
          <w:sz w:val="24"/>
          <w:szCs w:val="24"/>
        </w:rPr>
      </w:pPr>
      <w:r w:rsidRPr="001A01AB">
        <w:rPr>
          <w:rFonts w:cs="Calibri"/>
          <w:sz w:val="24"/>
          <w:szCs w:val="24"/>
        </w:rPr>
        <w:t xml:space="preserve">Agua y cobertura vegetal: </w:t>
      </w:r>
      <w:r w:rsidR="006F082A">
        <w:rPr>
          <w:rFonts w:cs="Calibri"/>
          <w:sz w:val="24"/>
          <w:szCs w:val="24"/>
        </w:rPr>
        <w:t xml:space="preserve">solamente el </w:t>
      </w:r>
      <w:r w:rsidRPr="001A01AB">
        <w:rPr>
          <w:rFonts w:cs="Calibri"/>
          <w:sz w:val="24"/>
          <w:szCs w:val="24"/>
        </w:rPr>
        <w:t>38.77% de las tierras forestales de mayor importancia hi</w:t>
      </w:r>
      <w:r w:rsidR="006F082A">
        <w:rPr>
          <w:rFonts w:cs="Calibri"/>
          <w:sz w:val="24"/>
          <w:szCs w:val="24"/>
        </w:rPr>
        <w:t>drológica poseen bosque al 2010.</w:t>
      </w:r>
      <w:r w:rsidR="00141A70">
        <w:rPr>
          <w:rFonts w:cs="Calibri"/>
          <w:sz w:val="24"/>
          <w:szCs w:val="24"/>
        </w:rPr>
        <w:t xml:space="preserve"> </w:t>
      </w:r>
      <w:r w:rsidRPr="001A01AB">
        <w:rPr>
          <w:rFonts w:cs="Calibri"/>
          <w:sz w:val="24"/>
          <w:szCs w:val="24"/>
        </w:rPr>
        <w:t>24% de esta</w:t>
      </w:r>
      <w:r w:rsidR="006F082A">
        <w:rPr>
          <w:rFonts w:cs="Calibri"/>
          <w:sz w:val="24"/>
          <w:szCs w:val="24"/>
        </w:rPr>
        <w:t>s tierras están sobreutilizadas</w:t>
      </w:r>
      <w:r w:rsidR="006B3932">
        <w:rPr>
          <w:rFonts w:cs="Calibri"/>
          <w:sz w:val="24"/>
          <w:szCs w:val="24"/>
        </w:rPr>
        <w:t>,</w:t>
      </w:r>
      <w:r w:rsidR="006F082A">
        <w:rPr>
          <w:rFonts w:cs="Calibri"/>
          <w:sz w:val="24"/>
          <w:szCs w:val="24"/>
        </w:rPr>
        <w:t xml:space="preserve"> lo cual genera un erosión de suelos que puede alcanzar al menos</w:t>
      </w:r>
      <w:r w:rsidR="00141A70">
        <w:rPr>
          <w:rFonts w:cs="Calibri"/>
          <w:sz w:val="24"/>
          <w:szCs w:val="24"/>
        </w:rPr>
        <w:t xml:space="preserve"> </w:t>
      </w:r>
      <w:r w:rsidRPr="001A01AB">
        <w:rPr>
          <w:rFonts w:cs="Calibri"/>
          <w:sz w:val="24"/>
          <w:szCs w:val="24"/>
        </w:rPr>
        <w:t>107.4 millones de toneladas de suelo al año</w:t>
      </w:r>
      <w:r w:rsidR="006F082A">
        <w:rPr>
          <w:rFonts w:cs="Calibri"/>
          <w:sz w:val="24"/>
          <w:szCs w:val="24"/>
        </w:rPr>
        <w:t xml:space="preserve">. </w:t>
      </w:r>
    </w:p>
    <w:p w:rsidR="004B76E5" w:rsidRPr="001A01AB" w:rsidRDefault="004B76E5" w:rsidP="00E7258A">
      <w:pPr>
        <w:pStyle w:val="Prrafodelista"/>
        <w:numPr>
          <w:ilvl w:val="0"/>
          <w:numId w:val="2"/>
        </w:numPr>
        <w:spacing w:after="0" w:line="240" w:lineRule="auto"/>
        <w:jc w:val="both"/>
        <w:rPr>
          <w:rFonts w:cs="Calibri"/>
          <w:sz w:val="24"/>
          <w:szCs w:val="24"/>
        </w:rPr>
      </w:pPr>
      <w:r w:rsidRPr="001A01AB">
        <w:rPr>
          <w:rFonts w:cs="Calibri"/>
          <w:sz w:val="24"/>
          <w:szCs w:val="24"/>
        </w:rPr>
        <w:t>Demanda de agua</w:t>
      </w:r>
      <w:r w:rsidR="006F082A" w:rsidRPr="001A01AB">
        <w:rPr>
          <w:rFonts w:cs="Calibri"/>
          <w:sz w:val="24"/>
          <w:szCs w:val="24"/>
        </w:rPr>
        <w:t xml:space="preserve">: </w:t>
      </w:r>
      <w:r w:rsidR="006F082A">
        <w:rPr>
          <w:rFonts w:cs="Calibri"/>
          <w:sz w:val="24"/>
          <w:szCs w:val="24"/>
        </w:rPr>
        <w:t xml:space="preserve">un promedio nacional </w:t>
      </w:r>
      <w:r w:rsidRPr="001A01AB">
        <w:rPr>
          <w:rFonts w:cs="Calibri"/>
          <w:sz w:val="24"/>
          <w:szCs w:val="24"/>
        </w:rPr>
        <w:t>de 20,000 millones de m</w:t>
      </w:r>
      <w:r w:rsidRPr="006F082A">
        <w:rPr>
          <w:rFonts w:cs="Calibri"/>
          <w:sz w:val="24"/>
          <w:szCs w:val="24"/>
          <w:vertAlign w:val="superscript"/>
        </w:rPr>
        <w:t>3</w:t>
      </w:r>
      <w:r w:rsidRPr="001A01AB">
        <w:rPr>
          <w:rFonts w:cs="Calibri"/>
          <w:sz w:val="24"/>
          <w:szCs w:val="24"/>
        </w:rPr>
        <w:t>/año son usados anualmente con enfoque extractivo</w:t>
      </w:r>
      <w:r w:rsidR="006F082A">
        <w:rPr>
          <w:rFonts w:cs="Calibri"/>
          <w:sz w:val="24"/>
          <w:szCs w:val="24"/>
        </w:rPr>
        <w:t>. La</w:t>
      </w:r>
      <w:r w:rsidRPr="001A01AB">
        <w:rPr>
          <w:rFonts w:cs="Calibri"/>
          <w:sz w:val="24"/>
          <w:szCs w:val="24"/>
        </w:rPr>
        <w:t xml:space="preserve"> cobertura de servicio de agua potable </w:t>
      </w:r>
      <w:r w:rsidR="006F082A">
        <w:rPr>
          <w:rFonts w:cs="Calibri"/>
          <w:sz w:val="24"/>
          <w:szCs w:val="24"/>
        </w:rPr>
        <w:t>abarca a</w:t>
      </w:r>
      <w:r w:rsidRPr="001A01AB">
        <w:rPr>
          <w:rFonts w:cs="Calibri"/>
          <w:sz w:val="24"/>
          <w:szCs w:val="24"/>
        </w:rPr>
        <w:t xml:space="preserve"> 75.25%</w:t>
      </w:r>
      <w:r w:rsidR="006F082A">
        <w:rPr>
          <w:rFonts w:cs="Calibri"/>
          <w:sz w:val="24"/>
          <w:szCs w:val="24"/>
        </w:rPr>
        <w:t xml:space="preserve"> de familias a nivel nacional (</w:t>
      </w:r>
      <w:r w:rsidRPr="001A01AB">
        <w:rPr>
          <w:rFonts w:cs="Calibri"/>
          <w:sz w:val="24"/>
          <w:szCs w:val="24"/>
        </w:rPr>
        <w:t>90.46%</w:t>
      </w:r>
      <w:r w:rsidR="006B3932">
        <w:rPr>
          <w:rFonts w:cs="Calibri"/>
          <w:sz w:val="24"/>
          <w:szCs w:val="24"/>
        </w:rPr>
        <w:t xml:space="preserve"> de las familias en área urbana y </w:t>
      </w:r>
      <w:r w:rsidRPr="001A01AB">
        <w:rPr>
          <w:rFonts w:cs="Calibri"/>
          <w:sz w:val="24"/>
          <w:szCs w:val="24"/>
        </w:rPr>
        <w:t xml:space="preserve"> 58.16% de las familias en área rural</w:t>
      </w:r>
      <w:r w:rsidR="006F082A">
        <w:rPr>
          <w:rFonts w:cs="Calibri"/>
          <w:sz w:val="24"/>
          <w:szCs w:val="24"/>
        </w:rPr>
        <w:t>).</w:t>
      </w:r>
    </w:p>
    <w:p w:rsidR="004B76E5" w:rsidRPr="001A01AB" w:rsidRDefault="004B76E5" w:rsidP="00E7258A">
      <w:pPr>
        <w:pStyle w:val="Prrafodelista"/>
        <w:numPr>
          <w:ilvl w:val="0"/>
          <w:numId w:val="2"/>
        </w:numPr>
        <w:spacing w:after="0" w:line="240" w:lineRule="auto"/>
        <w:jc w:val="both"/>
        <w:rPr>
          <w:rFonts w:cs="Calibri"/>
          <w:sz w:val="24"/>
          <w:szCs w:val="24"/>
        </w:rPr>
      </w:pPr>
      <w:r w:rsidRPr="001A01AB">
        <w:rPr>
          <w:rFonts w:cs="Calibri"/>
          <w:sz w:val="24"/>
          <w:szCs w:val="24"/>
        </w:rPr>
        <w:t>Contaminación de cuerpos de agua: 1</w:t>
      </w:r>
      <w:r w:rsidR="006B3932">
        <w:rPr>
          <w:rFonts w:cs="Calibri"/>
          <w:sz w:val="24"/>
          <w:szCs w:val="24"/>
        </w:rPr>
        <w:t>4 de 38 ríos están contaminados. L</w:t>
      </w:r>
      <w:r w:rsidRPr="001A01AB">
        <w:rPr>
          <w:rFonts w:cs="Calibri"/>
          <w:sz w:val="24"/>
          <w:szCs w:val="24"/>
        </w:rPr>
        <w:t xml:space="preserve">os </w:t>
      </w:r>
      <w:r w:rsidR="006B3932">
        <w:rPr>
          <w:rFonts w:cs="Calibri"/>
          <w:sz w:val="24"/>
          <w:szCs w:val="24"/>
        </w:rPr>
        <w:t>cuatro</w:t>
      </w:r>
      <w:r w:rsidRPr="001A01AB">
        <w:rPr>
          <w:rFonts w:cs="Calibri"/>
          <w:sz w:val="24"/>
          <w:szCs w:val="24"/>
        </w:rPr>
        <w:t xml:space="preserve"> lagos más importantes están altamente contaminados y </w:t>
      </w:r>
      <w:r w:rsidR="00A04815" w:rsidRPr="001A01AB">
        <w:rPr>
          <w:rFonts w:cs="Calibri"/>
          <w:sz w:val="24"/>
          <w:szCs w:val="24"/>
        </w:rPr>
        <w:t>eutrofizados</w:t>
      </w:r>
      <w:r w:rsidRPr="001A01AB">
        <w:rPr>
          <w:rFonts w:cs="Calibri"/>
          <w:sz w:val="24"/>
          <w:szCs w:val="24"/>
        </w:rPr>
        <w:t>.</w:t>
      </w:r>
    </w:p>
    <w:p w:rsidR="004B76E5" w:rsidRPr="001A01AB" w:rsidRDefault="004B76E5" w:rsidP="00E7258A">
      <w:pPr>
        <w:pStyle w:val="Prrafodelista"/>
        <w:numPr>
          <w:ilvl w:val="0"/>
          <w:numId w:val="2"/>
        </w:numPr>
        <w:spacing w:after="0" w:line="240" w:lineRule="auto"/>
        <w:jc w:val="both"/>
        <w:rPr>
          <w:rFonts w:cs="Calibri"/>
          <w:sz w:val="24"/>
          <w:szCs w:val="24"/>
        </w:rPr>
      </w:pPr>
      <w:r w:rsidRPr="001A01AB">
        <w:rPr>
          <w:rFonts w:cs="Calibri"/>
          <w:sz w:val="24"/>
          <w:szCs w:val="24"/>
        </w:rPr>
        <w:t xml:space="preserve">Incidencia a enfermedades asociadas </w:t>
      </w:r>
      <w:r w:rsidR="006B3932">
        <w:rPr>
          <w:rFonts w:cs="Calibri"/>
          <w:sz w:val="24"/>
          <w:szCs w:val="24"/>
        </w:rPr>
        <w:t>con</w:t>
      </w:r>
      <w:r w:rsidRPr="001A01AB">
        <w:rPr>
          <w:rFonts w:cs="Calibri"/>
          <w:sz w:val="24"/>
          <w:szCs w:val="24"/>
        </w:rPr>
        <w:t xml:space="preserve"> la</w:t>
      </w:r>
      <w:r w:rsidR="006B3932">
        <w:rPr>
          <w:rFonts w:cs="Calibri"/>
          <w:sz w:val="24"/>
          <w:szCs w:val="24"/>
        </w:rPr>
        <w:t xml:space="preserve"> calidad de agua: </w:t>
      </w:r>
      <w:r w:rsidRPr="001A01AB">
        <w:rPr>
          <w:rFonts w:cs="Calibri"/>
          <w:sz w:val="24"/>
          <w:szCs w:val="24"/>
        </w:rPr>
        <w:t>37.22/1000 habitantes; incidencia en casos mortales</w:t>
      </w:r>
      <w:r w:rsidR="006B3932">
        <w:rPr>
          <w:rFonts w:cs="Calibri"/>
          <w:sz w:val="24"/>
          <w:szCs w:val="24"/>
        </w:rPr>
        <w:t>:</w:t>
      </w:r>
      <w:r w:rsidRPr="001A01AB">
        <w:rPr>
          <w:rFonts w:cs="Calibri"/>
          <w:sz w:val="24"/>
          <w:szCs w:val="24"/>
        </w:rPr>
        <w:t xml:space="preserve"> 0.75/1000 habitant</w:t>
      </w:r>
      <w:r w:rsidR="006B3932">
        <w:rPr>
          <w:rFonts w:cs="Calibri"/>
          <w:sz w:val="24"/>
          <w:szCs w:val="24"/>
        </w:rPr>
        <w:t>es; mortalidad infantil al 2010:</w:t>
      </w:r>
      <w:r w:rsidRPr="001A01AB">
        <w:rPr>
          <w:rFonts w:cs="Calibri"/>
          <w:sz w:val="24"/>
          <w:szCs w:val="24"/>
        </w:rPr>
        <w:t xml:space="preserve"> 236 casos.</w:t>
      </w:r>
      <w:r w:rsidR="003F295A" w:rsidRPr="001A01AB">
        <w:rPr>
          <w:rFonts w:cs="Calibri"/>
          <w:sz w:val="24"/>
          <w:szCs w:val="24"/>
        </w:rPr>
        <w:t xml:space="preserve"> </w:t>
      </w:r>
      <w:r w:rsidRPr="001A01AB">
        <w:rPr>
          <w:rFonts w:cs="Calibri"/>
          <w:sz w:val="24"/>
          <w:szCs w:val="24"/>
        </w:rPr>
        <w:t>Este es el único indicador-señal positivo, ya que presentó una reducción en su incidencia.</w:t>
      </w:r>
    </w:p>
    <w:p w:rsidR="004B76E5" w:rsidRPr="001A01AB" w:rsidRDefault="004B76E5" w:rsidP="00E7258A">
      <w:pPr>
        <w:pStyle w:val="Prrafodelista"/>
        <w:numPr>
          <w:ilvl w:val="0"/>
          <w:numId w:val="2"/>
        </w:numPr>
        <w:spacing w:after="0" w:line="240" w:lineRule="auto"/>
        <w:jc w:val="both"/>
        <w:rPr>
          <w:rFonts w:cs="Calibri"/>
          <w:sz w:val="24"/>
          <w:szCs w:val="24"/>
        </w:rPr>
      </w:pPr>
      <w:r w:rsidRPr="001A01AB">
        <w:rPr>
          <w:rFonts w:cs="Calibri"/>
          <w:sz w:val="24"/>
          <w:szCs w:val="24"/>
        </w:rPr>
        <w:t xml:space="preserve">Dinámica de la institucionalidad pública relacionada con el agua: </w:t>
      </w:r>
      <w:r w:rsidR="006F082A">
        <w:rPr>
          <w:rFonts w:cs="Calibri"/>
          <w:sz w:val="24"/>
          <w:szCs w:val="24"/>
        </w:rPr>
        <w:t>se ha formulado un</w:t>
      </w:r>
      <w:r w:rsidRPr="001A01AB">
        <w:rPr>
          <w:rFonts w:cs="Calibri"/>
          <w:sz w:val="24"/>
          <w:szCs w:val="24"/>
        </w:rPr>
        <w:t xml:space="preserve"> plan multisectorial de ambiente y agua</w:t>
      </w:r>
      <w:r w:rsidR="006F082A">
        <w:rPr>
          <w:rFonts w:cs="Calibri"/>
          <w:sz w:val="24"/>
          <w:szCs w:val="24"/>
        </w:rPr>
        <w:t xml:space="preserve"> y una</w:t>
      </w:r>
      <w:r w:rsidRPr="001A01AB">
        <w:rPr>
          <w:rFonts w:cs="Calibri"/>
          <w:sz w:val="24"/>
          <w:szCs w:val="24"/>
        </w:rPr>
        <w:t xml:space="preserve"> política nacional de agua.</w:t>
      </w:r>
      <w:r w:rsidR="003F295A" w:rsidRPr="001A01AB">
        <w:rPr>
          <w:rFonts w:cs="Calibri"/>
          <w:sz w:val="24"/>
          <w:szCs w:val="24"/>
        </w:rPr>
        <w:t xml:space="preserve"> </w:t>
      </w:r>
      <w:r w:rsidR="006F082A">
        <w:rPr>
          <w:rFonts w:cs="Calibri"/>
          <w:sz w:val="24"/>
          <w:szCs w:val="24"/>
        </w:rPr>
        <w:t>Sin embargo, su nivel de aplicación es limitado</w:t>
      </w:r>
      <w:r w:rsidR="006B3932">
        <w:rPr>
          <w:rFonts w:cs="Calibri"/>
          <w:sz w:val="24"/>
          <w:szCs w:val="24"/>
        </w:rPr>
        <w:t>,</w:t>
      </w:r>
      <w:r w:rsidR="006F082A">
        <w:rPr>
          <w:rFonts w:cs="Calibri"/>
          <w:sz w:val="24"/>
          <w:szCs w:val="24"/>
        </w:rPr>
        <w:t xml:space="preserve"> pues no hay una institucionalidad </w:t>
      </w:r>
      <w:r w:rsidR="001C33BB">
        <w:rPr>
          <w:rFonts w:cs="Calibri"/>
          <w:sz w:val="24"/>
          <w:szCs w:val="24"/>
        </w:rPr>
        <w:t>específica</w:t>
      </w:r>
      <w:r w:rsidR="006F082A">
        <w:rPr>
          <w:rFonts w:cs="Calibri"/>
          <w:sz w:val="24"/>
          <w:szCs w:val="24"/>
        </w:rPr>
        <w:t xml:space="preserve"> encargada de la gestión integral del recurso.</w:t>
      </w:r>
    </w:p>
    <w:p w:rsidR="004B76E5" w:rsidRPr="001A01AB" w:rsidRDefault="004B76E5" w:rsidP="007C3C28">
      <w:pPr>
        <w:ind w:left="360"/>
        <w:jc w:val="both"/>
        <w:rPr>
          <w:rFonts w:ascii="Calibri" w:hAnsi="Calibri" w:cs="Calibri"/>
          <w:lang w:val="es-GT"/>
        </w:rPr>
      </w:pPr>
    </w:p>
    <w:p w:rsidR="006B3932" w:rsidRDefault="001C33BB" w:rsidP="001C33BB">
      <w:pPr>
        <w:pStyle w:val="Textosinformato"/>
        <w:ind w:left="708"/>
        <w:jc w:val="both"/>
        <w:rPr>
          <w:rStyle w:val="eacep1"/>
          <w:rFonts w:ascii="Calibri" w:eastAsia="Arial Unicode MS" w:hAnsi="Calibri" w:cs="Calibri"/>
          <w:sz w:val="24"/>
          <w:szCs w:val="24"/>
          <w:lang w:val="es-MX"/>
        </w:rPr>
      </w:pPr>
      <w:r w:rsidRPr="001C33BB">
        <w:rPr>
          <w:rStyle w:val="eacep1"/>
          <w:rFonts w:ascii="Calibri" w:eastAsia="Arial Unicode MS" w:hAnsi="Calibri" w:cs="Calibri"/>
          <w:sz w:val="24"/>
          <w:szCs w:val="24"/>
        </w:rPr>
        <w:lastRenderedPageBreak/>
        <w:t>En síntesis, es preciso definir marcos de política pública, así como instrumentos legales</w:t>
      </w:r>
      <w:r w:rsidR="00141A70">
        <w:rPr>
          <w:rStyle w:val="eacep1"/>
          <w:rFonts w:ascii="Calibri" w:eastAsia="Arial Unicode MS" w:hAnsi="Calibri" w:cs="Calibri"/>
          <w:sz w:val="24"/>
          <w:szCs w:val="24"/>
        </w:rPr>
        <w:t xml:space="preserve"> </w:t>
      </w:r>
      <w:r w:rsidRPr="001C33BB">
        <w:rPr>
          <w:rStyle w:val="eacep1"/>
          <w:rFonts w:ascii="Calibri" w:eastAsia="Arial Unicode MS" w:hAnsi="Calibri" w:cs="Calibri"/>
          <w:sz w:val="24"/>
          <w:szCs w:val="24"/>
        </w:rPr>
        <w:t xml:space="preserve">e institucionales que asuman una </w:t>
      </w:r>
      <w:r w:rsidRPr="001C33BB">
        <w:rPr>
          <w:rStyle w:val="eacep1"/>
          <w:rFonts w:ascii="Calibri" w:eastAsia="Arial Unicode MS" w:hAnsi="Calibri" w:cs="Calibri"/>
          <w:b/>
          <w:i/>
          <w:sz w:val="24"/>
          <w:szCs w:val="24"/>
        </w:rPr>
        <w:t>visión nacional</w:t>
      </w:r>
      <w:r w:rsidRPr="001C33BB">
        <w:rPr>
          <w:rStyle w:val="eacep1"/>
          <w:rFonts w:ascii="Calibri" w:eastAsia="Arial Unicode MS" w:hAnsi="Calibri" w:cs="Calibri"/>
          <w:sz w:val="24"/>
          <w:szCs w:val="24"/>
        </w:rPr>
        <w:t xml:space="preserve"> y una </w:t>
      </w:r>
      <w:r w:rsidRPr="001C33BB">
        <w:rPr>
          <w:rStyle w:val="eacep1"/>
          <w:rFonts w:ascii="Calibri" w:eastAsia="Arial Unicode MS" w:hAnsi="Calibri" w:cs="Calibri"/>
          <w:b/>
          <w:i/>
          <w:sz w:val="24"/>
          <w:szCs w:val="24"/>
        </w:rPr>
        <w:t>gestión territorial</w:t>
      </w:r>
      <w:r w:rsidRPr="001C33BB">
        <w:rPr>
          <w:rStyle w:val="eacep1"/>
          <w:rFonts w:ascii="Calibri" w:eastAsia="Arial Unicode MS" w:hAnsi="Calibri" w:cs="Calibri"/>
          <w:sz w:val="24"/>
          <w:szCs w:val="24"/>
        </w:rPr>
        <w:t>. La primera para asegurar equidad entre territorios y usuarios, la segunda para encarar desafíos concretos. El país necesita “obras hidráulicas” de envergadura consistente con las necesidades de captura y conducción establecidos por la demanda</w:t>
      </w:r>
      <w:r w:rsidR="006B3932">
        <w:rPr>
          <w:rStyle w:val="eacep1"/>
          <w:rFonts w:ascii="Calibri" w:eastAsia="Arial Unicode MS" w:hAnsi="Calibri" w:cs="Calibri"/>
          <w:sz w:val="24"/>
          <w:szCs w:val="24"/>
          <w:lang w:val="es-MX"/>
        </w:rPr>
        <w:t>,</w:t>
      </w:r>
      <w:r w:rsidRPr="001C33BB">
        <w:rPr>
          <w:rStyle w:val="eacep1"/>
          <w:rFonts w:ascii="Calibri" w:eastAsia="Arial Unicode MS" w:hAnsi="Calibri" w:cs="Calibri"/>
          <w:sz w:val="24"/>
          <w:szCs w:val="24"/>
        </w:rPr>
        <w:t xml:space="preserve"> y en consideración de determinada oferta. Estas obras también permitirán minimizar la “exposición al riesgo” que se maximiza en los periodos de abundante agua</w:t>
      </w:r>
      <w:r w:rsidR="006B3932">
        <w:rPr>
          <w:rStyle w:val="eacep1"/>
          <w:rFonts w:ascii="Calibri" w:eastAsia="Arial Unicode MS" w:hAnsi="Calibri" w:cs="Calibri"/>
          <w:sz w:val="24"/>
          <w:szCs w:val="24"/>
          <w:lang w:val="es-MX"/>
        </w:rPr>
        <w:t>,</w:t>
      </w:r>
      <w:r w:rsidRPr="001C33BB">
        <w:rPr>
          <w:rStyle w:val="eacep1"/>
          <w:rFonts w:ascii="Calibri" w:eastAsia="Arial Unicode MS" w:hAnsi="Calibri" w:cs="Calibri"/>
          <w:sz w:val="24"/>
          <w:szCs w:val="24"/>
        </w:rPr>
        <w:t xml:space="preserve"> y que afecta a las personas y sus medios de vida. </w:t>
      </w:r>
    </w:p>
    <w:p w:rsidR="006B3932" w:rsidRDefault="006B3932" w:rsidP="001C33BB">
      <w:pPr>
        <w:pStyle w:val="Textosinformato"/>
        <w:ind w:left="708"/>
        <w:jc w:val="both"/>
        <w:rPr>
          <w:rStyle w:val="eacep1"/>
          <w:rFonts w:ascii="Calibri" w:eastAsia="Arial Unicode MS" w:hAnsi="Calibri" w:cs="Calibri"/>
          <w:sz w:val="24"/>
          <w:szCs w:val="24"/>
          <w:lang w:val="es-MX"/>
        </w:rPr>
      </w:pPr>
    </w:p>
    <w:p w:rsidR="006B3932" w:rsidRDefault="001C33BB" w:rsidP="001C33BB">
      <w:pPr>
        <w:pStyle w:val="Textosinformato"/>
        <w:ind w:left="708"/>
        <w:jc w:val="both"/>
        <w:rPr>
          <w:rStyle w:val="eacep1"/>
          <w:rFonts w:ascii="Calibri" w:eastAsia="Arial Unicode MS" w:hAnsi="Calibri" w:cs="Calibri"/>
          <w:sz w:val="24"/>
          <w:szCs w:val="24"/>
          <w:lang w:val="es-MX"/>
        </w:rPr>
      </w:pPr>
      <w:r w:rsidRPr="001C33BB">
        <w:rPr>
          <w:rStyle w:val="eacep1"/>
          <w:rFonts w:ascii="Calibri" w:eastAsia="Arial Unicode MS" w:hAnsi="Calibri" w:cs="Calibri"/>
          <w:sz w:val="24"/>
          <w:szCs w:val="24"/>
        </w:rPr>
        <w:t xml:space="preserve">En los territorios, como “unidades básicas de gestión” del agua, además del desarrollo hidráulico, se deben gestionar los elementos naturales que viabilizan el ciclo hidrológico, principalmente la permanencia o recuperación de la vegetación en zonas de regulación hídrica. En estos territorios se requiere, sobretodo, de liderazgos políticos capaces de convocar y mantener la unidad de todos los actores vinculados a la oferta y la demanda del agua. </w:t>
      </w:r>
    </w:p>
    <w:p w:rsidR="006B3932" w:rsidRDefault="006B3932" w:rsidP="001C33BB">
      <w:pPr>
        <w:pStyle w:val="Textosinformato"/>
        <w:ind w:left="708"/>
        <w:jc w:val="both"/>
        <w:rPr>
          <w:rStyle w:val="eacep1"/>
          <w:rFonts w:ascii="Calibri" w:eastAsia="Arial Unicode MS" w:hAnsi="Calibri" w:cs="Calibri"/>
          <w:sz w:val="24"/>
          <w:szCs w:val="24"/>
          <w:lang w:val="es-MX"/>
        </w:rPr>
      </w:pPr>
    </w:p>
    <w:p w:rsidR="001C33BB" w:rsidRPr="001C33BB" w:rsidRDefault="001C33BB" w:rsidP="001C33BB">
      <w:pPr>
        <w:pStyle w:val="Textosinformato"/>
        <w:ind w:left="708"/>
        <w:jc w:val="both"/>
        <w:rPr>
          <w:rFonts w:ascii="Calibri" w:hAnsi="Calibri" w:cs="Calibri"/>
          <w:color w:val="000000"/>
          <w:sz w:val="24"/>
          <w:szCs w:val="24"/>
        </w:rPr>
      </w:pPr>
      <w:r w:rsidRPr="001C33BB">
        <w:rPr>
          <w:rStyle w:val="eacep1"/>
          <w:rFonts w:ascii="Calibri" w:eastAsia="Arial Unicode MS" w:hAnsi="Calibri" w:cs="Calibri"/>
          <w:sz w:val="24"/>
          <w:szCs w:val="24"/>
        </w:rPr>
        <w:t xml:space="preserve">Finalmente, vale la pena considerar que, siendo al agua un “recurso” y también una “condición” que trasciende parcelas, fincas, ejidos, bosques comunales, municipios, incluso fronteras nacionales, no hay interés parcial alguno que pueda, por sí solo, garantizar su gestión. Estas características del agua y las crisis, que ya son cotidianas para miles de demandantes, deben ser el móvil para abandonar, más temprano que tarde, enfoques cortoplacistas y esas conductas arraigadas de “sálvese quien pueda”. Es necesario hacer alianzas público-privadas para gestionar territorios completos que permitan asegurar el preciado líquido para todos los usos en el largo plazo. El agua debe unir, no nos empeñemos en dividir patrones naturales. Puntualmente, y </w:t>
      </w:r>
      <w:r w:rsidRPr="001C33BB">
        <w:rPr>
          <w:rFonts w:ascii="Calibri" w:hAnsi="Calibri" w:cs="Calibri"/>
          <w:sz w:val="24"/>
          <w:szCs w:val="24"/>
        </w:rPr>
        <w:t xml:space="preserve">en la dimensión de acceso, se deberá fortalecer la institucionalidad del sector agua y saneamiento; promover el riego de pequeña escala en el marco del impulso a las economías campesinas; y promover reservorios familiares de agua, principalmente. </w:t>
      </w:r>
    </w:p>
    <w:p w:rsidR="004B76E5" w:rsidRDefault="004B76E5" w:rsidP="007C3C28">
      <w:pPr>
        <w:ind w:left="360"/>
        <w:jc w:val="both"/>
        <w:rPr>
          <w:rFonts w:ascii="Calibri" w:hAnsi="Calibri" w:cs="Calibri"/>
          <w:lang w:val="es-GT"/>
        </w:rPr>
      </w:pPr>
    </w:p>
    <w:p w:rsidR="004B76E5" w:rsidRPr="00523BC1" w:rsidRDefault="00523BC1" w:rsidP="006B0A31">
      <w:pPr>
        <w:pStyle w:val="Prrafodelista"/>
        <w:numPr>
          <w:ilvl w:val="3"/>
          <w:numId w:val="51"/>
        </w:numPr>
        <w:jc w:val="both"/>
        <w:rPr>
          <w:rFonts w:cs="Calibri"/>
          <w:b/>
          <w:color w:val="365F91"/>
        </w:rPr>
      </w:pPr>
      <w:r w:rsidRPr="00523BC1">
        <w:rPr>
          <w:rFonts w:cs="Calibri"/>
          <w:b/>
          <w:color w:val="365F91"/>
        </w:rPr>
        <w:t xml:space="preserve"> </w:t>
      </w:r>
      <w:r w:rsidR="00DE578B" w:rsidRPr="00523BC1">
        <w:rPr>
          <w:rFonts w:cs="Calibri"/>
          <w:b/>
          <w:color w:val="365F91"/>
        </w:rPr>
        <w:t>Componente</w:t>
      </w:r>
      <w:r w:rsidR="00181C38" w:rsidRPr="00523BC1">
        <w:rPr>
          <w:rFonts w:cs="Calibri"/>
          <w:b/>
          <w:color w:val="365F91"/>
        </w:rPr>
        <w:t xml:space="preserve"> </w:t>
      </w:r>
      <w:r w:rsidR="0076720D" w:rsidRPr="00523BC1">
        <w:rPr>
          <w:rFonts w:cs="Calibri"/>
          <w:b/>
          <w:color w:val="365F91"/>
        </w:rPr>
        <w:t>de tierras y su relación con la economía nacional</w:t>
      </w:r>
    </w:p>
    <w:p w:rsidR="006A0601" w:rsidRPr="0076720D" w:rsidRDefault="006A0601" w:rsidP="0076720D">
      <w:pPr>
        <w:ind w:left="360"/>
        <w:jc w:val="both"/>
        <w:rPr>
          <w:rFonts w:ascii="Calibri" w:hAnsi="Calibri" w:cs="Calibri"/>
          <w:lang w:val="es-GT"/>
        </w:rPr>
      </w:pPr>
      <w:r w:rsidRPr="0076720D">
        <w:rPr>
          <w:rFonts w:ascii="Calibri" w:hAnsi="Calibri" w:cs="Calibri"/>
          <w:lang w:val="es-GT"/>
        </w:rPr>
        <w:t xml:space="preserve">La erosión de los suelos está relacionada con el tipo de cobertura, grado de pendiente y uso del suelo. La vertiente del Pacífico está sujeta a un proceso de erosión más acentuado (710 t/ha/año), que la </w:t>
      </w:r>
      <w:r w:rsidR="001C33BB" w:rsidRPr="0076720D">
        <w:rPr>
          <w:rFonts w:ascii="Calibri" w:hAnsi="Calibri" w:cs="Calibri"/>
          <w:lang w:val="es-GT"/>
        </w:rPr>
        <w:t>expone</w:t>
      </w:r>
      <w:r w:rsidRPr="0076720D">
        <w:rPr>
          <w:rFonts w:ascii="Calibri" w:hAnsi="Calibri" w:cs="Calibri"/>
          <w:lang w:val="es-GT"/>
        </w:rPr>
        <w:t xml:space="preserve"> </w:t>
      </w:r>
      <w:r w:rsidR="001C33BB" w:rsidRPr="0076720D">
        <w:rPr>
          <w:rFonts w:ascii="Calibri" w:hAnsi="Calibri" w:cs="Calibri"/>
          <w:lang w:val="es-GT"/>
        </w:rPr>
        <w:t xml:space="preserve">a procesos erosivos más altos </w:t>
      </w:r>
      <w:r w:rsidRPr="0076720D">
        <w:rPr>
          <w:rFonts w:ascii="Calibri" w:hAnsi="Calibri" w:cs="Calibri"/>
          <w:lang w:val="es-GT"/>
        </w:rPr>
        <w:t>que la vertiente del golfo de México (330 t/ha/año) y casi seis veces más que la vertiente del Atlántico (122 t/ha/año) (IARNA-URL y SEGEPLAN, 2009).</w:t>
      </w:r>
    </w:p>
    <w:p w:rsidR="006A0601" w:rsidRPr="0076720D" w:rsidRDefault="006A0601" w:rsidP="0076720D">
      <w:pPr>
        <w:ind w:left="360"/>
        <w:jc w:val="both"/>
        <w:rPr>
          <w:rFonts w:ascii="Calibri" w:hAnsi="Calibri" w:cs="Calibri"/>
          <w:lang w:val="es-GT"/>
        </w:rPr>
      </w:pPr>
    </w:p>
    <w:p w:rsidR="000F73BE" w:rsidRPr="0076720D" w:rsidRDefault="001C33BB" w:rsidP="0076720D">
      <w:pPr>
        <w:ind w:left="360"/>
        <w:jc w:val="both"/>
        <w:rPr>
          <w:rStyle w:val="eacep1"/>
          <w:rFonts w:ascii="Calibri" w:hAnsi="Calibri" w:cs="Calibri"/>
          <w:lang w:val="es-GT"/>
        </w:rPr>
      </w:pPr>
      <w:r w:rsidRPr="0076720D">
        <w:rPr>
          <w:rStyle w:val="eacep1"/>
          <w:rFonts w:ascii="Calibri" w:hAnsi="Calibri" w:cs="Calibri"/>
          <w:lang w:val="es-GT"/>
        </w:rPr>
        <w:t>El suelo es el sustrato fundamental para viabilizar las actividades agropecuarias del país y satisfacer objetivos alimentarios y de generación de ingresos. Su manejo adecuado sólo será posible en el marco de unidades de producción, independientemente de su tamaño, donde se gestionan integralmente bajo un enfoque de agro-sistemas.</w:t>
      </w:r>
    </w:p>
    <w:p w:rsidR="000F73BE" w:rsidRPr="0076720D" w:rsidRDefault="000F73BE" w:rsidP="0076720D">
      <w:pPr>
        <w:ind w:left="360"/>
        <w:jc w:val="both"/>
        <w:rPr>
          <w:rStyle w:val="eacep1"/>
          <w:rFonts w:ascii="Calibri" w:hAnsi="Calibri" w:cs="Calibri"/>
          <w:lang w:val="es-GT"/>
        </w:rPr>
      </w:pPr>
    </w:p>
    <w:p w:rsidR="000F73BE" w:rsidRPr="0076720D" w:rsidRDefault="000F73BE" w:rsidP="0076720D">
      <w:pPr>
        <w:ind w:left="360"/>
        <w:jc w:val="both"/>
        <w:rPr>
          <w:rFonts w:ascii="Calibri" w:hAnsi="Calibri" w:cs="Calibri"/>
          <w:lang w:val="es-GT"/>
        </w:rPr>
      </w:pPr>
      <w:r w:rsidRPr="0076720D">
        <w:rPr>
          <w:rFonts w:ascii="Calibri" w:hAnsi="Calibri" w:cs="Calibri"/>
          <w:lang w:val="es-GT"/>
        </w:rPr>
        <w:t>La economía de Guatemala está fuertemente vinculada a la producción en el agro. Alrededor del 36% de la población ocupada en el país labora en la agricultura, mientr</w:t>
      </w:r>
      <w:r w:rsidR="006B3932">
        <w:rPr>
          <w:rFonts w:ascii="Calibri" w:hAnsi="Calibri" w:cs="Calibri"/>
          <w:lang w:val="es-GT"/>
        </w:rPr>
        <w:t>as que en la industria es el 20.</w:t>
      </w:r>
      <w:r w:rsidRPr="0076720D">
        <w:rPr>
          <w:rFonts w:ascii="Calibri" w:hAnsi="Calibri" w:cs="Calibri"/>
          <w:lang w:val="es-GT"/>
        </w:rPr>
        <w:t>2% y en los servicios el 43</w:t>
      </w:r>
      <w:r w:rsidR="006B3932">
        <w:rPr>
          <w:rFonts w:ascii="Calibri" w:hAnsi="Calibri" w:cs="Calibri"/>
          <w:lang w:val="es-GT"/>
        </w:rPr>
        <w:t>.</w:t>
      </w:r>
      <w:r w:rsidRPr="0076720D">
        <w:rPr>
          <w:rFonts w:ascii="Calibri" w:hAnsi="Calibri" w:cs="Calibri"/>
          <w:lang w:val="es-GT"/>
        </w:rPr>
        <w:t xml:space="preserve">7%. Es decir, las actividades agrícolas absorben una </w:t>
      </w:r>
      <w:r w:rsidRPr="0076720D">
        <w:rPr>
          <w:rFonts w:ascii="Calibri" w:hAnsi="Calibri" w:cs="Calibri"/>
          <w:lang w:val="es-GT"/>
        </w:rPr>
        <w:lastRenderedPageBreak/>
        <w:t>buena proporción de la mano de obra, a la que se paga los salarios más bajos. El salario mínimo agrícola cubre únicamente el 51% de la canasta básica vital.</w:t>
      </w:r>
    </w:p>
    <w:p w:rsidR="000F73BE" w:rsidRPr="0076720D" w:rsidRDefault="000F73BE" w:rsidP="0076720D">
      <w:pPr>
        <w:ind w:left="360"/>
        <w:jc w:val="both"/>
        <w:rPr>
          <w:rFonts w:ascii="Calibri" w:hAnsi="Calibri" w:cs="Calibri"/>
          <w:lang w:val="es-GT"/>
        </w:rPr>
      </w:pPr>
    </w:p>
    <w:p w:rsidR="000F73BE" w:rsidRPr="0076720D" w:rsidRDefault="000F73BE" w:rsidP="0076720D">
      <w:pPr>
        <w:ind w:left="360"/>
        <w:jc w:val="both"/>
        <w:rPr>
          <w:rFonts w:ascii="Calibri" w:hAnsi="Calibri" w:cs="Calibri"/>
          <w:lang w:val="es-GT"/>
        </w:rPr>
      </w:pPr>
      <w:r w:rsidRPr="0076720D">
        <w:rPr>
          <w:rFonts w:ascii="Calibri" w:hAnsi="Calibri" w:cs="Calibri"/>
          <w:lang w:val="es-GT"/>
        </w:rPr>
        <w:t>Pese a la importancia de la agricultura en la economía del país, la característica principal de la estructura agraria es una extrema desigualdad en la distribución de la tierra. De acuerdo con los datos del último Censo Nacional Agropecuario (2003), Guatemala tiene uno de los coeficientes de Gini de concentración de la tierra más altos a nivel mundial,</w:t>
      </w:r>
      <w:r w:rsidR="00141A70">
        <w:rPr>
          <w:rFonts w:ascii="Calibri" w:hAnsi="Calibri" w:cs="Calibri"/>
          <w:lang w:val="es-GT"/>
        </w:rPr>
        <w:t xml:space="preserve"> </w:t>
      </w:r>
      <w:r w:rsidRPr="0076720D">
        <w:rPr>
          <w:rFonts w:ascii="Calibri" w:hAnsi="Calibri" w:cs="Calibri"/>
          <w:lang w:val="es-GT"/>
        </w:rPr>
        <w:t>y es el segundo en Latinoamérica: 0.785, apenas levemente inferior a 1979 cuando se situó en 0.814 (</w:t>
      </w:r>
      <w:r w:rsidRPr="000D7E14">
        <w:rPr>
          <w:rFonts w:ascii="Calibri" w:hAnsi="Calibri" w:cs="Calibri"/>
          <w:highlight w:val="magenta"/>
          <w:lang w:val="es-GT"/>
        </w:rPr>
        <w:t>PNUD, 2004</w:t>
      </w:r>
      <w:r w:rsidRPr="0076720D">
        <w:rPr>
          <w:rFonts w:ascii="Calibri" w:hAnsi="Calibri" w:cs="Calibri"/>
          <w:lang w:val="es-GT"/>
        </w:rPr>
        <w:t xml:space="preserve">). Las condiciones del agro guatemalteco se caracterizan por la relación latifundio-minifundio. </w:t>
      </w:r>
    </w:p>
    <w:p w:rsidR="000F73BE" w:rsidRPr="0076720D" w:rsidRDefault="000F73BE" w:rsidP="0076720D">
      <w:pPr>
        <w:ind w:left="360"/>
        <w:jc w:val="both"/>
        <w:rPr>
          <w:rFonts w:ascii="Calibri" w:hAnsi="Calibri" w:cs="Calibri"/>
          <w:lang w:val="es-GT"/>
        </w:rPr>
      </w:pPr>
    </w:p>
    <w:p w:rsidR="0076720D" w:rsidRPr="0076720D" w:rsidRDefault="000F73BE" w:rsidP="0076720D">
      <w:pPr>
        <w:ind w:left="360"/>
        <w:jc w:val="both"/>
        <w:rPr>
          <w:rFonts w:ascii="Calibri" w:hAnsi="Calibri" w:cs="Calibri"/>
          <w:lang w:val="es-GT"/>
        </w:rPr>
      </w:pPr>
      <w:r w:rsidRPr="0076720D">
        <w:rPr>
          <w:rFonts w:ascii="Calibri" w:hAnsi="Calibri" w:cs="Calibri"/>
          <w:lang w:val="es-GT"/>
        </w:rPr>
        <w:t>La desigualdad extrema e histórica en la distribución de la tierra se ha visto agravada en la última década por la reconcentración de la tierra, proceso alentado por la expansión de los monocultivos de palma africana y caña de azúcar en regiones donde a finales del siglo pasado no se conocían. E</w:t>
      </w:r>
      <w:r w:rsidRPr="0076720D">
        <w:rPr>
          <w:rFonts w:ascii="Calibri" w:eastAsia="Calibri" w:hAnsi="Calibri" w:cs="Calibri"/>
          <w:lang w:val="es-GT" w:eastAsia="es-GT"/>
        </w:rPr>
        <w:t xml:space="preserve">n los últimos 10 años la expansión del cultivo de palma africana ha tenido un incremento del 600% a nivel nacional; del incremento de manzanas cultivadas con palma en ese período, el 29% se utilizaba para el cultivo de granos básicos en el 2000 </w:t>
      </w:r>
      <w:r w:rsidRPr="0076720D">
        <w:rPr>
          <w:rFonts w:ascii="Calibri" w:hAnsi="Calibri" w:cs="Calibri"/>
          <w:lang w:val="es-GT"/>
        </w:rPr>
        <w:t>(</w:t>
      </w:r>
      <w:r w:rsidRPr="000D7E14">
        <w:rPr>
          <w:rFonts w:ascii="Calibri" w:hAnsi="Calibri" w:cs="Calibri"/>
          <w:lang w:val="es-GT"/>
        </w:rPr>
        <w:t>IARNA-URL, 2009).</w:t>
      </w:r>
    </w:p>
    <w:p w:rsidR="0076720D" w:rsidRPr="0076720D" w:rsidRDefault="0076720D" w:rsidP="0076720D">
      <w:pPr>
        <w:ind w:left="360"/>
        <w:jc w:val="both"/>
        <w:rPr>
          <w:rFonts w:ascii="Calibri" w:hAnsi="Calibri" w:cs="Calibri"/>
          <w:lang w:val="es-GT"/>
        </w:rPr>
      </w:pPr>
    </w:p>
    <w:p w:rsidR="0076720D" w:rsidRPr="0076720D" w:rsidRDefault="000F73BE" w:rsidP="0076720D">
      <w:pPr>
        <w:ind w:left="360"/>
        <w:jc w:val="both"/>
        <w:rPr>
          <w:rFonts w:ascii="Calibri" w:hAnsi="Calibri" w:cs="Calibri"/>
          <w:lang w:val="es-GT"/>
        </w:rPr>
      </w:pPr>
      <w:r w:rsidRPr="0076720D">
        <w:rPr>
          <w:rFonts w:ascii="Calibri" w:eastAsia="Calibri" w:hAnsi="Calibri" w:cs="Calibri"/>
          <w:lang w:val="es-GT" w:eastAsia="es-GT"/>
        </w:rPr>
        <w:t xml:space="preserve">Por su parte, el cultivo de caña de azúcar abarcaba en el año 1979 una extensión de 144,107 manzanas y para el 2003 se expandió a 260,258 </w:t>
      </w:r>
      <w:r w:rsidRPr="00F175E4">
        <w:rPr>
          <w:rFonts w:ascii="Calibri" w:eastAsia="Calibri" w:hAnsi="Calibri" w:cs="Calibri"/>
          <w:lang w:val="es-GT" w:eastAsia="es-GT"/>
        </w:rPr>
        <w:t xml:space="preserve">manzanas (INE, 2003). </w:t>
      </w:r>
      <w:r w:rsidR="000D7E14" w:rsidRPr="00F175E4">
        <w:rPr>
          <w:rFonts w:ascii="Calibri" w:eastAsia="Calibri" w:hAnsi="Calibri" w:cs="Calibri"/>
          <w:lang w:val="es-GT" w:eastAsia="es-GT"/>
        </w:rPr>
        <w:t>En</w:t>
      </w:r>
      <w:r w:rsidRPr="00F175E4">
        <w:rPr>
          <w:rFonts w:ascii="Calibri" w:eastAsia="Calibri" w:hAnsi="Calibri" w:cs="Calibri"/>
          <w:lang w:val="es-GT" w:eastAsia="es-GT"/>
        </w:rPr>
        <w:t xml:space="preserve"> el</w:t>
      </w:r>
      <w:r w:rsidRPr="0076720D">
        <w:rPr>
          <w:rFonts w:ascii="Calibri" w:eastAsia="Calibri" w:hAnsi="Calibri" w:cs="Calibri"/>
          <w:lang w:val="es-GT" w:eastAsia="es-GT"/>
        </w:rPr>
        <w:t xml:space="preserve"> 2008 la extensión alcanzó 410 mil manzanas (</w:t>
      </w:r>
      <w:r w:rsidRPr="000D7E14">
        <w:rPr>
          <w:rFonts w:ascii="Calibri" w:hAnsi="Calibri" w:cs="Calibri"/>
          <w:lang w:val="es-GT"/>
        </w:rPr>
        <w:t>IARNA-URL, 2009).</w:t>
      </w:r>
      <w:r w:rsidRPr="000D7E14">
        <w:rPr>
          <w:rFonts w:ascii="Calibri" w:eastAsia="Calibri" w:hAnsi="Calibri" w:cs="Calibri"/>
          <w:lang w:val="es-GT" w:eastAsia="es-GT"/>
        </w:rPr>
        <w:t xml:space="preserve"> </w:t>
      </w:r>
      <w:r w:rsidR="000D7E14">
        <w:rPr>
          <w:rFonts w:ascii="Calibri" w:eastAsia="Calibri" w:hAnsi="Calibri" w:cs="Calibri"/>
          <w:lang w:val="es-GT" w:eastAsia="es-GT"/>
        </w:rPr>
        <w:t xml:space="preserve">Durante </w:t>
      </w:r>
      <w:r w:rsidRPr="0076720D">
        <w:rPr>
          <w:rFonts w:ascii="Calibri" w:eastAsia="Calibri" w:hAnsi="Calibri" w:cs="Calibri"/>
          <w:lang w:val="es-GT" w:eastAsia="es-GT"/>
        </w:rPr>
        <w:t xml:space="preserve">el 2003 </w:t>
      </w:r>
      <w:r w:rsidR="000D7E14">
        <w:rPr>
          <w:rFonts w:ascii="Calibri" w:eastAsia="Calibri" w:hAnsi="Calibri" w:cs="Calibri"/>
          <w:lang w:val="es-GT" w:eastAsia="es-GT"/>
        </w:rPr>
        <w:t>inició</w:t>
      </w:r>
      <w:r w:rsidRPr="0076720D">
        <w:rPr>
          <w:rFonts w:ascii="Calibri" w:eastAsia="Calibri" w:hAnsi="Calibri" w:cs="Calibri"/>
          <w:lang w:val="es-GT" w:eastAsia="es-GT"/>
        </w:rPr>
        <w:t xml:space="preserve"> la expansión del cultivo en el valle del Polochic y a principios del 2006 se</w:t>
      </w:r>
      <w:r w:rsidR="00141A70">
        <w:rPr>
          <w:rFonts w:ascii="Calibri" w:eastAsia="Calibri" w:hAnsi="Calibri" w:cs="Calibri"/>
          <w:lang w:val="es-GT" w:eastAsia="es-GT"/>
        </w:rPr>
        <w:t xml:space="preserve"> </w:t>
      </w:r>
      <w:r w:rsidRPr="0076720D">
        <w:rPr>
          <w:rFonts w:ascii="Calibri" w:eastAsia="Calibri" w:hAnsi="Calibri" w:cs="Calibri"/>
          <w:lang w:val="es-GT" w:eastAsia="es-GT"/>
        </w:rPr>
        <w:t xml:space="preserve">habían adquirido unas 37 fincas, ascendiendo a 220 caballerías para el </w:t>
      </w:r>
      <w:r w:rsidRPr="000D7E14">
        <w:rPr>
          <w:rFonts w:ascii="Calibri" w:eastAsia="Calibri" w:hAnsi="Calibri" w:cs="Calibri"/>
          <w:lang w:val="es-GT" w:eastAsia="es-GT"/>
        </w:rPr>
        <w:t>2008 (</w:t>
      </w:r>
      <w:r w:rsidRPr="000D7E14">
        <w:rPr>
          <w:rFonts w:ascii="Calibri" w:hAnsi="Calibri" w:cs="Calibri"/>
          <w:lang w:val="es-GT"/>
        </w:rPr>
        <w:t>IARNA-URL, 2009).</w:t>
      </w:r>
    </w:p>
    <w:p w:rsidR="0076720D" w:rsidRPr="0076720D" w:rsidRDefault="0076720D" w:rsidP="0076720D">
      <w:pPr>
        <w:ind w:left="360"/>
        <w:jc w:val="both"/>
        <w:rPr>
          <w:rFonts w:ascii="Calibri" w:hAnsi="Calibri" w:cs="Calibri"/>
          <w:lang w:val="es-GT"/>
        </w:rPr>
      </w:pPr>
    </w:p>
    <w:p w:rsidR="0076720D" w:rsidRPr="00D331B9" w:rsidRDefault="000F73BE" w:rsidP="0076720D">
      <w:pPr>
        <w:ind w:left="360"/>
        <w:jc w:val="both"/>
        <w:rPr>
          <w:rStyle w:val="Refdenotaalpie"/>
          <w:rFonts w:ascii="Calibri" w:hAnsi="Calibri" w:cs="Calibri"/>
          <w:lang w:val="es-GT"/>
        </w:rPr>
      </w:pPr>
      <w:r w:rsidRPr="00D331B9">
        <w:rPr>
          <w:rFonts w:ascii="Calibri" w:hAnsi="Calibri" w:cs="Calibri"/>
          <w:lang w:val="es-GT"/>
        </w:rPr>
        <w:t>En el espacio territorial nacional se producen “cultivos tradicionales” como café, azúcar,</w:t>
      </w:r>
      <w:r w:rsidR="00141A70" w:rsidRPr="00D331B9">
        <w:rPr>
          <w:rFonts w:ascii="Calibri" w:hAnsi="Calibri" w:cs="Calibri"/>
          <w:lang w:val="es-GT"/>
        </w:rPr>
        <w:t xml:space="preserve"> </w:t>
      </w:r>
      <w:r w:rsidRPr="00D331B9">
        <w:rPr>
          <w:rFonts w:ascii="Calibri" w:hAnsi="Calibri" w:cs="Calibri"/>
          <w:lang w:val="es-GT"/>
        </w:rPr>
        <w:t>cardamomo,</w:t>
      </w:r>
      <w:r w:rsidR="00141A70" w:rsidRPr="00D331B9">
        <w:rPr>
          <w:rFonts w:ascii="Calibri" w:hAnsi="Calibri" w:cs="Calibri"/>
          <w:lang w:val="es-GT"/>
        </w:rPr>
        <w:t xml:space="preserve"> </w:t>
      </w:r>
      <w:r w:rsidRPr="00D331B9">
        <w:rPr>
          <w:rFonts w:ascii="Calibri" w:hAnsi="Calibri" w:cs="Calibri"/>
          <w:lang w:val="es-GT"/>
        </w:rPr>
        <w:t>banano,</w:t>
      </w:r>
      <w:r w:rsidR="00141A70" w:rsidRPr="00D331B9">
        <w:rPr>
          <w:rFonts w:ascii="Calibri" w:hAnsi="Calibri" w:cs="Calibri"/>
          <w:lang w:val="es-GT"/>
        </w:rPr>
        <w:t xml:space="preserve"> </w:t>
      </w:r>
      <w:r w:rsidRPr="00D331B9">
        <w:rPr>
          <w:rFonts w:ascii="Calibri" w:hAnsi="Calibri" w:cs="Calibri"/>
          <w:lang w:val="es-GT"/>
        </w:rPr>
        <w:t>y</w:t>
      </w:r>
      <w:r w:rsidR="00141A70" w:rsidRPr="00D331B9">
        <w:rPr>
          <w:rFonts w:ascii="Calibri" w:hAnsi="Calibri" w:cs="Calibri"/>
          <w:lang w:val="es-GT"/>
        </w:rPr>
        <w:t xml:space="preserve"> </w:t>
      </w:r>
      <w:r w:rsidRPr="00D331B9">
        <w:rPr>
          <w:rFonts w:ascii="Calibri" w:hAnsi="Calibri" w:cs="Calibri"/>
          <w:lang w:val="es-GT"/>
        </w:rPr>
        <w:t>no</w:t>
      </w:r>
      <w:r w:rsidR="00141A70" w:rsidRPr="00D331B9">
        <w:rPr>
          <w:rFonts w:ascii="Calibri" w:hAnsi="Calibri" w:cs="Calibri"/>
          <w:lang w:val="es-GT"/>
        </w:rPr>
        <w:t xml:space="preserve"> </w:t>
      </w:r>
      <w:r w:rsidRPr="00D331B9">
        <w:rPr>
          <w:rFonts w:ascii="Calibri" w:hAnsi="Calibri" w:cs="Calibri"/>
          <w:lang w:val="es-GT"/>
        </w:rPr>
        <w:t>tradicionales</w:t>
      </w:r>
      <w:r w:rsidR="00141A70" w:rsidRPr="00D331B9">
        <w:rPr>
          <w:rFonts w:ascii="Calibri" w:hAnsi="Calibri" w:cs="Calibri"/>
          <w:lang w:val="es-GT"/>
        </w:rPr>
        <w:t xml:space="preserve"> </w:t>
      </w:r>
      <w:r w:rsidRPr="00D331B9">
        <w:rPr>
          <w:rFonts w:ascii="Calibri" w:hAnsi="Calibri" w:cs="Calibri"/>
          <w:lang w:val="es-GT"/>
        </w:rPr>
        <w:t>como</w:t>
      </w:r>
      <w:r w:rsidR="00141A70" w:rsidRPr="00D331B9">
        <w:rPr>
          <w:rFonts w:ascii="Calibri" w:hAnsi="Calibri" w:cs="Calibri"/>
          <w:lang w:val="es-GT"/>
        </w:rPr>
        <w:t xml:space="preserve"> </w:t>
      </w:r>
      <w:r w:rsidRPr="00D331B9">
        <w:rPr>
          <w:rFonts w:ascii="Calibri" w:hAnsi="Calibri" w:cs="Calibri"/>
          <w:lang w:val="es-GT"/>
        </w:rPr>
        <w:t>hortalizas,</w:t>
      </w:r>
      <w:r w:rsidR="00141A70" w:rsidRPr="00D331B9">
        <w:rPr>
          <w:rFonts w:ascii="Calibri" w:hAnsi="Calibri" w:cs="Calibri"/>
          <w:lang w:val="es-GT"/>
        </w:rPr>
        <w:t xml:space="preserve"> </w:t>
      </w:r>
      <w:r w:rsidRPr="00D331B9">
        <w:rPr>
          <w:rFonts w:ascii="Calibri" w:hAnsi="Calibri" w:cs="Calibri"/>
          <w:lang w:val="es-GT"/>
        </w:rPr>
        <w:t>vegetales</w:t>
      </w:r>
      <w:r w:rsidR="00141A70" w:rsidRPr="00D331B9">
        <w:rPr>
          <w:rFonts w:ascii="Calibri" w:hAnsi="Calibri" w:cs="Calibri"/>
          <w:lang w:val="es-GT"/>
        </w:rPr>
        <w:t xml:space="preserve"> </w:t>
      </w:r>
      <w:r w:rsidRPr="00D331B9">
        <w:rPr>
          <w:rFonts w:ascii="Calibri" w:hAnsi="Calibri" w:cs="Calibri"/>
          <w:lang w:val="es-GT"/>
        </w:rPr>
        <w:t>y frutas.</w:t>
      </w:r>
      <w:r w:rsidR="00141A70" w:rsidRPr="00D331B9">
        <w:rPr>
          <w:rFonts w:ascii="Calibri" w:hAnsi="Calibri" w:cs="Calibri"/>
          <w:lang w:val="es-GT"/>
        </w:rPr>
        <w:t xml:space="preserve"> </w:t>
      </w:r>
      <w:r w:rsidRPr="00D331B9">
        <w:rPr>
          <w:rFonts w:ascii="Calibri" w:hAnsi="Calibri" w:cs="Calibri"/>
          <w:lang w:val="es-GT"/>
        </w:rPr>
        <w:t>Asimismo,</w:t>
      </w:r>
      <w:r w:rsidR="00141A70" w:rsidRPr="00D331B9">
        <w:rPr>
          <w:rFonts w:ascii="Calibri" w:hAnsi="Calibri" w:cs="Calibri"/>
          <w:lang w:val="es-GT"/>
        </w:rPr>
        <w:t xml:space="preserve"> </w:t>
      </w:r>
      <w:r w:rsidRPr="00D331B9">
        <w:rPr>
          <w:rFonts w:ascii="Calibri" w:hAnsi="Calibri" w:cs="Calibri"/>
          <w:lang w:val="es-GT"/>
        </w:rPr>
        <w:t>figura</w:t>
      </w:r>
      <w:r w:rsidR="00141A70" w:rsidRPr="00D331B9">
        <w:rPr>
          <w:rFonts w:ascii="Calibri" w:hAnsi="Calibri" w:cs="Calibri"/>
          <w:lang w:val="es-GT"/>
        </w:rPr>
        <w:t xml:space="preserve"> </w:t>
      </w:r>
      <w:r w:rsidRPr="00D331B9">
        <w:rPr>
          <w:rFonts w:ascii="Calibri" w:hAnsi="Calibri" w:cs="Calibri"/>
          <w:lang w:val="es-GT"/>
        </w:rPr>
        <w:t>la</w:t>
      </w:r>
      <w:r w:rsidR="00141A70" w:rsidRPr="00D331B9">
        <w:rPr>
          <w:rFonts w:ascii="Calibri" w:hAnsi="Calibri" w:cs="Calibri"/>
          <w:lang w:val="es-GT"/>
        </w:rPr>
        <w:t xml:space="preserve"> </w:t>
      </w:r>
      <w:r w:rsidRPr="00D331B9">
        <w:rPr>
          <w:rFonts w:ascii="Calibri" w:hAnsi="Calibri" w:cs="Calibri"/>
          <w:lang w:val="es-GT"/>
        </w:rPr>
        <w:t>producción</w:t>
      </w:r>
      <w:r w:rsidR="00141A70" w:rsidRPr="00D331B9">
        <w:rPr>
          <w:rFonts w:ascii="Calibri" w:hAnsi="Calibri" w:cs="Calibri"/>
          <w:lang w:val="es-GT"/>
        </w:rPr>
        <w:t xml:space="preserve"> </w:t>
      </w:r>
      <w:r w:rsidRPr="00D331B9">
        <w:rPr>
          <w:rFonts w:ascii="Calibri" w:hAnsi="Calibri" w:cs="Calibri"/>
          <w:lang w:val="es-GT"/>
        </w:rPr>
        <w:t>de</w:t>
      </w:r>
      <w:r w:rsidR="00141A70" w:rsidRPr="00D331B9">
        <w:rPr>
          <w:rFonts w:ascii="Calibri" w:hAnsi="Calibri" w:cs="Calibri"/>
          <w:lang w:val="es-GT"/>
        </w:rPr>
        <w:t xml:space="preserve"> </w:t>
      </w:r>
      <w:r w:rsidRPr="00D331B9">
        <w:rPr>
          <w:rFonts w:ascii="Calibri" w:hAnsi="Calibri" w:cs="Calibri"/>
          <w:lang w:val="es-GT"/>
        </w:rPr>
        <w:t>granos</w:t>
      </w:r>
      <w:r w:rsidR="00141A70" w:rsidRPr="00D331B9">
        <w:rPr>
          <w:rFonts w:ascii="Calibri" w:hAnsi="Calibri" w:cs="Calibri"/>
          <w:lang w:val="es-GT"/>
        </w:rPr>
        <w:t xml:space="preserve"> </w:t>
      </w:r>
      <w:r w:rsidRPr="00D331B9">
        <w:rPr>
          <w:rFonts w:ascii="Calibri" w:hAnsi="Calibri" w:cs="Calibri"/>
          <w:lang w:val="es-GT"/>
        </w:rPr>
        <w:t>básicos,</w:t>
      </w:r>
      <w:r w:rsidR="00141A70" w:rsidRPr="00D331B9">
        <w:rPr>
          <w:rFonts w:ascii="Calibri" w:hAnsi="Calibri" w:cs="Calibri"/>
          <w:lang w:val="es-GT"/>
        </w:rPr>
        <w:t xml:space="preserve"> </w:t>
      </w:r>
      <w:r w:rsidRPr="00D331B9">
        <w:rPr>
          <w:rFonts w:ascii="Calibri" w:hAnsi="Calibri" w:cs="Calibri"/>
          <w:lang w:val="es-GT"/>
        </w:rPr>
        <w:t>especialmente</w:t>
      </w:r>
      <w:r w:rsidR="00141A70" w:rsidRPr="00D331B9">
        <w:rPr>
          <w:rFonts w:ascii="Calibri" w:hAnsi="Calibri" w:cs="Calibri"/>
          <w:lang w:val="es-GT"/>
        </w:rPr>
        <w:t xml:space="preserve"> </w:t>
      </w:r>
      <w:r w:rsidR="000D7E14" w:rsidRPr="00D331B9">
        <w:rPr>
          <w:rFonts w:ascii="Calibri" w:hAnsi="Calibri" w:cs="Calibri"/>
          <w:lang w:val="es-GT"/>
        </w:rPr>
        <w:t>maíz, frijol y</w:t>
      </w:r>
      <w:r w:rsidRPr="00D331B9">
        <w:rPr>
          <w:rFonts w:ascii="Calibri" w:hAnsi="Calibri" w:cs="Calibri"/>
          <w:lang w:val="es-GT"/>
        </w:rPr>
        <w:t xml:space="preserve"> arroz, ligados estrechamente al s</w:t>
      </w:r>
      <w:r w:rsidR="00FD10BF" w:rsidRPr="00D331B9">
        <w:rPr>
          <w:rFonts w:ascii="Calibri" w:hAnsi="Calibri" w:cs="Calibri"/>
          <w:lang w:val="es-GT"/>
        </w:rPr>
        <w:t>istema de seguridad alimentaria</w:t>
      </w:r>
      <w:r w:rsidRPr="00D331B9">
        <w:rPr>
          <w:rFonts w:ascii="Calibri" w:hAnsi="Calibri" w:cs="Calibri"/>
          <w:lang w:val="es-GT"/>
        </w:rPr>
        <w:t>”</w:t>
      </w:r>
      <w:r w:rsidR="00FD10BF" w:rsidRPr="00D331B9">
        <w:rPr>
          <w:rFonts w:ascii="Calibri" w:hAnsi="Calibri" w:cs="Calibri"/>
          <w:lang w:val="es-GT"/>
        </w:rPr>
        <w:t xml:space="preserve"> (MAGA, 2008)</w:t>
      </w:r>
      <w:r w:rsidRPr="00D331B9">
        <w:rPr>
          <w:rStyle w:val="Refdenotaalpie"/>
          <w:rFonts w:ascii="Calibri" w:hAnsi="Calibri" w:cs="Calibri"/>
          <w:lang w:val="es-GT"/>
        </w:rPr>
        <w:t>.</w:t>
      </w:r>
    </w:p>
    <w:p w:rsidR="0076720D" w:rsidRPr="00D331B9" w:rsidRDefault="0076720D" w:rsidP="0076720D">
      <w:pPr>
        <w:ind w:left="360"/>
        <w:jc w:val="both"/>
        <w:rPr>
          <w:rStyle w:val="Refdenotaalpie"/>
          <w:rFonts w:ascii="Calibri" w:hAnsi="Calibri" w:cs="Calibri"/>
          <w:lang w:val="es-GT"/>
        </w:rPr>
      </w:pPr>
    </w:p>
    <w:p w:rsidR="006A0601" w:rsidRPr="0076720D" w:rsidRDefault="000F73BE" w:rsidP="0076720D">
      <w:pPr>
        <w:ind w:left="360"/>
        <w:jc w:val="both"/>
        <w:rPr>
          <w:rFonts w:ascii="Calibri" w:hAnsi="Calibri" w:cs="Calibri"/>
          <w:lang w:val="es-GT"/>
        </w:rPr>
      </w:pPr>
      <w:r w:rsidRPr="00D331B9">
        <w:rPr>
          <w:rFonts w:ascii="Calibri" w:hAnsi="Calibri" w:cs="Calibri"/>
          <w:lang w:val="es-GT"/>
        </w:rPr>
        <w:t>De acuerdo con el IARNA-URL (2012), de las 11 actividades económicas con las que se mide el comportamiento del PIB, la agricultura, ganadería, caza, silvicultura y pesca (integradas en lo que se denomina sector agropecuario) tienen una participación del 12.53% en el PIB</w:t>
      </w:r>
      <w:r w:rsidR="00D331B9">
        <w:rPr>
          <w:rFonts w:ascii="Calibri" w:hAnsi="Calibri" w:cs="Calibri"/>
          <w:lang w:val="es-GT"/>
        </w:rPr>
        <w:t>.</w:t>
      </w:r>
    </w:p>
    <w:p w:rsidR="006A0601" w:rsidRPr="0076720D" w:rsidRDefault="006A0601" w:rsidP="0076720D">
      <w:pPr>
        <w:ind w:left="360"/>
        <w:jc w:val="both"/>
        <w:rPr>
          <w:rFonts w:ascii="Calibri" w:hAnsi="Calibri" w:cs="Calibri"/>
          <w:lang w:val="es-GT"/>
        </w:rPr>
      </w:pPr>
    </w:p>
    <w:p w:rsidR="0076720D" w:rsidRPr="0076720D" w:rsidRDefault="006A0601" w:rsidP="0076720D">
      <w:pPr>
        <w:ind w:left="360"/>
        <w:jc w:val="both"/>
        <w:rPr>
          <w:rFonts w:ascii="Calibri" w:hAnsi="Calibri" w:cs="Calibri"/>
          <w:lang w:val="es-GT"/>
        </w:rPr>
      </w:pPr>
      <w:r w:rsidRPr="0076720D">
        <w:rPr>
          <w:rFonts w:ascii="Calibri" w:hAnsi="Calibri" w:cs="Calibri"/>
          <w:lang w:val="es-GT"/>
        </w:rPr>
        <w:t>No debe perderse de vista que los procesos de degradación de los suelos (erosión o reducción de los nutrientes) y la disponibilidad de agua serán las variables que pueden imponer los límites a la expansión e intensificación agrícola. En ese sentido, las tierras degradadas pueden jugar un papel fundamental si se atienden de manera adecuada (de acuerdo con su potencial), ya sea restaurando los ecosistemas naturales o bien destinándolas a la producción agrícola. Urge, en todo caso, detener los procesos de degradación de las tierras y de sobreuso de lo</w:t>
      </w:r>
      <w:r w:rsidR="0076720D" w:rsidRPr="0076720D">
        <w:rPr>
          <w:rFonts w:ascii="Calibri" w:hAnsi="Calibri" w:cs="Calibri"/>
          <w:lang w:val="es-GT"/>
        </w:rPr>
        <w:t>s ecosistemas (IARNA-URL, 2012).</w:t>
      </w:r>
    </w:p>
    <w:p w:rsidR="0076720D" w:rsidRPr="0076720D" w:rsidRDefault="0076720D" w:rsidP="0076720D">
      <w:pPr>
        <w:ind w:left="360"/>
        <w:jc w:val="both"/>
        <w:rPr>
          <w:rFonts w:ascii="Calibri" w:hAnsi="Calibri" w:cs="Calibri"/>
          <w:lang w:val="es-GT"/>
        </w:rPr>
      </w:pPr>
    </w:p>
    <w:p w:rsidR="00D331B9" w:rsidRDefault="0076720D" w:rsidP="0076720D">
      <w:pPr>
        <w:ind w:left="360"/>
        <w:jc w:val="both"/>
        <w:rPr>
          <w:rFonts w:ascii="Calibri" w:hAnsi="Calibri" w:cs="Calibri"/>
          <w:lang w:val="es-GT"/>
        </w:rPr>
      </w:pPr>
      <w:r w:rsidRPr="00456DEF">
        <w:rPr>
          <w:rFonts w:ascii="Calibri" w:hAnsi="Calibri" w:cs="Calibri"/>
          <w:lang w:val="es-GT"/>
        </w:rPr>
        <w:t>En síntesis, se debe i</w:t>
      </w:r>
      <w:r w:rsidRPr="00456DEF">
        <w:rPr>
          <w:rFonts w:ascii="Calibri" w:hAnsi="Calibri"/>
          <w:lang w:val="es-GT"/>
        </w:rPr>
        <w:t xml:space="preserve">mpulsar un programa nacional de conservación de suelos en el marco del fomento de la economía de pequeños y medianos productores agropecuarios (economía campesina), así como en el marco de las grandes unidades de producción. Este programa </w:t>
      </w:r>
      <w:r w:rsidRPr="00456DEF">
        <w:rPr>
          <w:rFonts w:ascii="Calibri" w:hAnsi="Calibri"/>
          <w:lang w:val="es-GT"/>
        </w:rPr>
        <w:lastRenderedPageBreak/>
        <w:t xml:space="preserve">deberá ser complementario a otros elementos que son necesarios para darle viabilidad. Entre éstos: a) </w:t>
      </w:r>
      <w:r w:rsidRPr="00456DEF">
        <w:rPr>
          <w:rFonts w:ascii="Calibri" w:hAnsi="Calibri" w:cs="Calibri"/>
          <w:lang w:val="es-GT"/>
        </w:rPr>
        <w:t>promover el acceso a recursos financieros -quién puede tener éxito sin éstos-; b) proveer asistencia técnica para optimizar las cosechas; c) apoyar a la organización para la obtención de insumos, la producción y la comercialización de excedentes-; d) prov</w:t>
      </w:r>
      <w:r w:rsidR="00D331B9">
        <w:rPr>
          <w:rFonts w:ascii="Calibri" w:hAnsi="Calibri" w:cs="Calibri"/>
          <w:lang w:val="es-GT"/>
        </w:rPr>
        <w:t>eer</w:t>
      </w:r>
      <w:r w:rsidRPr="00456DEF">
        <w:rPr>
          <w:rFonts w:ascii="Calibri" w:hAnsi="Calibri" w:cs="Calibri"/>
          <w:lang w:val="es-GT"/>
        </w:rPr>
        <w:t xml:space="preserve"> de semillas mejoradas, de riego de pequeña escala y caminos rural</w:t>
      </w:r>
      <w:r w:rsidR="00D331B9">
        <w:rPr>
          <w:rFonts w:ascii="Calibri" w:hAnsi="Calibri" w:cs="Calibri"/>
          <w:lang w:val="es-GT"/>
        </w:rPr>
        <w:t>es</w:t>
      </w:r>
      <w:r w:rsidRPr="00456DEF">
        <w:rPr>
          <w:rFonts w:ascii="Calibri" w:hAnsi="Calibri" w:cs="Calibri"/>
          <w:lang w:val="es-GT"/>
        </w:rPr>
        <w:t xml:space="preserve">, fundamentalmente. </w:t>
      </w:r>
    </w:p>
    <w:p w:rsidR="00D331B9" w:rsidRDefault="00D331B9" w:rsidP="0076720D">
      <w:pPr>
        <w:ind w:left="360"/>
        <w:jc w:val="both"/>
        <w:rPr>
          <w:rFonts w:ascii="Calibri" w:hAnsi="Calibri" w:cs="Calibri"/>
          <w:lang w:val="es-GT"/>
        </w:rPr>
      </w:pPr>
    </w:p>
    <w:p w:rsidR="0076720D" w:rsidRPr="00456DEF" w:rsidRDefault="0076720D" w:rsidP="0076720D">
      <w:pPr>
        <w:ind w:left="360"/>
        <w:jc w:val="both"/>
        <w:rPr>
          <w:rFonts w:ascii="Calibri" w:hAnsi="Calibri" w:cs="Calibri"/>
          <w:lang w:val="es-GT"/>
        </w:rPr>
      </w:pPr>
      <w:r w:rsidRPr="00456DEF">
        <w:rPr>
          <w:rFonts w:ascii="Calibri" w:hAnsi="Calibri" w:cs="Calibri"/>
          <w:lang w:val="es-GT"/>
        </w:rPr>
        <w:t>En el caso de las grandes unidades de producción, es preciso que la gestión a nivel de finca se vea complementada con la gestión</w:t>
      </w:r>
      <w:r w:rsidR="00CA1498" w:rsidRPr="00456DEF">
        <w:rPr>
          <w:rFonts w:ascii="Calibri" w:hAnsi="Calibri" w:cs="Calibri"/>
          <w:lang w:val="es-GT"/>
        </w:rPr>
        <w:t xml:space="preserve"> del</w:t>
      </w:r>
      <w:r w:rsidRPr="00456DEF">
        <w:rPr>
          <w:rFonts w:ascii="Calibri" w:hAnsi="Calibri" w:cs="Calibri"/>
          <w:lang w:val="es-GT"/>
        </w:rPr>
        <w:t xml:space="preserve"> territorio donde están ubicadas. Es necesario entender que la viabilidad de estas unidades depende de la calidad de esos territorios. Por ejemplo, la productividad de la tierra y la disponibilidad del agua que demandan sólo podrán tener certeza en el largo plazo si se gestionan integralmente las cuencas hidrográficas de las cuales dependen.</w:t>
      </w:r>
    </w:p>
    <w:p w:rsidR="0076720D" w:rsidRPr="0076720D" w:rsidRDefault="0076720D" w:rsidP="0076720D">
      <w:pPr>
        <w:ind w:left="360"/>
        <w:jc w:val="both"/>
        <w:rPr>
          <w:rStyle w:val="eacep1"/>
          <w:rFonts w:ascii="Calibri" w:hAnsi="Calibri" w:cs="Calibri"/>
          <w:color w:val="auto"/>
          <w:lang w:val="es-GT"/>
        </w:rPr>
      </w:pPr>
    </w:p>
    <w:p w:rsidR="00B45CCC" w:rsidRDefault="00B45CCC" w:rsidP="00B45CCC">
      <w:pPr>
        <w:ind w:left="360"/>
        <w:jc w:val="both"/>
        <w:rPr>
          <w:rFonts w:ascii="Calibri" w:hAnsi="Calibri" w:cs="Calibri"/>
          <w:lang w:val="es-GT"/>
        </w:rPr>
      </w:pPr>
    </w:p>
    <w:p w:rsidR="00B45CCC" w:rsidRPr="00775818" w:rsidRDefault="00B45CCC" w:rsidP="00B45CCC">
      <w:pPr>
        <w:pStyle w:val="Prrafodelista"/>
        <w:numPr>
          <w:ilvl w:val="3"/>
          <w:numId w:val="51"/>
        </w:numPr>
        <w:jc w:val="both"/>
        <w:rPr>
          <w:rFonts w:cs="Calibri"/>
          <w:b/>
          <w:color w:val="365F91"/>
        </w:rPr>
      </w:pPr>
      <w:r w:rsidRPr="00775818">
        <w:rPr>
          <w:rFonts w:cs="Calibri"/>
          <w:b/>
          <w:color w:val="365F91"/>
        </w:rPr>
        <w:t xml:space="preserve"> Componente de recursos marino costeros</w:t>
      </w:r>
    </w:p>
    <w:p w:rsidR="00B45CCC" w:rsidRPr="00351A80" w:rsidRDefault="00B45CCC" w:rsidP="00B45CCC">
      <w:pPr>
        <w:autoSpaceDE w:val="0"/>
        <w:autoSpaceDN w:val="0"/>
        <w:adjustRightInd w:val="0"/>
        <w:ind w:left="360"/>
        <w:contextualSpacing/>
        <w:jc w:val="both"/>
        <w:rPr>
          <w:rFonts w:ascii="Calibri" w:hAnsi="Calibri" w:cs="Swiss721BT-Roman"/>
          <w:lang w:val="es-GT"/>
        </w:rPr>
      </w:pPr>
      <w:r w:rsidRPr="00351A80">
        <w:rPr>
          <w:rFonts w:ascii="Calibri" w:hAnsi="Calibri" w:cs="Swiss721BT-Roman"/>
          <w:lang w:val="es-GT"/>
        </w:rPr>
        <w:t xml:space="preserve">Existen evidencias documentadas </w:t>
      </w:r>
      <w:r w:rsidR="00E8031E">
        <w:rPr>
          <w:rFonts w:ascii="Calibri" w:hAnsi="Calibri" w:cs="Swiss721BT-Roman"/>
          <w:lang w:val="es-GT"/>
        </w:rPr>
        <w:t>que confirman que la base</w:t>
      </w:r>
      <w:r w:rsidRPr="00351A80">
        <w:rPr>
          <w:rFonts w:ascii="Calibri" w:hAnsi="Calibri" w:cs="Swiss721BT-Roman"/>
          <w:lang w:val="es-GT"/>
        </w:rPr>
        <w:t xml:space="preserve"> del desarrollo de las culturas de la zona marino-costera del Pacífico de Guatemala fueron la agricultura y la pesca en estuarios; con escasa dependencia de los recursos del mar abierto. Esta situación se continúa dando en la actualidad, ya que la actividad pesquera de los grupos locales se desarrolla en los estuarios (pescado, camarón y concha) con artes de pesca rudimentarios, y principalmente para consumo </w:t>
      </w:r>
      <w:r w:rsidRPr="00227FD6">
        <w:rPr>
          <w:rFonts w:ascii="Calibri" w:hAnsi="Calibri" w:cs="Swiss721BT-Roman"/>
          <w:lang w:val="es-GT"/>
        </w:rPr>
        <w:t>propio (MFEWS, 2009). De acuerdo con la Secretaría General de Planificación y Programación de la Presidencia (SEGEPLAN, 2011), la pesca constituye el maíz para los habitantes de la zonas marino-costeras (ZMC). La pesca comercial de alta mar está en manos de consorcios industriales (UNIPESCA-MAGA, 2008).</w:t>
      </w:r>
    </w:p>
    <w:p w:rsidR="00B45CCC" w:rsidRPr="00351A80" w:rsidRDefault="00B45CCC" w:rsidP="00B45CCC">
      <w:pPr>
        <w:autoSpaceDE w:val="0"/>
        <w:autoSpaceDN w:val="0"/>
        <w:adjustRightInd w:val="0"/>
        <w:ind w:left="360"/>
        <w:contextualSpacing/>
        <w:jc w:val="both"/>
        <w:rPr>
          <w:rFonts w:ascii="Calibri" w:hAnsi="Calibri" w:cs="Swiss721BT-Roman"/>
          <w:lang w:val="es-GT"/>
        </w:rPr>
      </w:pPr>
    </w:p>
    <w:p w:rsidR="00B45CCC" w:rsidRPr="00775818" w:rsidRDefault="00B45CCC" w:rsidP="00775818">
      <w:pPr>
        <w:pStyle w:val="Prrafodelista"/>
        <w:numPr>
          <w:ilvl w:val="0"/>
          <w:numId w:val="52"/>
        </w:numPr>
        <w:autoSpaceDE w:val="0"/>
        <w:autoSpaceDN w:val="0"/>
        <w:adjustRightInd w:val="0"/>
        <w:jc w:val="both"/>
        <w:rPr>
          <w:rFonts w:cs="Calibri"/>
          <w:b/>
          <w:color w:val="365F91"/>
          <w:lang w:eastAsia="es-GT"/>
        </w:rPr>
      </w:pPr>
      <w:r w:rsidRPr="00775818">
        <w:rPr>
          <w:rFonts w:cs="Calibri"/>
          <w:b/>
          <w:color w:val="365F91"/>
          <w:lang w:eastAsia="es-GT"/>
        </w:rPr>
        <w:t>Cobertura vegetal en la zona marino-costera de Guatemala</w:t>
      </w:r>
    </w:p>
    <w:p w:rsidR="00B45CCC" w:rsidRPr="00227FD6" w:rsidRDefault="00B45CCC" w:rsidP="00C470CE">
      <w:pPr>
        <w:autoSpaceDE w:val="0"/>
        <w:autoSpaceDN w:val="0"/>
        <w:adjustRightInd w:val="0"/>
        <w:ind w:left="720"/>
        <w:contextualSpacing/>
        <w:jc w:val="both"/>
        <w:rPr>
          <w:rFonts w:ascii="Calibri" w:hAnsi="Calibri" w:cs="Swiss721BT-Roman"/>
          <w:lang w:val="es-GT"/>
        </w:rPr>
      </w:pPr>
      <w:r w:rsidRPr="00351A80">
        <w:rPr>
          <w:rFonts w:ascii="Calibri" w:hAnsi="Calibri" w:cs="Swiss721BT-Roman"/>
          <w:lang w:val="es-GT"/>
        </w:rPr>
        <w:t xml:space="preserve">Actualmente, en Guatemala no existe una definición legal de las zonas marino-costeras (ZMC). En el presente análisis se emplea la definición propuesta </w:t>
      </w:r>
      <w:r w:rsidRPr="00227FD6">
        <w:rPr>
          <w:rFonts w:ascii="Calibri" w:hAnsi="Calibri" w:cs="Swiss721BT-Roman"/>
          <w:lang w:val="es-GT"/>
        </w:rPr>
        <w:t>por el CONAP, MARN y TNC (2009),</w:t>
      </w:r>
      <w:r w:rsidRPr="00351A80">
        <w:rPr>
          <w:rFonts w:ascii="Calibri" w:hAnsi="Calibri" w:cs="Swiss721BT-Roman"/>
          <w:lang w:val="es-GT"/>
        </w:rPr>
        <w:t xml:space="preserve"> que la plantea como la zona “comprendida entre los límites de la zona económica exclusiva y un límite terrestre arbitrario que abarca los ecosistemas de agua dulce influidos por las mareas, incluidos los tres kilómetros que se reserva el Estado de Guatemala”. La ZMC integra ecosistemas en tierra y mar, como las aguas marinas, pastizales marinos, arrecife coralino, bosque seco, manglares y playas. Aunque no se cuenta aún con un inventario oficial de las especies que se encuentran en estos ecosistemas, estimaciones realizadas reportan 1,066 especies de vertebrados, 445 especies de invertebrados y 50 especies de flora acuática </w:t>
      </w:r>
      <w:r w:rsidRPr="00227FD6">
        <w:rPr>
          <w:rFonts w:ascii="Calibri" w:hAnsi="Calibri" w:cs="Swiss721BT-Roman"/>
          <w:lang w:val="es-GT"/>
        </w:rPr>
        <w:t>(CONAP, 2008).</w:t>
      </w:r>
    </w:p>
    <w:p w:rsidR="00B45CCC" w:rsidRPr="00227FD6" w:rsidRDefault="00B45CCC" w:rsidP="00C470CE">
      <w:pPr>
        <w:autoSpaceDE w:val="0"/>
        <w:autoSpaceDN w:val="0"/>
        <w:adjustRightInd w:val="0"/>
        <w:ind w:left="720"/>
        <w:contextualSpacing/>
        <w:jc w:val="both"/>
        <w:rPr>
          <w:rFonts w:ascii="Calibri" w:hAnsi="Calibri" w:cs="Swiss721BT-Roman"/>
          <w:lang w:val="es-GT"/>
        </w:rPr>
      </w:pPr>
    </w:p>
    <w:p w:rsidR="00B45CCC" w:rsidRDefault="00B45CCC" w:rsidP="00C470CE">
      <w:pPr>
        <w:autoSpaceDE w:val="0"/>
        <w:autoSpaceDN w:val="0"/>
        <w:adjustRightInd w:val="0"/>
        <w:ind w:left="720"/>
        <w:contextualSpacing/>
        <w:jc w:val="both"/>
        <w:rPr>
          <w:rFonts w:ascii="Calibri" w:hAnsi="Calibri" w:cs="Swiss721BT-Roman"/>
          <w:lang w:val="es-GT"/>
        </w:rPr>
      </w:pPr>
      <w:r w:rsidRPr="00227FD6">
        <w:rPr>
          <w:rFonts w:ascii="Calibri" w:hAnsi="Calibri" w:cs="Swiss721BT-Roman"/>
          <w:lang w:val="es-GT"/>
        </w:rPr>
        <w:t>La zona terrestre costera tiene una extensión de al menos 112,804 ha (IARNA-URL, 2009) y se extiende en casi 402 km de litoral (MARN, 2009). De acuerdo con MARN (2009), la región costera del país abarca parte de siete departamentos, 17 municipios y alberga cerca de 300 comunidades. De acuerdo con datos generados por CONAP y MARN en 2009, el</w:t>
      </w:r>
      <w:r w:rsidRPr="00351A80">
        <w:rPr>
          <w:rFonts w:ascii="Calibri" w:hAnsi="Calibri" w:cs="Swiss721BT-Roman"/>
          <w:lang w:val="es-GT"/>
        </w:rPr>
        <w:t xml:space="preserve"> uso de la tierra en la ZMC muestra la predominancia de usos agrícolas y pecuarios (el 60.85% </w:t>
      </w:r>
      <w:r w:rsidRPr="00351A80">
        <w:rPr>
          <w:rFonts w:ascii="Calibri" w:hAnsi="Calibri" w:cs="Swiss721BT-Roman"/>
          <w:lang w:val="es-GT"/>
        </w:rPr>
        <w:lastRenderedPageBreak/>
        <w:t>de la superficie considerada se asocia a usos agropecuarios y cultivos permanentes). Los manglares ocupaban 26,169.7 ha, lo que equivale al 17.71% del área considerada en el análisis.</w:t>
      </w:r>
    </w:p>
    <w:p w:rsidR="00E8031E" w:rsidRPr="00351A80" w:rsidRDefault="00E8031E" w:rsidP="00C470CE">
      <w:pPr>
        <w:autoSpaceDE w:val="0"/>
        <w:autoSpaceDN w:val="0"/>
        <w:adjustRightInd w:val="0"/>
        <w:ind w:left="720"/>
        <w:contextualSpacing/>
        <w:jc w:val="both"/>
        <w:rPr>
          <w:rFonts w:ascii="Calibri" w:hAnsi="Calibri" w:cs="Swiss721BT-Roman"/>
          <w:lang w:val="es-GT"/>
        </w:rPr>
      </w:pPr>
    </w:p>
    <w:p w:rsidR="00B45CCC" w:rsidRPr="00351A80" w:rsidRDefault="00B45CCC" w:rsidP="00C470CE">
      <w:pPr>
        <w:autoSpaceDE w:val="0"/>
        <w:autoSpaceDN w:val="0"/>
        <w:adjustRightInd w:val="0"/>
        <w:ind w:left="720"/>
        <w:contextualSpacing/>
        <w:jc w:val="both"/>
        <w:rPr>
          <w:rFonts w:ascii="Calibri" w:hAnsi="Calibri" w:cs="Swiss721BT-Roman"/>
          <w:lang w:val="es-GT"/>
        </w:rPr>
      </w:pPr>
      <w:r w:rsidRPr="00351A80">
        <w:rPr>
          <w:rFonts w:ascii="Calibri" w:hAnsi="Calibri" w:cs="Swiss721BT-Roman"/>
          <w:lang w:val="es-GT"/>
        </w:rPr>
        <w:t>En el país, el mangle se encuentra casi exclusivamente en el litoral del Pacífico. CONAP y MARN (2009) sugieren que la cobertura del ecosistema manglar podría estar recuperándose en este litoral, aunque existen discrepancias con otras fuentes de datos disponibles.</w:t>
      </w:r>
    </w:p>
    <w:p w:rsidR="00B45CCC" w:rsidRPr="00351A80" w:rsidRDefault="00B45CCC" w:rsidP="00C470CE">
      <w:pPr>
        <w:autoSpaceDE w:val="0"/>
        <w:autoSpaceDN w:val="0"/>
        <w:adjustRightInd w:val="0"/>
        <w:ind w:left="720"/>
        <w:contextualSpacing/>
        <w:jc w:val="both"/>
        <w:rPr>
          <w:rFonts w:ascii="Calibri" w:hAnsi="Calibri" w:cs="Swiss721BT-Roman"/>
          <w:lang w:val="es-GT"/>
        </w:rPr>
      </w:pPr>
    </w:p>
    <w:p w:rsidR="00B45CCC" w:rsidRPr="00351A80" w:rsidRDefault="00B45CCC" w:rsidP="00C470CE">
      <w:pPr>
        <w:autoSpaceDE w:val="0"/>
        <w:autoSpaceDN w:val="0"/>
        <w:adjustRightInd w:val="0"/>
        <w:ind w:left="720"/>
        <w:contextualSpacing/>
        <w:jc w:val="both"/>
        <w:rPr>
          <w:rFonts w:ascii="Calibri" w:hAnsi="Calibri" w:cs="Swiss721BT-Roman"/>
          <w:lang w:val="es-GT"/>
        </w:rPr>
      </w:pPr>
      <w:r w:rsidRPr="00351A80">
        <w:rPr>
          <w:rFonts w:ascii="Calibri" w:hAnsi="Calibri" w:cs="Swiss721BT-Roman"/>
          <w:lang w:val="es-GT"/>
        </w:rPr>
        <w:t>El análisis de dinámica de la cobertura forestal indica, no obstante, un incremento en la pérdida de cobertura boscosa en la zona marino-costera (cuya cubierta no es exclusivamente mangle). La deforestación anual pasó de 311.29 ha anuales para el periodo 1991-2001, a 698.06 y 1,172.27 ha/año para los periodos 2001-2006 y 2006-2010, respectivamente. Se han documentado evidencias sobre la sustitución de los ecosistemas de mangle por otros usos como el cultivo de sandía, construcción de camaroneras o salineras y el desarrollo inmobiliario, principalmente.</w:t>
      </w:r>
    </w:p>
    <w:p w:rsidR="00B45CCC" w:rsidRPr="00351A80" w:rsidRDefault="00B45CCC" w:rsidP="00B45CCC">
      <w:pPr>
        <w:autoSpaceDE w:val="0"/>
        <w:autoSpaceDN w:val="0"/>
        <w:adjustRightInd w:val="0"/>
        <w:ind w:left="360"/>
        <w:contextualSpacing/>
        <w:jc w:val="both"/>
        <w:rPr>
          <w:rFonts w:ascii="Calibri" w:hAnsi="Calibri" w:cs="Swiss721BT-Roman"/>
          <w:lang w:val="es-GT"/>
        </w:rPr>
      </w:pPr>
    </w:p>
    <w:p w:rsidR="00B45CCC" w:rsidRPr="00775818" w:rsidRDefault="00B45CCC" w:rsidP="00775818">
      <w:pPr>
        <w:pStyle w:val="Prrafodelista"/>
        <w:numPr>
          <w:ilvl w:val="0"/>
          <w:numId w:val="52"/>
        </w:numPr>
        <w:autoSpaceDE w:val="0"/>
        <w:autoSpaceDN w:val="0"/>
        <w:adjustRightInd w:val="0"/>
        <w:jc w:val="both"/>
        <w:rPr>
          <w:rFonts w:cs="Calibri"/>
          <w:b/>
          <w:color w:val="365F91"/>
          <w:lang w:eastAsia="es-GT"/>
        </w:rPr>
      </w:pPr>
      <w:r w:rsidRPr="00775818">
        <w:rPr>
          <w:rFonts w:cs="Calibri"/>
          <w:b/>
          <w:color w:val="365F91"/>
          <w:lang w:eastAsia="es-GT"/>
        </w:rPr>
        <w:t>Extracción de recursos pesqueros</w:t>
      </w:r>
    </w:p>
    <w:p w:rsidR="00B45CCC" w:rsidRPr="00351A80" w:rsidRDefault="00B45CCC" w:rsidP="00C470CE">
      <w:pPr>
        <w:autoSpaceDE w:val="0"/>
        <w:autoSpaceDN w:val="0"/>
        <w:adjustRightInd w:val="0"/>
        <w:ind w:left="720"/>
        <w:contextualSpacing/>
        <w:jc w:val="both"/>
        <w:rPr>
          <w:rFonts w:ascii="Calibri" w:hAnsi="Calibri" w:cs="Swiss721BT-Roman"/>
          <w:lang w:val="es-GT"/>
        </w:rPr>
      </w:pPr>
      <w:r w:rsidRPr="00351A80">
        <w:rPr>
          <w:rFonts w:ascii="Calibri" w:hAnsi="Calibri" w:cs="Swiss721BT-Roman"/>
          <w:lang w:val="es-GT"/>
        </w:rPr>
        <w:t>Hasta el 2004, la mayor parte de la producción se daba principalmente en el Pacífico. Entre 2001 y 2005 la captura en el Caribe no alcanzó a representar ni el 10% de la extracción marina a nivel nacional. Llama la atención la reducción significativa que se dio en la captura durante ese periodo, en el litoral Pacífico; donde la extracción pasó de 26,460 toneladas en 2001 a menos de 5,000 toneladas anuales entre 2004 y 2007, y mostró una recuperación parcial en 2008. Esta reducción se explica esencialmente por la disminución en la captura de atún, principal recurso aprovechado en este litoral. Otro factor explicativo es la sobreexplotación de algunas especies como el camarón y el caracol reina (IARNA-URL, 2009) y de los tiburones y los propios atunes (UNIPESCA-MAGA, 2008).</w:t>
      </w:r>
    </w:p>
    <w:p w:rsidR="00B45CCC" w:rsidRPr="00351A80" w:rsidRDefault="00B45CCC" w:rsidP="00C470CE">
      <w:pPr>
        <w:autoSpaceDE w:val="0"/>
        <w:autoSpaceDN w:val="0"/>
        <w:adjustRightInd w:val="0"/>
        <w:ind w:left="720"/>
        <w:contextualSpacing/>
        <w:jc w:val="both"/>
        <w:rPr>
          <w:rFonts w:ascii="Calibri" w:hAnsi="Calibri" w:cs="Swiss721BT-Roman"/>
          <w:lang w:val="es-GT"/>
        </w:rPr>
      </w:pPr>
    </w:p>
    <w:p w:rsidR="00B45CCC" w:rsidRPr="00351A80" w:rsidRDefault="00B45CCC" w:rsidP="00C470CE">
      <w:pPr>
        <w:autoSpaceDE w:val="0"/>
        <w:autoSpaceDN w:val="0"/>
        <w:adjustRightInd w:val="0"/>
        <w:ind w:left="720"/>
        <w:contextualSpacing/>
        <w:jc w:val="both"/>
        <w:rPr>
          <w:rFonts w:ascii="Calibri" w:hAnsi="Calibri" w:cs="Swiss721BT-Roman"/>
          <w:lang w:val="es-GT"/>
        </w:rPr>
      </w:pPr>
      <w:r w:rsidRPr="00351A80">
        <w:rPr>
          <w:rFonts w:ascii="Calibri" w:hAnsi="Calibri" w:cs="Swiss721BT-Roman"/>
          <w:lang w:val="es-GT"/>
        </w:rPr>
        <w:t>En todo caso, los datos muestran que la pesquería de atún se ha establecido en el Caribe a partir de 2005. Entre 2005 y 2008, en este litoral se registró del 57% al 80% de la producción anual de recursos marinos a nivel nacional, con una producción por encima de las 10,000 toneladas al año.</w:t>
      </w:r>
    </w:p>
    <w:p w:rsidR="00B45CCC" w:rsidRPr="00351A80" w:rsidRDefault="00B45CCC" w:rsidP="00C470CE">
      <w:pPr>
        <w:autoSpaceDE w:val="0"/>
        <w:autoSpaceDN w:val="0"/>
        <w:adjustRightInd w:val="0"/>
        <w:ind w:left="720"/>
        <w:contextualSpacing/>
        <w:jc w:val="both"/>
        <w:rPr>
          <w:rFonts w:ascii="Calibri" w:hAnsi="Calibri" w:cs="Swiss721BT-Roman"/>
          <w:lang w:val="es-GT"/>
        </w:rPr>
      </w:pPr>
    </w:p>
    <w:p w:rsidR="00B45CCC" w:rsidRPr="00351A80" w:rsidRDefault="00B45CCC" w:rsidP="00C470CE">
      <w:pPr>
        <w:autoSpaceDE w:val="0"/>
        <w:autoSpaceDN w:val="0"/>
        <w:adjustRightInd w:val="0"/>
        <w:ind w:left="720"/>
        <w:contextualSpacing/>
        <w:jc w:val="both"/>
        <w:rPr>
          <w:rFonts w:ascii="Calibri" w:hAnsi="Calibri" w:cs="Swiss721BT-Roman"/>
          <w:lang w:val="es-GT"/>
        </w:rPr>
      </w:pPr>
      <w:r w:rsidRPr="00351A80">
        <w:rPr>
          <w:rFonts w:ascii="Calibri" w:hAnsi="Calibri" w:cs="Swiss721BT-Roman"/>
          <w:lang w:val="es-GT"/>
        </w:rPr>
        <w:t xml:space="preserve">Un dato interesante y que puede considerarse positivo es el crecimiento que, de acuerdo con los datos recientes, ha mostrado el sector de la acuicultura. Estos datos revelan que en 2001 la producción acuícola contribuía con alrededor del 13% de la oferta nacional de productos hidrobiológicos y, en ese sentido, esta oferta poseía un carácter eminentemente extractivo (IARNA-URL, 2009). No obstante, a partir del 2006 la producción acuícola se ha triplicado, pasando de las 5,100 toneladas en 2001 a más de 16,000 toneladas anuales para el periodo 2006-2009. En este lapso, la producción acuícola representó más del 45% de la oferta anual de productos hidrobiológicos. En este contexto, el crecimiento y desarrollo de las actividades acuícola podrían representar una actividad económica alternativa para los </w:t>
      </w:r>
      <w:r w:rsidRPr="00351A80">
        <w:rPr>
          <w:rFonts w:ascii="Calibri" w:hAnsi="Calibri" w:cs="Swiss721BT-Roman"/>
          <w:lang w:val="es-GT"/>
        </w:rPr>
        <w:lastRenderedPageBreak/>
        <w:t>pobladores de esta zona, permitiendo, a la vez, reducir la presión sobre los recursos marinos que, en muchos casos, están fuertemente explotados.</w:t>
      </w:r>
    </w:p>
    <w:p w:rsidR="00B45CCC" w:rsidRPr="00351A80" w:rsidRDefault="00B45CCC" w:rsidP="00C470CE">
      <w:pPr>
        <w:autoSpaceDE w:val="0"/>
        <w:autoSpaceDN w:val="0"/>
        <w:adjustRightInd w:val="0"/>
        <w:ind w:left="720"/>
        <w:contextualSpacing/>
        <w:jc w:val="both"/>
        <w:rPr>
          <w:rFonts w:ascii="Calibri" w:hAnsi="Calibri" w:cs="Swiss721BT-Roman"/>
          <w:lang w:val="es-GT"/>
        </w:rPr>
      </w:pPr>
    </w:p>
    <w:p w:rsidR="00B45CCC" w:rsidRDefault="00B45CCC" w:rsidP="00C470CE">
      <w:pPr>
        <w:autoSpaceDE w:val="0"/>
        <w:autoSpaceDN w:val="0"/>
        <w:adjustRightInd w:val="0"/>
        <w:ind w:left="720"/>
        <w:contextualSpacing/>
        <w:jc w:val="both"/>
        <w:rPr>
          <w:rFonts w:ascii="Calibri" w:hAnsi="Calibri" w:cs="Swiss721BT-Roman"/>
          <w:lang w:val="es-GT"/>
        </w:rPr>
      </w:pPr>
      <w:r w:rsidRPr="00351A80">
        <w:rPr>
          <w:rFonts w:ascii="Calibri" w:hAnsi="Calibri" w:cs="Swiss721BT-Roman"/>
          <w:lang w:val="es-GT"/>
        </w:rPr>
        <w:t>En general, los recursos marino costeros son utilizados abiertamente y sin control, tanto por la gran industria como por las comunidades locales, y en algunos casos generan la sobreexplotación y destrucción de los ecosistemas de estuarios y manglares.</w:t>
      </w:r>
    </w:p>
    <w:p w:rsidR="00775818" w:rsidRPr="00351A80" w:rsidRDefault="00775818" w:rsidP="00B45CCC">
      <w:pPr>
        <w:autoSpaceDE w:val="0"/>
        <w:autoSpaceDN w:val="0"/>
        <w:adjustRightInd w:val="0"/>
        <w:ind w:left="360"/>
        <w:contextualSpacing/>
        <w:jc w:val="both"/>
        <w:rPr>
          <w:rFonts w:ascii="Calibri" w:hAnsi="Calibri" w:cs="Swiss721BT-Roman"/>
          <w:lang w:val="es-GT"/>
        </w:rPr>
      </w:pPr>
    </w:p>
    <w:p w:rsidR="00B45CCC" w:rsidRPr="00775818" w:rsidRDefault="00B45CCC" w:rsidP="00775818">
      <w:pPr>
        <w:pStyle w:val="Prrafodelista"/>
        <w:numPr>
          <w:ilvl w:val="0"/>
          <w:numId w:val="52"/>
        </w:numPr>
        <w:autoSpaceDE w:val="0"/>
        <w:autoSpaceDN w:val="0"/>
        <w:adjustRightInd w:val="0"/>
        <w:jc w:val="both"/>
        <w:rPr>
          <w:rFonts w:cs="Calibri"/>
          <w:b/>
          <w:color w:val="365F91"/>
          <w:lang w:eastAsia="es-GT"/>
        </w:rPr>
      </w:pPr>
      <w:r w:rsidRPr="00775818">
        <w:rPr>
          <w:rFonts w:cs="Calibri"/>
          <w:b/>
          <w:color w:val="365F91"/>
          <w:lang w:eastAsia="es-GT"/>
        </w:rPr>
        <w:t>Empleo generado por las actividades pesqueras en las ZMC</w:t>
      </w:r>
    </w:p>
    <w:p w:rsidR="00B45CCC" w:rsidRPr="00351A80" w:rsidRDefault="00B45CCC" w:rsidP="00C470CE">
      <w:pPr>
        <w:autoSpaceDE w:val="0"/>
        <w:autoSpaceDN w:val="0"/>
        <w:adjustRightInd w:val="0"/>
        <w:ind w:left="720"/>
        <w:contextualSpacing/>
        <w:jc w:val="both"/>
        <w:rPr>
          <w:rFonts w:ascii="Calibri" w:hAnsi="Calibri" w:cs="Swiss721BT-Roman"/>
          <w:lang w:val="es-GT"/>
        </w:rPr>
      </w:pPr>
      <w:r w:rsidRPr="00351A80">
        <w:rPr>
          <w:rFonts w:ascii="Calibri" w:hAnsi="Calibri" w:cs="Swiss721BT-Roman"/>
          <w:lang w:val="es-GT"/>
        </w:rPr>
        <w:t>Una de las principales actividades en las ZMC es la pesca, tanto de tipo industrial como artesanal. Según datos de 2007, la pesca de pequeña escala o artesanal produjo el 93.88% de los empleos, donde 6,600 personas fueron contratadas. Cabe destacar que el 80% (5,280 trabajadores) de estos empleos se dio en el litoral Pacífico, y el 20%, en el litoral Caribe.</w:t>
      </w:r>
    </w:p>
    <w:p w:rsidR="00B45CCC" w:rsidRPr="00351A80" w:rsidRDefault="00B45CCC" w:rsidP="00C470CE">
      <w:pPr>
        <w:autoSpaceDE w:val="0"/>
        <w:autoSpaceDN w:val="0"/>
        <w:adjustRightInd w:val="0"/>
        <w:ind w:left="720"/>
        <w:contextualSpacing/>
        <w:jc w:val="both"/>
        <w:rPr>
          <w:rFonts w:ascii="Calibri" w:hAnsi="Calibri" w:cs="Swiss721BT-Roman"/>
          <w:lang w:val="es-GT"/>
        </w:rPr>
      </w:pPr>
    </w:p>
    <w:p w:rsidR="00B45CCC" w:rsidRPr="00227FD6" w:rsidRDefault="00B45CCC" w:rsidP="00C470CE">
      <w:pPr>
        <w:autoSpaceDE w:val="0"/>
        <w:autoSpaceDN w:val="0"/>
        <w:adjustRightInd w:val="0"/>
        <w:ind w:left="720"/>
        <w:contextualSpacing/>
        <w:jc w:val="both"/>
        <w:rPr>
          <w:rFonts w:ascii="Calibri" w:hAnsi="Calibri" w:cs="Swiss721BT-Roman"/>
          <w:lang w:val="es-GT"/>
        </w:rPr>
      </w:pPr>
      <w:r w:rsidRPr="00351A80">
        <w:rPr>
          <w:rFonts w:ascii="Calibri" w:hAnsi="Calibri" w:cs="Swiss721BT-Roman"/>
          <w:lang w:val="es-GT"/>
        </w:rPr>
        <w:t xml:space="preserve">De acuerdo </w:t>
      </w:r>
      <w:r w:rsidRPr="00227FD6">
        <w:rPr>
          <w:rFonts w:ascii="Calibri" w:hAnsi="Calibri" w:cs="Swiss721BT-Roman"/>
          <w:lang w:val="es-GT"/>
        </w:rPr>
        <w:t>con OSPESCA (2009), la pesca artesanal se realiza en pagas o lanchas de 20 a 25 pies eslora, con una tripulación promedio de tres personas, en viajes que duran de dos a tres días.</w:t>
      </w:r>
    </w:p>
    <w:p w:rsidR="00B45CCC" w:rsidRPr="00227FD6" w:rsidRDefault="00B45CCC" w:rsidP="00C470CE">
      <w:pPr>
        <w:autoSpaceDE w:val="0"/>
        <w:autoSpaceDN w:val="0"/>
        <w:adjustRightInd w:val="0"/>
        <w:ind w:left="720"/>
        <w:contextualSpacing/>
        <w:jc w:val="both"/>
        <w:rPr>
          <w:rFonts w:ascii="Calibri" w:hAnsi="Calibri" w:cs="Swiss721BT-Roman"/>
          <w:lang w:val="es-GT"/>
        </w:rPr>
      </w:pPr>
    </w:p>
    <w:p w:rsidR="00B45CCC" w:rsidRPr="00351A80" w:rsidRDefault="00B45CCC" w:rsidP="00C470CE">
      <w:pPr>
        <w:autoSpaceDE w:val="0"/>
        <w:autoSpaceDN w:val="0"/>
        <w:adjustRightInd w:val="0"/>
        <w:ind w:left="720"/>
        <w:contextualSpacing/>
        <w:jc w:val="both"/>
        <w:rPr>
          <w:rFonts w:ascii="Calibri" w:hAnsi="Calibri" w:cs="Swiss721BT-Roman"/>
          <w:lang w:val="es-GT"/>
        </w:rPr>
      </w:pPr>
      <w:r w:rsidRPr="00227FD6">
        <w:rPr>
          <w:rFonts w:ascii="Calibri" w:hAnsi="Calibri" w:cs="Swiss721BT-Roman"/>
          <w:lang w:val="es-GT"/>
        </w:rPr>
        <w:t>Los datos más recientes reportados por OSPESCA (2010)</w:t>
      </w:r>
      <w:r w:rsidRPr="00351A80">
        <w:rPr>
          <w:rFonts w:ascii="Calibri" w:hAnsi="Calibri" w:cs="Swiss721BT-Roman"/>
          <w:lang w:val="es-GT"/>
        </w:rPr>
        <w:t xml:space="preserve"> reflejan que el número de personas que se dedican a la pesca artesanal ha aumentado en las ZMC. Para 2009, al menos 87 comunidades se dedicaban a esta actividad, sumando un total de 12,400 personas. Cerca del 92% de estas personas son hombres y el restante 8%, mujeres. De acuerdo con estos datos, el litoral del Caribe emplea aproximadamente el 30% de los pescadores de pequeña escala. Un dato interesante es el hecho de que el 45.4% de los pescadores artesanales se de</w:t>
      </w:r>
      <w:r w:rsidR="00B80620">
        <w:rPr>
          <w:rFonts w:ascii="Calibri" w:hAnsi="Calibri" w:cs="Swiss721BT-Roman"/>
          <w:lang w:val="es-GT"/>
        </w:rPr>
        <w:t>dican exclusivamente a la pesca,</w:t>
      </w:r>
      <w:r w:rsidRPr="00351A80">
        <w:rPr>
          <w:rFonts w:ascii="Calibri" w:hAnsi="Calibri" w:cs="Swiss721BT-Roman"/>
          <w:lang w:val="es-GT"/>
        </w:rPr>
        <w:t xml:space="preserve"> el 27.9%, además a actividades agrícolas o ganaderas, y el 26.7% restante tiene alguna otra fuente de ingresos distinta a las actividades agropecuarias (comercio, trabajo doméstico, oficios diversos).</w:t>
      </w:r>
    </w:p>
    <w:p w:rsidR="00B45CCC" w:rsidRPr="00305C66" w:rsidRDefault="00B45CCC" w:rsidP="00B45CCC">
      <w:pPr>
        <w:autoSpaceDE w:val="0"/>
        <w:autoSpaceDN w:val="0"/>
        <w:adjustRightInd w:val="0"/>
        <w:ind w:left="360"/>
        <w:contextualSpacing/>
        <w:jc w:val="both"/>
        <w:rPr>
          <w:rFonts w:ascii="Calibri" w:hAnsi="Calibri" w:cs="Swiss721BT-Roman"/>
          <w:color w:val="FF0000"/>
          <w:lang w:val="es-GT"/>
        </w:rPr>
      </w:pPr>
    </w:p>
    <w:p w:rsidR="00B45CCC" w:rsidRPr="00775818" w:rsidRDefault="00B45CCC" w:rsidP="00775818">
      <w:pPr>
        <w:pStyle w:val="Prrafodelista"/>
        <w:numPr>
          <w:ilvl w:val="0"/>
          <w:numId w:val="52"/>
        </w:numPr>
        <w:autoSpaceDE w:val="0"/>
        <w:autoSpaceDN w:val="0"/>
        <w:adjustRightInd w:val="0"/>
        <w:jc w:val="both"/>
        <w:rPr>
          <w:rFonts w:cs="Calibri"/>
          <w:b/>
          <w:color w:val="365F91"/>
          <w:lang w:eastAsia="es-GT"/>
        </w:rPr>
      </w:pPr>
      <w:r w:rsidRPr="00775818">
        <w:rPr>
          <w:rFonts w:cs="Calibri"/>
          <w:b/>
          <w:color w:val="365F91"/>
          <w:lang w:eastAsia="es-GT"/>
        </w:rPr>
        <w:t>Capacidades institucionales para la gestión de la zona marino-costera</w:t>
      </w:r>
    </w:p>
    <w:p w:rsidR="00B45CCC" w:rsidRPr="00775818" w:rsidRDefault="00B45CCC" w:rsidP="00C470CE">
      <w:pPr>
        <w:autoSpaceDE w:val="0"/>
        <w:autoSpaceDN w:val="0"/>
        <w:adjustRightInd w:val="0"/>
        <w:ind w:left="720"/>
        <w:contextualSpacing/>
        <w:jc w:val="both"/>
        <w:rPr>
          <w:rFonts w:ascii="Calibri" w:hAnsi="Calibri" w:cs="Swiss721BT-Roman"/>
          <w:lang w:val="es-GT"/>
        </w:rPr>
      </w:pPr>
      <w:r w:rsidRPr="00775818">
        <w:rPr>
          <w:rFonts w:ascii="Calibri" w:hAnsi="Calibri" w:cs="Swiss721BT-Roman"/>
          <w:lang w:val="es-GT"/>
        </w:rPr>
        <w:t xml:space="preserve">Son cinco las instituciones con mandatos legales específicos asociados al uso, manejo, conservación y protección de los recursos naturales de la ZMC: Ministerio de Ambiente y Recursos Naturales (MARN), Consejo Nacional de Áreas Protegidas (CONAP), Unidad de Manejo de la Pesca y Acuicultura (UNIPESCA) del Ministerio de Agricultura, Ganadería y Alimentación (MAGA) </w:t>
      </w:r>
      <w:r w:rsidR="008363AB">
        <w:rPr>
          <w:rFonts w:ascii="Calibri" w:hAnsi="Calibri" w:cs="Swiss721BT-Roman"/>
          <w:lang w:val="es-GT"/>
        </w:rPr>
        <w:t xml:space="preserve">y </w:t>
      </w:r>
      <w:r w:rsidRPr="00775818">
        <w:rPr>
          <w:rFonts w:ascii="Calibri" w:hAnsi="Calibri" w:cs="Swiss721BT-Roman"/>
          <w:lang w:val="es-GT"/>
        </w:rPr>
        <w:t>el Departamento Marítimo y la Oficina de Control de Reservas Territoriales del Estado (OCRET).</w:t>
      </w:r>
    </w:p>
    <w:p w:rsidR="00B45CCC" w:rsidRPr="00775818" w:rsidRDefault="00B45CCC" w:rsidP="00C470CE">
      <w:pPr>
        <w:autoSpaceDE w:val="0"/>
        <w:autoSpaceDN w:val="0"/>
        <w:adjustRightInd w:val="0"/>
        <w:ind w:left="720"/>
        <w:contextualSpacing/>
        <w:jc w:val="both"/>
        <w:rPr>
          <w:rFonts w:ascii="Calibri" w:hAnsi="Calibri" w:cs="Swiss721BT-Roman"/>
          <w:lang w:val="es-GT"/>
        </w:rPr>
      </w:pPr>
    </w:p>
    <w:p w:rsidR="00B45CCC" w:rsidRPr="00775818" w:rsidRDefault="00B45CCC" w:rsidP="00C470CE">
      <w:pPr>
        <w:autoSpaceDE w:val="0"/>
        <w:autoSpaceDN w:val="0"/>
        <w:adjustRightInd w:val="0"/>
        <w:ind w:left="720"/>
        <w:contextualSpacing/>
        <w:jc w:val="both"/>
        <w:rPr>
          <w:rFonts w:ascii="Calibri" w:hAnsi="Calibri" w:cs="Swiss721BT-Roman"/>
          <w:lang w:val="es-GT"/>
        </w:rPr>
      </w:pPr>
      <w:r w:rsidRPr="00775818">
        <w:rPr>
          <w:rFonts w:ascii="Calibri" w:hAnsi="Calibri" w:cs="Swiss721BT-Roman"/>
          <w:lang w:val="es-GT"/>
        </w:rPr>
        <w:t xml:space="preserve">Las instituciones rectoras de la administración de la pesca y acuacultura, del manejo sostenible de la zona marino-costera y de las áreas protegidas, no poseen los recursos financieros,  ni la infraestructura, ni la capacidad técnica para administrar dicha zona; al contrario, cuentan con un mínimo presupuesto que podría significar el 0.5% del valor del mercado de los productos allí extraídos en la actualidad. Lo anterior evidencia el agotamiento y abandono en que se encuentra la ZMC desde la perspectiva institucional, </w:t>
      </w:r>
      <w:r w:rsidRPr="00775818">
        <w:rPr>
          <w:rFonts w:ascii="Calibri" w:hAnsi="Calibri" w:cs="Swiss721BT-Roman"/>
          <w:lang w:val="es-GT"/>
        </w:rPr>
        <w:lastRenderedPageBreak/>
        <w:t>cuya consecuencia es que el uso de los recursos marino-costeros queda a merced de las fuerzas del mercado y de las necesidades inmediatas de las comunidades.</w:t>
      </w:r>
    </w:p>
    <w:p w:rsidR="00B45CCC" w:rsidRPr="00775818" w:rsidRDefault="00B45CCC" w:rsidP="00C470CE">
      <w:pPr>
        <w:autoSpaceDE w:val="0"/>
        <w:autoSpaceDN w:val="0"/>
        <w:adjustRightInd w:val="0"/>
        <w:ind w:left="720"/>
        <w:contextualSpacing/>
        <w:jc w:val="both"/>
        <w:rPr>
          <w:rFonts w:ascii="Calibri" w:hAnsi="Calibri" w:cs="Swiss721BT-Roman"/>
          <w:lang w:val="es-GT"/>
        </w:rPr>
      </w:pPr>
    </w:p>
    <w:p w:rsidR="00B45CCC" w:rsidRDefault="00B45CCC" w:rsidP="00C470CE">
      <w:pPr>
        <w:autoSpaceDE w:val="0"/>
        <w:autoSpaceDN w:val="0"/>
        <w:adjustRightInd w:val="0"/>
        <w:ind w:left="720"/>
        <w:contextualSpacing/>
        <w:jc w:val="both"/>
        <w:rPr>
          <w:rFonts w:ascii="Calibri" w:hAnsi="Calibri" w:cs="Swiss721BT-Roman"/>
          <w:lang w:val="es-GT"/>
        </w:rPr>
      </w:pPr>
      <w:r w:rsidRPr="00775818">
        <w:rPr>
          <w:rFonts w:ascii="Calibri" w:hAnsi="Calibri" w:cs="Swiss721BT-Roman"/>
          <w:lang w:val="es-GT"/>
        </w:rPr>
        <w:t xml:space="preserve">Factores como la escasa coordinación interinstitucional, la débil vinculación sectorial y la poca presencia en la zona marítima inciden en que estas entidades tengan un impacto mínimo en la gestión integral de la zona (IARNA-URL, 2009). A ello se añaden la falta de recursos humanos y la escasa asignación presupuestaria, problemas que son recurrentes. </w:t>
      </w:r>
    </w:p>
    <w:p w:rsidR="008363AB" w:rsidRPr="00775818" w:rsidRDefault="008363AB" w:rsidP="00C470CE">
      <w:pPr>
        <w:autoSpaceDE w:val="0"/>
        <w:autoSpaceDN w:val="0"/>
        <w:adjustRightInd w:val="0"/>
        <w:ind w:left="720"/>
        <w:contextualSpacing/>
        <w:jc w:val="both"/>
        <w:rPr>
          <w:rFonts w:ascii="Calibri" w:hAnsi="Calibri" w:cs="Swiss721BT-Roman"/>
          <w:lang w:val="es-GT"/>
        </w:rPr>
      </w:pPr>
    </w:p>
    <w:p w:rsidR="00B45CCC" w:rsidRPr="00227FD6" w:rsidRDefault="00B45CCC" w:rsidP="00C470CE">
      <w:pPr>
        <w:autoSpaceDE w:val="0"/>
        <w:autoSpaceDN w:val="0"/>
        <w:adjustRightInd w:val="0"/>
        <w:ind w:left="720"/>
        <w:contextualSpacing/>
        <w:jc w:val="both"/>
        <w:rPr>
          <w:rFonts w:ascii="Calibri" w:hAnsi="Calibri" w:cs="Swiss721BT-Roman"/>
          <w:lang w:val="es-GT"/>
        </w:rPr>
      </w:pPr>
      <w:r w:rsidRPr="00227FD6">
        <w:rPr>
          <w:rFonts w:ascii="Calibri" w:hAnsi="Calibri" w:cs="Swiss721BT-Roman"/>
          <w:lang w:val="es-GT"/>
        </w:rPr>
        <w:t xml:space="preserve">FAO (2005) menciona, por ejemplo, que UNIPESCA contaba en 2005 </w:t>
      </w:r>
      <w:r w:rsidR="008363AB" w:rsidRPr="00227FD6">
        <w:rPr>
          <w:rFonts w:ascii="Calibri" w:hAnsi="Calibri" w:cs="Swiss721BT-Roman"/>
          <w:lang w:val="es-GT"/>
        </w:rPr>
        <w:t>con cinco a</w:t>
      </w:r>
      <w:r w:rsidRPr="00227FD6">
        <w:rPr>
          <w:rFonts w:ascii="Calibri" w:hAnsi="Calibri" w:cs="Swiss721BT-Roman"/>
          <w:lang w:val="es-GT"/>
        </w:rPr>
        <w:t xml:space="preserve"> siete inspe</w:t>
      </w:r>
      <w:r w:rsidR="008363AB" w:rsidRPr="00227FD6">
        <w:rPr>
          <w:rFonts w:ascii="Calibri" w:hAnsi="Calibri" w:cs="Swiss721BT-Roman"/>
          <w:lang w:val="es-GT"/>
        </w:rPr>
        <w:t>ctores de pesca asignados a</w:t>
      </w:r>
      <w:r w:rsidRPr="00227FD6">
        <w:rPr>
          <w:rFonts w:ascii="Calibri" w:hAnsi="Calibri" w:cs="Swiss721BT-Roman"/>
          <w:lang w:val="es-GT"/>
        </w:rPr>
        <w:t xml:space="preserve"> ambos litorales, y que sus recursos financieros eran mínimos para ejercer sus funciones más importantes. IARNA-URL (2009) indica que el personal de campo en las zonas marinas era de diez trabajadores en 2008, y la institución funcionaba con un presupuesto anual de Q6 millones en 2007, lo que representaría menos de Q40 al año por km</w:t>
      </w:r>
      <w:r w:rsidRPr="00227FD6">
        <w:rPr>
          <w:rFonts w:ascii="Calibri" w:hAnsi="Calibri" w:cs="Swiss721BT-Roman"/>
          <w:vertAlign w:val="superscript"/>
          <w:lang w:val="es-GT"/>
        </w:rPr>
        <w:t>2</w:t>
      </w:r>
      <w:r w:rsidRPr="00227FD6">
        <w:rPr>
          <w:rFonts w:ascii="Calibri" w:hAnsi="Calibri" w:cs="Swiss721BT-Roman"/>
          <w:lang w:val="es-GT"/>
        </w:rPr>
        <w:t xml:space="preserve"> de la zona económica exclusiva.</w:t>
      </w:r>
    </w:p>
    <w:p w:rsidR="00B45CCC" w:rsidRPr="00227FD6" w:rsidRDefault="00B45CCC" w:rsidP="00C470CE">
      <w:pPr>
        <w:autoSpaceDE w:val="0"/>
        <w:autoSpaceDN w:val="0"/>
        <w:adjustRightInd w:val="0"/>
        <w:ind w:left="720"/>
        <w:contextualSpacing/>
        <w:jc w:val="both"/>
        <w:rPr>
          <w:rFonts w:ascii="Calibri" w:hAnsi="Calibri" w:cs="Swiss721BT-Roman"/>
          <w:lang w:val="es-GT"/>
        </w:rPr>
      </w:pPr>
    </w:p>
    <w:p w:rsidR="00B45CCC" w:rsidRPr="00775818" w:rsidRDefault="00B45CCC" w:rsidP="00C470CE">
      <w:pPr>
        <w:autoSpaceDE w:val="0"/>
        <w:autoSpaceDN w:val="0"/>
        <w:adjustRightInd w:val="0"/>
        <w:ind w:left="720"/>
        <w:contextualSpacing/>
        <w:jc w:val="both"/>
        <w:rPr>
          <w:rFonts w:ascii="Calibri" w:hAnsi="Calibri" w:cs="Swiss721BT-Roman"/>
          <w:lang w:val="es-GT"/>
        </w:rPr>
      </w:pPr>
      <w:r w:rsidRPr="00227FD6">
        <w:rPr>
          <w:rFonts w:ascii="Calibri" w:hAnsi="Calibri" w:cs="Swiss721BT-Roman"/>
          <w:lang w:val="es-GT"/>
        </w:rPr>
        <w:t>Según SEGEPLAN (2011), la</w:t>
      </w:r>
      <w:r w:rsidRPr="00775818">
        <w:rPr>
          <w:rFonts w:ascii="Calibri" w:hAnsi="Calibri" w:cs="Swiss721BT-Roman"/>
          <w:lang w:val="es-GT"/>
        </w:rPr>
        <w:t xml:space="preserve"> forma como la OCRET ha gestionado el uso de las tierras estatales aledañas a las playas del Pacífico ha permitido el desarrollo de la industria hotelera y de recreación (chalés, casas de playa), para suplir la demanda de turismo </w:t>
      </w:r>
      <w:r w:rsidR="008363AB">
        <w:rPr>
          <w:rFonts w:ascii="Calibri" w:hAnsi="Calibri" w:cs="Swiss721BT-Roman"/>
          <w:lang w:val="es-GT"/>
        </w:rPr>
        <w:t>de</w:t>
      </w:r>
      <w:r w:rsidRPr="00775818">
        <w:rPr>
          <w:rFonts w:ascii="Calibri" w:hAnsi="Calibri" w:cs="Swiss721BT-Roman"/>
          <w:lang w:val="es-GT"/>
        </w:rPr>
        <w:t xml:space="preserve"> la clase media citadina. Un presupuesto de Q8 millones para el año 2007 para gestionar 112,804 ha de tierras nacionales (Q70 por hectárea) es un indicador de la débil capacidad de la institución para ejercer su función.</w:t>
      </w:r>
    </w:p>
    <w:p w:rsidR="00B45CCC" w:rsidRPr="00775818" w:rsidRDefault="00B45CCC" w:rsidP="00C470CE">
      <w:pPr>
        <w:autoSpaceDE w:val="0"/>
        <w:autoSpaceDN w:val="0"/>
        <w:adjustRightInd w:val="0"/>
        <w:ind w:left="720"/>
        <w:contextualSpacing/>
        <w:jc w:val="both"/>
        <w:rPr>
          <w:rFonts w:ascii="Calibri" w:hAnsi="Calibri" w:cs="Swiss721BT-Roman"/>
          <w:lang w:val="es-GT"/>
        </w:rPr>
      </w:pPr>
    </w:p>
    <w:p w:rsidR="00B45CCC" w:rsidRPr="00775818" w:rsidRDefault="00B45CCC" w:rsidP="00C470CE">
      <w:pPr>
        <w:autoSpaceDE w:val="0"/>
        <w:autoSpaceDN w:val="0"/>
        <w:adjustRightInd w:val="0"/>
        <w:ind w:left="720"/>
        <w:contextualSpacing/>
        <w:jc w:val="both"/>
        <w:rPr>
          <w:rFonts w:ascii="Calibri" w:hAnsi="Calibri" w:cs="Swiss721BT-Roman"/>
          <w:lang w:val="es-GT"/>
        </w:rPr>
      </w:pPr>
      <w:r w:rsidRPr="00775818">
        <w:rPr>
          <w:rFonts w:ascii="Calibri" w:hAnsi="Calibri" w:cs="Swiss721BT-Roman"/>
          <w:lang w:val="es-GT"/>
        </w:rPr>
        <w:t>Con el objetivo de orientar la generación de instrumentos y herramientas que “garanticen a largo plazo el buen uso a perpetuidad de los recursos marino costeros” y que promuevan el desarrollo de las comunidades costeras, el MARN oficializó la Política para el Manej</w:t>
      </w:r>
      <w:r w:rsidR="008363AB">
        <w:rPr>
          <w:rFonts w:ascii="Calibri" w:hAnsi="Calibri" w:cs="Swiss721BT-Roman"/>
          <w:lang w:val="es-GT"/>
        </w:rPr>
        <w:t>o Integral de las Zonas Marino-C</w:t>
      </w:r>
      <w:r w:rsidRPr="00775818">
        <w:rPr>
          <w:rFonts w:ascii="Calibri" w:hAnsi="Calibri" w:cs="Swiss721BT-Roman"/>
          <w:lang w:val="es-GT"/>
        </w:rPr>
        <w:t>osteras de Guatemala (Acuerdo Gubernativo 328-2009) en marzo de 2010. Esa normativa se constituye en una oportunidad y un instrumento para alcanzar, como Estado, un acuerdo nacional que estipule una utilización racional de los bienes y servicios naturales, que son estratégicos para el desarrollo del país (MARN, 2009). Actualmente, la misma aún no se implementa.</w:t>
      </w:r>
    </w:p>
    <w:p w:rsidR="00B45CCC" w:rsidRPr="00775818" w:rsidRDefault="00B45CCC" w:rsidP="00C470CE">
      <w:pPr>
        <w:autoSpaceDE w:val="0"/>
        <w:autoSpaceDN w:val="0"/>
        <w:adjustRightInd w:val="0"/>
        <w:ind w:left="720"/>
        <w:contextualSpacing/>
        <w:jc w:val="both"/>
        <w:rPr>
          <w:rFonts w:ascii="Calibri" w:hAnsi="Calibri" w:cs="Swiss721BT-Roman"/>
          <w:lang w:val="es-GT"/>
        </w:rPr>
      </w:pPr>
    </w:p>
    <w:p w:rsidR="00B45CCC" w:rsidRPr="00775818" w:rsidRDefault="00B45CCC" w:rsidP="00C470CE">
      <w:pPr>
        <w:autoSpaceDE w:val="0"/>
        <w:autoSpaceDN w:val="0"/>
        <w:adjustRightInd w:val="0"/>
        <w:ind w:left="720"/>
        <w:contextualSpacing/>
        <w:jc w:val="both"/>
        <w:rPr>
          <w:rFonts w:ascii="Calibri" w:hAnsi="Calibri" w:cs="Swiss721BT-Roman"/>
          <w:lang w:val="es-GT"/>
        </w:rPr>
      </w:pPr>
      <w:r w:rsidRPr="00775818">
        <w:rPr>
          <w:rFonts w:ascii="Calibri" w:hAnsi="Calibri" w:cs="Swiss721BT-Roman"/>
          <w:lang w:val="es-GT"/>
        </w:rPr>
        <w:t>La administración de las zonas marino-costeras del país debería enfocarse en generar nuevas estrategias para el manejo de los recursos pesqueros, que impulsen mayor capacidad de administración y control, y que generen incentivos para que los pescadores artesanales e industriales hagan un aprovechamiento sostenible de esos bienes, a la vez que se desarrolla un turismo que permitiría a todos gozar de la riqueza natural y oportunidades de recreación que el país ofrece a sus habitantes y visitantes.</w:t>
      </w:r>
    </w:p>
    <w:p w:rsidR="00B45CCC" w:rsidRDefault="00B45CCC" w:rsidP="00B45CCC">
      <w:pPr>
        <w:ind w:left="360"/>
        <w:jc w:val="both"/>
        <w:rPr>
          <w:rFonts w:ascii="Calibri" w:hAnsi="Calibri" w:cs="Calibri"/>
          <w:lang w:val="es-GT"/>
        </w:rPr>
      </w:pPr>
    </w:p>
    <w:p w:rsidR="00B45CCC" w:rsidRPr="001A01AB" w:rsidRDefault="00B45CCC" w:rsidP="00B45CCC">
      <w:pPr>
        <w:ind w:left="360"/>
        <w:jc w:val="both"/>
        <w:rPr>
          <w:rFonts w:ascii="Calibri" w:hAnsi="Calibri" w:cs="Calibri"/>
          <w:lang w:val="es-GT"/>
        </w:rPr>
      </w:pPr>
    </w:p>
    <w:p w:rsidR="007F6462" w:rsidRPr="001A01AB" w:rsidRDefault="00523BC1" w:rsidP="00B45CCC">
      <w:pPr>
        <w:pStyle w:val="Prrafodelista"/>
        <w:numPr>
          <w:ilvl w:val="3"/>
          <w:numId w:val="51"/>
        </w:numPr>
        <w:jc w:val="both"/>
        <w:rPr>
          <w:rFonts w:cs="Calibri"/>
          <w:b/>
          <w:color w:val="365F91"/>
        </w:rPr>
      </w:pPr>
      <w:r>
        <w:rPr>
          <w:rFonts w:cs="Calibri"/>
          <w:b/>
          <w:color w:val="365F91"/>
        </w:rPr>
        <w:t xml:space="preserve"> </w:t>
      </w:r>
      <w:r w:rsidR="007F6462" w:rsidRPr="001A01AB">
        <w:rPr>
          <w:rFonts w:cs="Calibri"/>
          <w:b/>
          <w:color w:val="365F91"/>
        </w:rPr>
        <w:t xml:space="preserve">El cambio climático en Guatemala </w:t>
      </w:r>
    </w:p>
    <w:p w:rsidR="00780D81" w:rsidRDefault="007F6462" w:rsidP="00020179">
      <w:pPr>
        <w:ind w:left="357"/>
        <w:jc w:val="both"/>
        <w:rPr>
          <w:rFonts w:ascii="Calibri" w:hAnsi="Calibri" w:cs="Calibri"/>
          <w:lang w:val="es-GT"/>
        </w:rPr>
      </w:pPr>
      <w:r w:rsidRPr="001A01AB">
        <w:rPr>
          <w:rFonts w:ascii="Calibri" w:hAnsi="Calibri" w:cs="Calibri"/>
          <w:lang w:val="es-GT"/>
        </w:rPr>
        <w:t>Centroamérica</w:t>
      </w:r>
      <w:r w:rsidR="008363AB">
        <w:rPr>
          <w:rFonts w:ascii="Calibri" w:hAnsi="Calibri" w:cs="Calibri"/>
          <w:lang w:val="es-GT"/>
        </w:rPr>
        <w:t>,</w:t>
      </w:r>
      <w:r w:rsidRPr="001A01AB">
        <w:rPr>
          <w:rFonts w:ascii="Calibri" w:hAnsi="Calibri" w:cs="Calibri"/>
          <w:lang w:val="es-GT"/>
        </w:rPr>
        <w:t xml:space="preserve"> de manera recurrente y con cierta periodicidad inexacta, es afectada por anomalías climáticas (Jiménez, 2000, citado por IARNA</w:t>
      </w:r>
      <w:r w:rsidR="008363AB">
        <w:rPr>
          <w:rFonts w:ascii="Calibri" w:hAnsi="Calibri" w:cs="Calibri"/>
          <w:lang w:val="es-GT"/>
        </w:rPr>
        <w:t>-URL e IIA</w:t>
      </w:r>
      <w:r w:rsidRPr="001A01AB">
        <w:rPr>
          <w:rFonts w:ascii="Calibri" w:hAnsi="Calibri" w:cs="Calibri"/>
          <w:lang w:val="es-GT"/>
        </w:rPr>
        <w:t>, 2003</w:t>
      </w:r>
      <w:r w:rsidR="008363AB">
        <w:rPr>
          <w:rFonts w:ascii="Calibri" w:hAnsi="Calibri" w:cs="Calibri"/>
          <w:lang w:val="es-GT"/>
        </w:rPr>
        <w:t>a</w:t>
      </w:r>
      <w:r w:rsidRPr="001A01AB">
        <w:rPr>
          <w:rFonts w:ascii="Calibri" w:hAnsi="Calibri" w:cs="Calibri"/>
          <w:lang w:val="es-GT"/>
        </w:rPr>
        <w:t>); éstas pueden estar relacionadas con señales o fuentes de variabilidad</w:t>
      </w:r>
      <w:r w:rsidR="009B45E5">
        <w:rPr>
          <w:rFonts w:ascii="Calibri" w:hAnsi="Calibri" w:cs="Calibri"/>
          <w:lang w:val="es-GT"/>
        </w:rPr>
        <w:t xml:space="preserve"> climática directa o</w:t>
      </w:r>
      <w:r w:rsidRPr="001A01AB">
        <w:rPr>
          <w:rFonts w:ascii="Calibri" w:hAnsi="Calibri" w:cs="Calibri"/>
          <w:lang w:val="es-GT"/>
        </w:rPr>
        <w:t xml:space="preserve"> transportadas por efecto </w:t>
      </w:r>
      <w:r w:rsidRPr="001A01AB">
        <w:rPr>
          <w:rFonts w:ascii="Calibri" w:hAnsi="Calibri" w:cs="Calibri"/>
          <w:lang w:val="es-GT"/>
        </w:rPr>
        <w:lastRenderedPageBreak/>
        <w:t>de teleconexiones del clima. Particularmente en Guatemala ya se presentan reducciones de la productividad de los ecosistemas, con repercusiones sociales en los procesos de empobrecimiento, migración, desplazamientos internos y deterioro de la calidad de vida de la población, principalmente la rura</w:t>
      </w:r>
      <w:r w:rsidR="009B45E5">
        <w:rPr>
          <w:rFonts w:ascii="Calibri" w:hAnsi="Calibri" w:cs="Calibri"/>
          <w:lang w:val="es-GT"/>
        </w:rPr>
        <w:t>l y la urbano-marginal (</w:t>
      </w:r>
      <w:r w:rsidRPr="001A01AB">
        <w:rPr>
          <w:rFonts w:ascii="Calibri" w:hAnsi="Calibri" w:cs="Calibri"/>
          <w:lang w:val="es-GT"/>
        </w:rPr>
        <w:t>IARNA</w:t>
      </w:r>
      <w:r w:rsidR="009B45E5">
        <w:rPr>
          <w:rFonts w:ascii="Calibri" w:hAnsi="Calibri" w:cs="Calibri"/>
          <w:lang w:val="es-GT"/>
        </w:rPr>
        <w:t>-URL e IIA</w:t>
      </w:r>
      <w:r w:rsidRPr="001A01AB">
        <w:rPr>
          <w:rFonts w:ascii="Calibri" w:hAnsi="Calibri" w:cs="Calibri"/>
          <w:lang w:val="es-GT"/>
        </w:rPr>
        <w:t>, 2003</w:t>
      </w:r>
      <w:r w:rsidR="009B45E5">
        <w:rPr>
          <w:rFonts w:ascii="Calibri" w:hAnsi="Calibri" w:cs="Calibri"/>
          <w:lang w:val="es-GT"/>
        </w:rPr>
        <w:t>b</w:t>
      </w:r>
      <w:r w:rsidRPr="001A01AB">
        <w:rPr>
          <w:rFonts w:ascii="Calibri" w:hAnsi="Calibri" w:cs="Calibri"/>
          <w:lang w:val="es-GT"/>
        </w:rPr>
        <w:t>).</w:t>
      </w:r>
      <w:r w:rsidR="00780D81" w:rsidRPr="001A01AB">
        <w:rPr>
          <w:rFonts w:ascii="Calibri" w:hAnsi="Calibri" w:cs="Calibri"/>
          <w:lang w:val="es-GT"/>
        </w:rPr>
        <w:t xml:space="preserve"> </w:t>
      </w:r>
    </w:p>
    <w:p w:rsidR="007A58FC" w:rsidRDefault="007A58FC" w:rsidP="00020179">
      <w:pPr>
        <w:ind w:left="357"/>
        <w:jc w:val="both"/>
        <w:rPr>
          <w:rFonts w:ascii="Calibri" w:hAnsi="Calibri" w:cs="Calibri"/>
          <w:lang w:val="es-GT"/>
        </w:rPr>
      </w:pPr>
    </w:p>
    <w:p w:rsidR="00775818" w:rsidRPr="001A01AB" w:rsidRDefault="00775818" w:rsidP="00020179">
      <w:pPr>
        <w:ind w:left="357"/>
        <w:jc w:val="both"/>
        <w:rPr>
          <w:rFonts w:ascii="Calibri" w:hAnsi="Calibri" w:cs="Calibri"/>
          <w:lang w:val="es-GT"/>
        </w:rPr>
      </w:pPr>
    </w:p>
    <w:p w:rsidR="007F6462" w:rsidRPr="001A01AB" w:rsidRDefault="007F6462" w:rsidP="006B0A31">
      <w:pPr>
        <w:pStyle w:val="Prrafodelista"/>
        <w:numPr>
          <w:ilvl w:val="0"/>
          <w:numId w:val="52"/>
        </w:numPr>
        <w:autoSpaceDE w:val="0"/>
        <w:autoSpaceDN w:val="0"/>
        <w:adjustRightInd w:val="0"/>
        <w:jc w:val="both"/>
        <w:rPr>
          <w:rFonts w:cs="Calibri"/>
          <w:b/>
          <w:color w:val="365F91"/>
          <w:lang w:eastAsia="es-GT"/>
        </w:rPr>
      </w:pPr>
      <w:r w:rsidRPr="001A01AB">
        <w:rPr>
          <w:rFonts w:cs="Calibri"/>
          <w:b/>
          <w:color w:val="365F91"/>
          <w:lang w:eastAsia="es-GT"/>
        </w:rPr>
        <w:t>Comportamiento histórico del clima en Guatemala</w:t>
      </w:r>
    </w:p>
    <w:p w:rsidR="007F6462" w:rsidRPr="001A01AB" w:rsidRDefault="0076720D" w:rsidP="00C470CE">
      <w:pPr>
        <w:autoSpaceDE w:val="0"/>
        <w:autoSpaceDN w:val="0"/>
        <w:adjustRightInd w:val="0"/>
        <w:ind w:left="720"/>
        <w:jc w:val="both"/>
        <w:rPr>
          <w:rFonts w:ascii="Calibri" w:eastAsia="Calibri" w:hAnsi="Calibri" w:cs="Calibri"/>
          <w:lang w:val="es-GT"/>
        </w:rPr>
      </w:pPr>
      <w:r>
        <w:rPr>
          <w:rFonts w:ascii="Calibri" w:eastAsia="Calibri" w:hAnsi="Calibri" w:cs="Calibri"/>
          <w:lang w:val="es-GT"/>
        </w:rPr>
        <w:t>E</w:t>
      </w:r>
      <w:r w:rsidR="007F6462" w:rsidRPr="001A01AB">
        <w:rPr>
          <w:rFonts w:ascii="Calibri" w:eastAsia="Calibri" w:hAnsi="Calibri" w:cs="Calibri"/>
          <w:lang w:val="es-GT"/>
        </w:rPr>
        <w:t xml:space="preserve">studios </w:t>
      </w:r>
      <w:r>
        <w:rPr>
          <w:rFonts w:ascii="Calibri" w:eastAsia="Calibri" w:hAnsi="Calibri" w:cs="Calibri"/>
          <w:lang w:val="es-GT"/>
        </w:rPr>
        <w:t>que evalúan</w:t>
      </w:r>
      <w:r w:rsidR="007F6462" w:rsidRPr="001A01AB">
        <w:rPr>
          <w:rFonts w:ascii="Calibri" w:eastAsia="Calibri" w:hAnsi="Calibri" w:cs="Calibri"/>
          <w:lang w:val="es-GT"/>
        </w:rPr>
        <w:t xml:space="preserve"> el comportamiento del clima, </w:t>
      </w:r>
      <w:r>
        <w:rPr>
          <w:rFonts w:ascii="Calibri" w:eastAsia="Calibri" w:hAnsi="Calibri" w:cs="Calibri"/>
          <w:lang w:val="es-GT"/>
        </w:rPr>
        <w:t xml:space="preserve">tanto </w:t>
      </w:r>
      <w:r w:rsidR="009B45E5">
        <w:rPr>
          <w:rFonts w:ascii="Calibri" w:eastAsia="Calibri" w:hAnsi="Calibri" w:cs="Calibri"/>
          <w:lang w:val="es-GT"/>
        </w:rPr>
        <w:t>nacional</w:t>
      </w:r>
      <w:r w:rsidR="007F6462" w:rsidRPr="001A01AB">
        <w:rPr>
          <w:rFonts w:ascii="Calibri" w:eastAsia="Calibri" w:hAnsi="Calibri" w:cs="Calibri"/>
          <w:lang w:val="es-GT"/>
        </w:rPr>
        <w:t xml:space="preserve"> como a nivel global, muestran que existe una clara tendencia al calentamiento de la capa baja de la atmósfera, asociada en mayor medida, a las concentraciones de Gases de Efecto Invernadero (GEI) de origen antropogénico (MARN, 2001). </w:t>
      </w:r>
      <w:r>
        <w:rPr>
          <w:rFonts w:ascii="Calibri" w:eastAsia="Calibri" w:hAnsi="Calibri" w:cs="Calibri"/>
          <w:lang w:val="es-GT"/>
        </w:rPr>
        <w:t xml:space="preserve">En el caso de </w:t>
      </w:r>
      <w:r w:rsidR="007F6462" w:rsidRPr="001A01AB">
        <w:rPr>
          <w:rFonts w:ascii="Calibri" w:eastAsia="Calibri" w:hAnsi="Calibri" w:cs="Calibri"/>
          <w:lang w:val="es-GT"/>
        </w:rPr>
        <w:t>Guatemala</w:t>
      </w:r>
      <w:r>
        <w:rPr>
          <w:rFonts w:ascii="Calibri" w:eastAsia="Calibri" w:hAnsi="Calibri" w:cs="Calibri"/>
          <w:lang w:val="es-GT"/>
        </w:rPr>
        <w:t xml:space="preserve">, el comportamiento, tanto de </w:t>
      </w:r>
      <w:r w:rsidR="007F6462" w:rsidRPr="001A01AB">
        <w:rPr>
          <w:rFonts w:ascii="Calibri" w:eastAsia="Calibri" w:hAnsi="Calibri" w:cs="Calibri"/>
          <w:lang w:val="es-GT"/>
        </w:rPr>
        <w:t>la temperatura</w:t>
      </w:r>
      <w:r>
        <w:rPr>
          <w:rFonts w:ascii="Calibri" w:eastAsia="Calibri" w:hAnsi="Calibri" w:cs="Calibri"/>
          <w:lang w:val="es-GT"/>
        </w:rPr>
        <w:t xml:space="preserve"> como de la </w:t>
      </w:r>
      <w:r w:rsidR="007F6462" w:rsidRPr="001A01AB">
        <w:rPr>
          <w:rFonts w:ascii="Calibri" w:eastAsia="Calibri" w:hAnsi="Calibri" w:cs="Calibri"/>
          <w:lang w:val="es-GT"/>
        </w:rPr>
        <w:t xml:space="preserve">precipitación, </w:t>
      </w:r>
      <w:r>
        <w:rPr>
          <w:rFonts w:ascii="Calibri" w:eastAsia="Calibri" w:hAnsi="Calibri" w:cs="Calibri"/>
          <w:lang w:val="es-GT"/>
        </w:rPr>
        <w:t xml:space="preserve">resultan líneas de análisis fundamental para comprender las implicaciones del cambio </w:t>
      </w:r>
      <w:r w:rsidR="00CC063A">
        <w:rPr>
          <w:rFonts w:ascii="Calibri" w:eastAsia="Calibri" w:hAnsi="Calibri" w:cs="Calibri"/>
          <w:lang w:val="es-GT"/>
        </w:rPr>
        <w:t>climático</w:t>
      </w:r>
      <w:r>
        <w:rPr>
          <w:rFonts w:ascii="Calibri" w:eastAsia="Calibri" w:hAnsi="Calibri" w:cs="Calibri"/>
          <w:lang w:val="es-GT"/>
        </w:rPr>
        <w:t>.</w:t>
      </w:r>
    </w:p>
    <w:p w:rsidR="007F6462" w:rsidRPr="001A01AB" w:rsidRDefault="007F6462" w:rsidP="00C470CE">
      <w:pPr>
        <w:autoSpaceDE w:val="0"/>
        <w:autoSpaceDN w:val="0"/>
        <w:adjustRightInd w:val="0"/>
        <w:ind w:left="720"/>
        <w:jc w:val="both"/>
        <w:rPr>
          <w:rFonts w:ascii="Calibri" w:eastAsia="Calibri" w:hAnsi="Calibri" w:cs="Calibri"/>
          <w:lang w:val="es-GT"/>
        </w:rPr>
      </w:pPr>
    </w:p>
    <w:p w:rsidR="007F6462" w:rsidRDefault="007F6462" w:rsidP="00C470CE">
      <w:pPr>
        <w:autoSpaceDE w:val="0"/>
        <w:autoSpaceDN w:val="0"/>
        <w:adjustRightInd w:val="0"/>
        <w:ind w:left="720"/>
        <w:jc w:val="both"/>
        <w:rPr>
          <w:rFonts w:ascii="Calibri" w:eastAsia="Calibri" w:hAnsi="Calibri" w:cs="Calibri"/>
          <w:lang w:val="es-GT"/>
        </w:rPr>
      </w:pPr>
      <w:r w:rsidRPr="001A01AB">
        <w:rPr>
          <w:rFonts w:ascii="Calibri" w:eastAsia="Calibri" w:hAnsi="Calibri" w:cs="Calibri"/>
          <w:lang w:val="es-GT"/>
        </w:rPr>
        <w:t>Estudios climáticos realizados con información del período 1961-1990 muestran que el comportamiento de la temperatura media anual de Guatemala presenta una tenden</w:t>
      </w:r>
      <w:r w:rsidR="009B45E5">
        <w:rPr>
          <w:rFonts w:ascii="Calibri" w:eastAsia="Calibri" w:hAnsi="Calibri" w:cs="Calibri"/>
          <w:lang w:val="es-GT"/>
        </w:rPr>
        <w:t>cia al incremento</w:t>
      </w:r>
      <w:r w:rsidRPr="001A01AB">
        <w:rPr>
          <w:rFonts w:ascii="Calibri" w:eastAsia="Calibri" w:hAnsi="Calibri" w:cs="Calibri"/>
          <w:lang w:val="es-GT"/>
        </w:rPr>
        <w:t xml:space="preserve"> a partir de los años 70 (MARN, 2001). </w:t>
      </w:r>
      <w:r w:rsidRPr="001A01AB">
        <w:rPr>
          <w:rFonts w:ascii="Calibri" w:eastAsia="Calibri" w:hAnsi="Calibri" w:cs="Calibri"/>
          <w:bCs/>
          <w:lang w:val="es-GT"/>
        </w:rPr>
        <w:t xml:space="preserve">Los análisis de la </w:t>
      </w:r>
      <w:r w:rsidRPr="001A01AB">
        <w:rPr>
          <w:rFonts w:ascii="Calibri" w:eastAsia="Calibri" w:hAnsi="Calibri" w:cs="Calibri"/>
          <w:lang w:val="es-GT"/>
        </w:rPr>
        <w:t>variabilidad climática interanual en la temperatura media anual de Guatemala muestra</w:t>
      </w:r>
      <w:r w:rsidR="009B45E5">
        <w:rPr>
          <w:rFonts w:ascii="Calibri" w:eastAsia="Calibri" w:hAnsi="Calibri" w:cs="Calibri"/>
          <w:lang w:val="es-GT"/>
        </w:rPr>
        <w:t>n</w:t>
      </w:r>
      <w:r w:rsidRPr="001A01AB">
        <w:rPr>
          <w:rFonts w:ascii="Calibri" w:eastAsia="Calibri" w:hAnsi="Calibri" w:cs="Calibri"/>
          <w:lang w:val="es-GT"/>
        </w:rPr>
        <w:t xml:space="preserve"> una tendencia al incremento</w:t>
      </w:r>
      <w:r w:rsidR="0076720D">
        <w:rPr>
          <w:rFonts w:ascii="Calibri" w:eastAsia="Calibri" w:hAnsi="Calibri" w:cs="Calibri"/>
          <w:lang w:val="es-GT"/>
        </w:rPr>
        <w:t>, condicionad</w:t>
      </w:r>
      <w:r w:rsidR="009B45E5">
        <w:rPr>
          <w:rFonts w:ascii="Calibri" w:eastAsia="Calibri" w:hAnsi="Calibri" w:cs="Calibri"/>
          <w:lang w:val="es-GT"/>
        </w:rPr>
        <w:t>a</w:t>
      </w:r>
      <w:r w:rsidRPr="001A01AB">
        <w:rPr>
          <w:rFonts w:ascii="Calibri" w:eastAsia="Calibri" w:hAnsi="Calibri" w:cs="Calibri"/>
          <w:lang w:val="es-GT"/>
        </w:rPr>
        <w:t xml:space="preserve"> por el predominio de anomalías positivas (valores superiores al promedio del período) a final</w:t>
      </w:r>
      <w:r w:rsidR="00CC063A">
        <w:rPr>
          <w:rFonts w:ascii="Calibri" w:eastAsia="Calibri" w:hAnsi="Calibri" w:cs="Calibri"/>
          <w:lang w:val="es-GT"/>
        </w:rPr>
        <w:t>es de la década de los años 80</w:t>
      </w:r>
      <w:r w:rsidR="009B45E5">
        <w:rPr>
          <w:rFonts w:ascii="Calibri" w:eastAsia="Calibri" w:hAnsi="Calibri" w:cs="Calibri"/>
          <w:lang w:val="es-GT"/>
        </w:rPr>
        <w:t xml:space="preserve">, como eventos de </w:t>
      </w:r>
      <w:r w:rsidR="00CC063A">
        <w:rPr>
          <w:rFonts w:ascii="Calibri" w:eastAsia="Calibri" w:hAnsi="Calibri" w:cs="Calibri"/>
          <w:lang w:val="es-GT"/>
        </w:rPr>
        <w:t>“</w:t>
      </w:r>
      <w:r w:rsidRPr="001A01AB">
        <w:rPr>
          <w:rFonts w:ascii="Calibri" w:eastAsia="Calibri" w:hAnsi="Calibri" w:cs="Calibri"/>
          <w:lang w:val="es-GT"/>
        </w:rPr>
        <w:t>El Niño Oscilación del Sur</w:t>
      </w:r>
      <w:r w:rsidR="00CC063A">
        <w:rPr>
          <w:rFonts w:ascii="Calibri" w:eastAsia="Calibri" w:hAnsi="Calibri" w:cs="Calibri"/>
          <w:lang w:val="es-GT"/>
        </w:rPr>
        <w:t>”</w:t>
      </w:r>
      <w:r w:rsidRPr="001A01AB">
        <w:rPr>
          <w:rFonts w:ascii="Calibri" w:eastAsia="Calibri" w:hAnsi="Calibri" w:cs="Calibri"/>
          <w:lang w:val="es-GT"/>
        </w:rPr>
        <w:t xml:space="preserve"> (</w:t>
      </w:r>
      <w:r w:rsidR="009B45E5">
        <w:rPr>
          <w:rFonts w:ascii="Calibri" w:eastAsia="Calibri" w:hAnsi="Calibri" w:cs="Calibri"/>
          <w:lang w:val="es-GT"/>
        </w:rPr>
        <w:t>I</w:t>
      </w:r>
      <w:r w:rsidRPr="001A01AB">
        <w:rPr>
          <w:rFonts w:ascii="Calibri" w:eastAsia="Calibri" w:hAnsi="Calibri" w:cs="Calibri"/>
          <w:lang w:val="es-GT"/>
        </w:rPr>
        <w:t>ARNA</w:t>
      </w:r>
      <w:r w:rsidR="009B45E5">
        <w:rPr>
          <w:rFonts w:ascii="Calibri" w:eastAsia="Calibri" w:hAnsi="Calibri" w:cs="Calibri"/>
          <w:lang w:val="es-GT"/>
        </w:rPr>
        <w:t>-URL e IIA</w:t>
      </w:r>
      <w:r w:rsidRPr="001A01AB">
        <w:rPr>
          <w:rFonts w:ascii="Calibri" w:eastAsia="Calibri" w:hAnsi="Calibri" w:cs="Calibri"/>
          <w:lang w:val="es-GT"/>
        </w:rPr>
        <w:t>, 2003</w:t>
      </w:r>
      <w:r w:rsidR="009B45E5">
        <w:rPr>
          <w:rFonts w:ascii="Calibri" w:eastAsia="Calibri" w:hAnsi="Calibri" w:cs="Calibri"/>
          <w:lang w:val="es-GT"/>
        </w:rPr>
        <w:t>a</w:t>
      </w:r>
      <w:r w:rsidRPr="001A01AB">
        <w:rPr>
          <w:rFonts w:ascii="Calibri" w:eastAsia="Calibri" w:hAnsi="Calibri" w:cs="Calibri"/>
          <w:lang w:val="es-GT"/>
        </w:rPr>
        <w:t>).</w:t>
      </w:r>
    </w:p>
    <w:p w:rsidR="00CC063A" w:rsidRPr="001A01AB" w:rsidRDefault="00CC063A" w:rsidP="00C470CE">
      <w:pPr>
        <w:autoSpaceDE w:val="0"/>
        <w:autoSpaceDN w:val="0"/>
        <w:adjustRightInd w:val="0"/>
        <w:ind w:left="720"/>
        <w:jc w:val="both"/>
        <w:rPr>
          <w:rFonts w:ascii="Calibri" w:eastAsia="Calibri" w:hAnsi="Calibri" w:cs="Calibri"/>
          <w:lang w:val="es-GT"/>
        </w:rPr>
      </w:pPr>
    </w:p>
    <w:p w:rsidR="007F6462" w:rsidRDefault="007F6462" w:rsidP="00C470CE">
      <w:pPr>
        <w:autoSpaceDE w:val="0"/>
        <w:autoSpaceDN w:val="0"/>
        <w:adjustRightInd w:val="0"/>
        <w:spacing w:line="264" w:lineRule="auto"/>
        <w:ind w:left="720"/>
        <w:jc w:val="both"/>
        <w:rPr>
          <w:rFonts w:ascii="Calibri" w:eastAsia="Calibri" w:hAnsi="Calibri" w:cs="Calibri"/>
          <w:lang w:val="es-GT"/>
        </w:rPr>
      </w:pPr>
      <w:r w:rsidRPr="001A01AB">
        <w:rPr>
          <w:rFonts w:ascii="Calibri" w:eastAsia="Calibri" w:hAnsi="Calibri" w:cs="Calibri"/>
          <w:lang w:val="es-GT"/>
        </w:rPr>
        <w:t xml:space="preserve">Herrera, </w:t>
      </w:r>
      <w:r w:rsidR="00CC063A">
        <w:rPr>
          <w:rFonts w:ascii="Calibri" w:eastAsia="Calibri" w:hAnsi="Calibri" w:cs="Calibri"/>
          <w:lang w:val="es-GT"/>
        </w:rPr>
        <w:t>citado en</w:t>
      </w:r>
      <w:r w:rsidR="00141A70">
        <w:rPr>
          <w:rFonts w:ascii="Calibri" w:eastAsia="Calibri" w:hAnsi="Calibri" w:cs="Calibri"/>
          <w:lang w:val="es-GT"/>
        </w:rPr>
        <w:t xml:space="preserve"> </w:t>
      </w:r>
      <w:r w:rsidRPr="001A01AB">
        <w:rPr>
          <w:rFonts w:ascii="Calibri" w:eastAsia="Calibri" w:hAnsi="Calibri" w:cs="Calibri"/>
          <w:lang w:val="es-GT"/>
        </w:rPr>
        <w:t>IARNA</w:t>
      </w:r>
      <w:r w:rsidR="00CC063A">
        <w:rPr>
          <w:rFonts w:ascii="Calibri" w:eastAsia="Calibri" w:hAnsi="Calibri" w:cs="Calibri"/>
          <w:lang w:val="es-GT"/>
        </w:rPr>
        <w:t>-</w:t>
      </w:r>
      <w:r w:rsidR="009B45E5">
        <w:rPr>
          <w:rFonts w:ascii="Calibri" w:eastAsia="Calibri" w:hAnsi="Calibri" w:cs="Calibri"/>
          <w:lang w:val="es-GT"/>
        </w:rPr>
        <w:t xml:space="preserve">URL e </w:t>
      </w:r>
      <w:r w:rsidR="00CC063A">
        <w:rPr>
          <w:rFonts w:ascii="Calibri" w:eastAsia="Calibri" w:hAnsi="Calibri" w:cs="Calibri"/>
          <w:lang w:val="es-GT"/>
        </w:rPr>
        <w:t>IIA</w:t>
      </w:r>
      <w:r w:rsidR="009B45E5">
        <w:rPr>
          <w:rFonts w:ascii="Calibri" w:eastAsia="Calibri" w:hAnsi="Calibri" w:cs="Calibri"/>
          <w:lang w:val="es-GT"/>
        </w:rPr>
        <w:t xml:space="preserve"> (</w:t>
      </w:r>
      <w:r w:rsidRPr="001A01AB">
        <w:rPr>
          <w:rFonts w:ascii="Calibri" w:eastAsia="Calibri" w:hAnsi="Calibri" w:cs="Calibri"/>
          <w:lang w:val="es-GT"/>
        </w:rPr>
        <w:t>2003</w:t>
      </w:r>
      <w:r w:rsidR="009B45E5">
        <w:rPr>
          <w:rFonts w:ascii="Calibri" w:eastAsia="Calibri" w:hAnsi="Calibri" w:cs="Calibri"/>
          <w:lang w:val="es-GT"/>
        </w:rPr>
        <w:t>)</w:t>
      </w:r>
      <w:r w:rsidRPr="001A01AB">
        <w:rPr>
          <w:rFonts w:ascii="Calibri" w:eastAsia="Calibri" w:hAnsi="Calibri" w:cs="Calibri"/>
          <w:lang w:val="es-GT"/>
        </w:rPr>
        <w:t>, indica que</w:t>
      </w:r>
      <w:r w:rsidR="00396073">
        <w:rPr>
          <w:rFonts w:ascii="Calibri" w:eastAsia="Calibri" w:hAnsi="Calibri" w:cs="Calibri"/>
          <w:lang w:val="es-GT"/>
        </w:rPr>
        <w:t xml:space="preserve"> </w:t>
      </w:r>
      <w:r w:rsidR="009B45E5" w:rsidRPr="001A01AB">
        <w:rPr>
          <w:rFonts w:ascii="Calibri" w:eastAsia="Calibri" w:hAnsi="Calibri" w:cs="Calibri"/>
          <w:lang w:val="es-GT"/>
        </w:rPr>
        <w:t>es importante considerar los efectos del calentamiento global de la atmósfera</w:t>
      </w:r>
      <w:r w:rsidR="009B45E5">
        <w:rPr>
          <w:rFonts w:ascii="Calibri" w:eastAsia="Calibri" w:hAnsi="Calibri" w:cs="Calibri"/>
          <w:lang w:val="es-GT"/>
        </w:rPr>
        <w:t xml:space="preserve"> </w:t>
      </w:r>
      <w:r w:rsidR="00396073">
        <w:rPr>
          <w:rFonts w:ascii="Calibri" w:eastAsia="Calibri" w:hAnsi="Calibri" w:cs="Calibri"/>
          <w:lang w:val="es-GT"/>
        </w:rPr>
        <w:t>en</w:t>
      </w:r>
      <w:r w:rsidRPr="001A01AB">
        <w:rPr>
          <w:rFonts w:ascii="Calibri" w:eastAsia="Calibri" w:hAnsi="Calibri" w:cs="Calibri"/>
          <w:lang w:val="es-GT"/>
        </w:rPr>
        <w:t xml:space="preserve"> las tendencias de la temperatura del aire</w:t>
      </w:r>
      <w:r w:rsidR="00396073">
        <w:rPr>
          <w:rFonts w:ascii="Calibri" w:eastAsia="Calibri" w:hAnsi="Calibri" w:cs="Calibri"/>
          <w:lang w:val="es-GT"/>
        </w:rPr>
        <w:t>. E</w:t>
      </w:r>
      <w:r w:rsidRPr="001A01AB">
        <w:rPr>
          <w:rFonts w:ascii="Calibri" w:eastAsia="Calibri" w:hAnsi="Calibri" w:cs="Calibri"/>
          <w:lang w:val="es-GT"/>
        </w:rPr>
        <w:t xml:space="preserve">n el análisis de la norma climática de los registros climáticos </w:t>
      </w:r>
      <w:r w:rsidR="009B45E5">
        <w:rPr>
          <w:rFonts w:ascii="Calibri" w:eastAsia="Calibri" w:hAnsi="Calibri" w:cs="Calibri"/>
          <w:lang w:val="es-GT"/>
        </w:rPr>
        <w:t xml:space="preserve">de 1961 a </w:t>
      </w:r>
      <w:r w:rsidRPr="001A01AB">
        <w:rPr>
          <w:rFonts w:ascii="Calibri" w:eastAsia="Calibri" w:hAnsi="Calibri" w:cs="Calibri"/>
          <w:lang w:val="es-GT"/>
        </w:rPr>
        <w:t xml:space="preserve">2001 y su respectiva variabilidad, se distinguen tres períodos escalonados y que se identifican como período fresco, período cercano a la norma y período caluroso (Figura </w:t>
      </w:r>
      <w:r w:rsidR="0093248E">
        <w:rPr>
          <w:rFonts w:ascii="Calibri" w:eastAsia="Calibri" w:hAnsi="Calibri" w:cs="Calibri"/>
          <w:lang w:val="es-GT"/>
        </w:rPr>
        <w:t>10</w:t>
      </w:r>
      <w:r w:rsidRPr="001A01AB">
        <w:rPr>
          <w:rFonts w:ascii="Calibri" w:eastAsia="Calibri" w:hAnsi="Calibri" w:cs="Calibri"/>
          <w:lang w:val="es-GT"/>
        </w:rPr>
        <w:t>).</w:t>
      </w:r>
      <w:r w:rsidR="009B45E5">
        <w:rPr>
          <w:rFonts w:ascii="Calibri" w:eastAsia="Calibri" w:hAnsi="Calibri" w:cs="Calibri"/>
          <w:lang w:val="es-GT"/>
        </w:rPr>
        <w:t xml:space="preserve"> </w:t>
      </w:r>
    </w:p>
    <w:p w:rsidR="00396073" w:rsidRPr="001A01AB" w:rsidRDefault="00396073" w:rsidP="006B1FFA">
      <w:pPr>
        <w:autoSpaceDE w:val="0"/>
        <w:autoSpaceDN w:val="0"/>
        <w:adjustRightInd w:val="0"/>
        <w:spacing w:line="264" w:lineRule="auto"/>
        <w:ind w:left="360"/>
        <w:jc w:val="both"/>
        <w:rPr>
          <w:rFonts w:ascii="Calibri" w:eastAsia="Calibri" w:hAnsi="Calibri" w:cs="Calibri"/>
          <w:lang w:val="es-GT"/>
        </w:rPr>
      </w:pPr>
    </w:p>
    <w:p w:rsidR="007F6462" w:rsidRPr="001A01AB" w:rsidRDefault="007F6462" w:rsidP="006B1FFA">
      <w:pPr>
        <w:autoSpaceDE w:val="0"/>
        <w:autoSpaceDN w:val="0"/>
        <w:adjustRightInd w:val="0"/>
        <w:spacing w:line="264" w:lineRule="auto"/>
        <w:ind w:left="360"/>
        <w:jc w:val="both"/>
        <w:rPr>
          <w:rFonts w:ascii="Calibri" w:eastAsia="Calibri" w:hAnsi="Calibri" w:cs="Calibri"/>
          <w:lang w:val="es-GT"/>
        </w:rPr>
      </w:pPr>
    </w:p>
    <w:p w:rsidR="007F6462" w:rsidRPr="001A01AB" w:rsidRDefault="007F6462" w:rsidP="007F6462">
      <w:pPr>
        <w:spacing w:after="120"/>
        <w:jc w:val="center"/>
        <w:rPr>
          <w:rFonts w:ascii="Calibri" w:eastAsia="Calibri" w:hAnsi="Calibri" w:cs="Calibri"/>
          <w:b/>
          <w:color w:val="365F91"/>
          <w:sz w:val="22"/>
          <w:szCs w:val="22"/>
          <w:lang w:val="es-GT"/>
        </w:rPr>
      </w:pPr>
      <w:bookmarkStart w:id="60" w:name="_Toc347841233"/>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10</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Curva de mejor ajuste, de las tendencias observadas en la temperatura</w:t>
      </w:r>
      <w:bookmarkEnd w:id="60"/>
    </w:p>
    <w:p w:rsidR="007F6462" w:rsidRPr="001A01AB" w:rsidRDefault="00544A9F" w:rsidP="007F6462">
      <w:pPr>
        <w:autoSpaceDE w:val="0"/>
        <w:autoSpaceDN w:val="0"/>
        <w:adjustRightInd w:val="0"/>
        <w:jc w:val="center"/>
        <w:rPr>
          <w:rFonts w:ascii="Calibri" w:eastAsia="Calibri" w:hAnsi="Calibri" w:cs="Calibri"/>
          <w:lang w:val="es-GT"/>
        </w:rPr>
      </w:pPr>
      <w:r>
        <w:rPr>
          <w:rFonts w:ascii="Calibri" w:eastAsia="Calibri" w:hAnsi="Calibri" w:cs="Calibri"/>
          <w:noProof/>
          <w:lang w:val="es-GT" w:eastAsia="es-GT"/>
        </w:rPr>
        <w:drawing>
          <wp:inline distT="0" distB="0" distL="0" distR="0" wp14:anchorId="17EB2F12" wp14:editId="34798E25">
            <wp:extent cx="5038725" cy="2000250"/>
            <wp:effectExtent l="0" t="0" r="9525"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l="14136" t="29431" r="11041" b="33568"/>
                    <a:stretch>
                      <a:fillRect/>
                    </a:stretch>
                  </pic:blipFill>
                  <pic:spPr bwMode="auto">
                    <a:xfrm>
                      <a:off x="0" y="0"/>
                      <a:ext cx="5038725" cy="2000250"/>
                    </a:xfrm>
                    <a:prstGeom prst="rect">
                      <a:avLst/>
                    </a:prstGeom>
                    <a:noFill/>
                    <a:ln>
                      <a:noFill/>
                    </a:ln>
                  </pic:spPr>
                </pic:pic>
              </a:graphicData>
            </a:graphic>
          </wp:inline>
        </w:drawing>
      </w:r>
    </w:p>
    <w:p w:rsidR="00523BC1" w:rsidRDefault="00523BC1" w:rsidP="007F6462">
      <w:pPr>
        <w:tabs>
          <w:tab w:val="left" w:pos="8640"/>
        </w:tabs>
        <w:autoSpaceDE w:val="0"/>
        <w:autoSpaceDN w:val="0"/>
        <w:adjustRightInd w:val="0"/>
        <w:ind w:right="720"/>
        <w:jc w:val="right"/>
        <w:rPr>
          <w:rFonts w:ascii="Calibri" w:eastAsia="Calibri" w:hAnsi="Calibri" w:cs="Calibri"/>
          <w:sz w:val="20"/>
          <w:lang w:val="es-GT"/>
        </w:rPr>
      </w:pPr>
    </w:p>
    <w:p w:rsidR="007F6462" w:rsidRPr="001A01AB" w:rsidRDefault="007F6462" w:rsidP="007F6462">
      <w:pPr>
        <w:tabs>
          <w:tab w:val="left" w:pos="8640"/>
        </w:tabs>
        <w:autoSpaceDE w:val="0"/>
        <w:autoSpaceDN w:val="0"/>
        <w:adjustRightInd w:val="0"/>
        <w:ind w:right="720"/>
        <w:jc w:val="right"/>
        <w:rPr>
          <w:rFonts w:ascii="Calibri" w:eastAsia="Calibri" w:hAnsi="Calibri" w:cs="Calibri"/>
          <w:sz w:val="20"/>
          <w:lang w:val="es-GT"/>
        </w:rPr>
      </w:pPr>
      <w:r w:rsidRPr="001A01AB">
        <w:rPr>
          <w:rFonts w:ascii="Calibri" w:eastAsia="Calibri" w:hAnsi="Calibri" w:cs="Calibri"/>
          <w:sz w:val="20"/>
          <w:lang w:val="es-GT"/>
        </w:rPr>
        <w:t xml:space="preserve">Fuente: </w:t>
      </w:r>
      <w:r w:rsidR="009B45E5">
        <w:rPr>
          <w:rFonts w:ascii="Calibri" w:eastAsia="Calibri" w:hAnsi="Calibri" w:cs="Calibri"/>
          <w:sz w:val="20"/>
          <w:lang w:val="es-GT"/>
        </w:rPr>
        <w:t>IARNA-URL e IIA (2003</w:t>
      </w:r>
      <w:r w:rsidR="009E424D">
        <w:rPr>
          <w:rFonts w:ascii="Calibri" w:eastAsia="Calibri" w:hAnsi="Calibri" w:cs="Calibri"/>
          <w:sz w:val="20"/>
          <w:lang w:val="es-GT"/>
        </w:rPr>
        <w:t>a</w:t>
      </w:r>
      <w:r w:rsidR="009B45E5">
        <w:rPr>
          <w:rFonts w:ascii="Calibri" w:eastAsia="Calibri" w:hAnsi="Calibri" w:cs="Calibri"/>
          <w:sz w:val="20"/>
          <w:lang w:val="es-GT"/>
        </w:rPr>
        <w:t>).</w:t>
      </w:r>
    </w:p>
    <w:p w:rsidR="007F6462" w:rsidRPr="001A01AB" w:rsidRDefault="007F6462" w:rsidP="006B1FFA">
      <w:pPr>
        <w:autoSpaceDE w:val="0"/>
        <w:autoSpaceDN w:val="0"/>
        <w:adjustRightInd w:val="0"/>
        <w:spacing w:line="264" w:lineRule="auto"/>
        <w:ind w:left="360"/>
        <w:jc w:val="both"/>
        <w:rPr>
          <w:rFonts w:ascii="Calibri" w:eastAsia="Calibri" w:hAnsi="Calibri" w:cs="Calibri"/>
          <w:lang w:val="es-GT"/>
        </w:rPr>
      </w:pPr>
    </w:p>
    <w:p w:rsidR="007F6462" w:rsidRPr="001A01AB" w:rsidRDefault="007F6462" w:rsidP="00C470CE">
      <w:pPr>
        <w:autoSpaceDE w:val="0"/>
        <w:autoSpaceDN w:val="0"/>
        <w:adjustRightInd w:val="0"/>
        <w:spacing w:line="264" w:lineRule="auto"/>
        <w:ind w:left="720"/>
        <w:jc w:val="both"/>
        <w:rPr>
          <w:rFonts w:ascii="Calibri" w:eastAsia="Calibri" w:hAnsi="Calibri" w:cs="Calibri"/>
          <w:lang w:val="es-GT"/>
        </w:rPr>
      </w:pPr>
      <w:r w:rsidRPr="001A01AB">
        <w:rPr>
          <w:rFonts w:ascii="Calibri" w:eastAsia="Calibri" w:hAnsi="Calibri" w:cs="Calibri"/>
          <w:lang w:val="es-GT"/>
        </w:rPr>
        <w:t xml:space="preserve">Otra forma de </w:t>
      </w:r>
      <w:r w:rsidR="00937F73">
        <w:rPr>
          <w:rFonts w:ascii="Calibri" w:eastAsia="Calibri" w:hAnsi="Calibri" w:cs="Calibri"/>
          <w:lang w:val="es-GT"/>
        </w:rPr>
        <w:t>evaluar los cambios en el clima</w:t>
      </w:r>
      <w:r w:rsidRPr="001A01AB">
        <w:rPr>
          <w:rFonts w:ascii="Calibri" w:eastAsia="Calibri" w:hAnsi="Calibri" w:cs="Calibri"/>
          <w:lang w:val="es-GT"/>
        </w:rPr>
        <w:t xml:space="preserve"> es mediante el análisis de la vari</w:t>
      </w:r>
      <w:r w:rsidR="00937F73">
        <w:rPr>
          <w:rFonts w:ascii="Calibri" w:eastAsia="Calibri" w:hAnsi="Calibri" w:cs="Calibri"/>
          <w:lang w:val="es-GT"/>
        </w:rPr>
        <w:t>abilidad climática interanual de</w:t>
      </w:r>
      <w:r w:rsidRPr="001A01AB">
        <w:rPr>
          <w:rFonts w:ascii="Calibri" w:eastAsia="Calibri" w:hAnsi="Calibri" w:cs="Calibri"/>
          <w:lang w:val="es-GT"/>
        </w:rPr>
        <w:t xml:space="preserve"> la precipitación total anual de Guatemala. El comportamiento histórico de la precipitación muestra </w:t>
      </w:r>
      <w:r w:rsidR="00937F73">
        <w:rPr>
          <w:rFonts w:ascii="Calibri" w:eastAsia="Calibri" w:hAnsi="Calibri" w:cs="Calibri"/>
          <w:lang w:val="es-GT"/>
        </w:rPr>
        <w:t>la</w:t>
      </w:r>
      <w:r w:rsidRPr="001A01AB">
        <w:rPr>
          <w:rFonts w:ascii="Calibri" w:eastAsia="Calibri" w:hAnsi="Calibri" w:cs="Calibri"/>
          <w:lang w:val="es-GT"/>
        </w:rPr>
        <w:t xml:space="preserve"> tendencia </w:t>
      </w:r>
      <w:r w:rsidR="00937F73">
        <w:rPr>
          <w:rFonts w:ascii="Calibri" w:eastAsia="Calibri" w:hAnsi="Calibri" w:cs="Calibri"/>
          <w:lang w:val="es-GT"/>
        </w:rPr>
        <w:t>a</w:t>
      </w:r>
      <w:r w:rsidRPr="001A01AB">
        <w:rPr>
          <w:rFonts w:ascii="Calibri" w:eastAsia="Calibri" w:hAnsi="Calibri" w:cs="Calibri"/>
          <w:lang w:val="es-GT"/>
        </w:rPr>
        <w:t xml:space="preserve"> anomalías negativas de lluvias, que se hace más evidente a partir de los años 70s (IARNA</w:t>
      </w:r>
      <w:r w:rsidR="00937F73">
        <w:rPr>
          <w:rFonts w:ascii="Calibri" w:eastAsia="Calibri" w:hAnsi="Calibri" w:cs="Calibri"/>
          <w:lang w:val="es-GT"/>
        </w:rPr>
        <w:t>- URL e IIA</w:t>
      </w:r>
      <w:r w:rsidRPr="001A01AB">
        <w:rPr>
          <w:rFonts w:ascii="Calibri" w:eastAsia="Calibri" w:hAnsi="Calibri" w:cs="Calibri"/>
          <w:lang w:val="es-GT"/>
        </w:rPr>
        <w:t xml:space="preserve">, 2003). </w:t>
      </w:r>
    </w:p>
    <w:p w:rsidR="007F6462" w:rsidRPr="001A01AB" w:rsidRDefault="007F6462" w:rsidP="00C470CE">
      <w:pPr>
        <w:autoSpaceDE w:val="0"/>
        <w:autoSpaceDN w:val="0"/>
        <w:adjustRightInd w:val="0"/>
        <w:spacing w:line="264" w:lineRule="auto"/>
        <w:ind w:left="720"/>
        <w:jc w:val="both"/>
        <w:rPr>
          <w:rFonts w:ascii="Calibri" w:eastAsia="Calibri" w:hAnsi="Calibri" w:cs="Calibri"/>
          <w:lang w:val="es-GT"/>
        </w:rPr>
      </w:pPr>
    </w:p>
    <w:p w:rsidR="007F6462" w:rsidRPr="001A01AB" w:rsidRDefault="00937F73" w:rsidP="00C470CE">
      <w:pPr>
        <w:autoSpaceDE w:val="0"/>
        <w:autoSpaceDN w:val="0"/>
        <w:adjustRightInd w:val="0"/>
        <w:spacing w:line="264" w:lineRule="auto"/>
        <w:ind w:left="720"/>
        <w:jc w:val="both"/>
        <w:rPr>
          <w:rFonts w:ascii="Calibri" w:eastAsia="Calibri" w:hAnsi="Calibri" w:cs="Calibri"/>
          <w:lang w:val="es-GT"/>
        </w:rPr>
      </w:pPr>
      <w:r>
        <w:rPr>
          <w:rFonts w:ascii="Calibri" w:eastAsia="Calibri" w:hAnsi="Calibri" w:cs="Calibri"/>
          <w:lang w:val="es-GT"/>
        </w:rPr>
        <w:t>A través del</w:t>
      </w:r>
      <w:r w:rsidR="007F6462" w:rsidRPr="001A01AB">
        <w:rPr>
          <w:rFonts w:ascii="Calibri" w:eastAsia="Calibri" w:hAnsi="Calibri" w:cs="Calibri"/>
          <w:lang w:val="es-GT"/>
        </w:rPr>
        <w:t xml:space="preserve"> análisis de la Variabilidad Climática en Guatemala se </w:t>
      </w:r>
      <w:r>
        <w:rPr>
          <w:rFonts w:ascii="Calibri" w:eastAsia="Calibri" w:hAnsi="Calibri" w:cs="Calibri"/>
          <w:lang w:val="es-GT"/>
        </w:rPr>
        <w:t>identificaron</w:t>
      </w:r>
      <w:r w:rsidR="007F6462" w:rsidRPr="001A01AB">
        <w:rPr>
          <w:rFonts w:ascii="Calibri" w:eastAsia="Calibri" w:hAnsi="Calibri" w:cs="Calibri"/>
          <w:lang w:val="es-GT"/>
        </w:rPr>
        <w:t xml:space="preserve"> oscilaciones cuasidecadales en el comportamiento de las anomalías de lluvia reguladas por fuentes de variabilidad climática de corto y largo período de los Océanos Pacífico y Atlántico. Igualmente fue posible discernir la posible existencia de períodos prolongados en que las anomalías fueron mayores (antes de 1977 y a partir de 1987) respecto a un período transitorio </w:t>
      </w:r>
      <w:r w:rsidRPr="001A01AB">
        <w:rPr>
          <w:rFonts w:ascii="Calibri" w:eastAsia="Calibri" w:hAnsi="Calibri" w:cs="Calibri"/>
          <w:lang w:val="es-GT"/>
        </w:rPr>
        <w:t xml:space="preserve">de menor anomalía de precipitaciones </w:t>
      </w:r>
      <w:r w:rsidR="007F6462" w:rsidRPr="001A01AB">
        <w:rPr>
          <w:rFonts w:ascii="Calibri" w:eastAsia="Calibri" w:hAnsi="Calibri" w:cs="Calibri"/>
          <w:lang w:val="es-GT"/>
        </w:rPr>
        <w:t xml:space="preserve">(de 1977 a 1987) </w:t>
      </w:r>
      <w:r w:rsidR="009E424D">
        <w:rPr>
          <w:rFonts w:ascii="Calibri" w:eastAsia="Calibri" w:hAnsi="Calibri" w:cs="Calibri"/>
          <w:lang w:val="es-GT"/>
        </w:rPr>
        <w:t>(MARN</w:t>
      </w:r>
      <w:r w:rsidR="007F6462" w:rsidRPr="001A01AB">
        <w:rPr>
          <w:rFonts w:ascii="Calibri" w:eastAsia="Calibri" w:hAnsi="Calibri" w:cs="Calibri"/>
          <w:lang w:val="es-GT"/>
        </w:rPr>
        <w:t xml:space="preserve">, 2002). Estos comportamientos pueden ser apreciados en la Figura </w:t>
      </w:r>
      <w:r w:rsidR="0093248E">
        <w:rPr>
          <w:rFonts w:ascii="Calibri" w:eastAsia="Calibri" w:hAnsi="Calibri" w:cs="Calibri"/>
          <w:lang w:val="es-GT"/>
        </w:rPr>
        <w:t>11</w:t>
      </w:r>
      <w:r w:rsidR="007F6462" w:rsidRPr="001A01AB">
        <w:rPr>
          <w:rFonts w:ascii="Calibri" w:eastAsia="Calibri" w:hAnsi="Calibri" w:cs="Calibri"/>
          <w:lang w:val="es-GT"/>
        </w:rPr>
        <w:t>.</w:t>
      </w:r>
    </w:p>
    <w:p w:rsidR="0093248E" w:rsidRPr="001A01AB" w:rsidRDefault="0093248E" w:rsidP="006B1FFA">
      <w:pPr>
        <w:autoSpaceDE w:val="0"/>
        <w:autoSpaceDN w:val="0"/>
        <w:adjustRightInd w:val="0"/>
        <w:spacing w:line="264" w:lineRule="auto"/>
        <w:ind w:left="360"/>
        <w:jc w:val="both"/>
        <w:rPr>
          <w:rFonts w:ascii="Calibri" w:eastAsia="Calibri" w:hAnsi="Calibri" w:cs="Calibri"/>
          <w:lang w:val="es-GT"/>
        </w:rPr>
      </w:pPr>
    </w:p>
    <w:p w:rsidR="007F6462" w:rsidRPr="001A01AB" w:rsidRDefault="007F6462" w:rsidP="007F6462">
      <w:pPr>
        <w:spacing w:after="120"/>
        <w:jc w:val="center"/>
        <w:rPr>
          <w:rFonts w:ascii="Calibri" w:eastAsia="Calibri" w:hAnsi="Calibri" w:cs="Calibri"/>
          <w:b/>
          <w:color w:val="365F91"/>
          <w:sz w:val="22"/>
          <w:szCs w:val="22"/>
          <w:lang w:val="es-GT"/>
        </w:rPr>
      </w:pPr>
      <w:bookmarkStart w:id="61" w:name="_Toc347841234"/>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11</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Curva de mejor ajuste de las tendencias observadas en la precipitación</w:t>
      </w:r>
      <w:bookmarkEnd w:id="61"/>
    </w:p>
    <w:p w:rsidR="007F6462" w:rsidRPr="001A01AB" w:rsidRDefault="00544A9F" w:rsidP="007F6462">
      <w:pPr>
        <w:autoSpaceDE w:val="0"/>
        <w:autoSpaceDN w:val="0"/>
        <w:adjustRightInd w:val="0"/>
        <w:jc w:val="center"/>
        <w:rPr>
          <w:rFonts w:ascii="Calibri" w:eastAsia="Calibri" w:hAnsi="Calibri" w:cs="Calibri"/>
          <w:bCs/>
          <w:lang w:val="es-GT"/>
        </w:rPr>
      </w:pPr>
      <w:r>
        <w:rPr>
          <w:rFonts w:ascii="Calibri" w:eastAsia="Calibri" w:hAnsi="Calibri" w:cs="Calibri"/>
          <w:noProof/>
          <w:lang w:val="es-GT" w:eastAsia="es-GT"/>
        </w:rPr>
        <w:drawing>
          <wp:inline distT="0" distB="0" distL="0" distR="0" wp14:anchorId="364EFBA8" wp14:editId="0F192A2F">
            <wp:extent cx="5038725" cy="2038350"/>
            <wp:effectExtent l="0" t="0" r="9525"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l="16408" t="43311" r="7831" b="18367"/>
                    <a:stretch>
                      <a:fillRect/>
                    </a:stretch>
                  </pic:blipFill>
                  <pic:spPr bwMode="auto">
                    <a:xfrm>
                      <a:off x="0" y="0"/>
                      <a:ext cx="5038725" cy="2038350"/>
                    </a:xfrm>
                    <a:prstGeom prst="rect">
                      <a:avLst/>
                    </a:prstGeom>
                    <a:noFill/>
                    <a:ln>
                      <a:noFill/>
                    </a:ln>
                  </pic:spPr>
                </pic:pic>
              </a:graphicData>
            </a:graphic>
          </wp:inline>
        </w:drawing>
      </w:r>
    </w:p>
    <w:p w:rsidR="00523BC1" w:rsidRDefault="00523BC1" w:rsidP="007F6462">
      <w:pPr>
        <w:tabs>
          <w:tab w:val="left" w:pos="8640"/>
        </w:tabs>
        <w:autoSpaceDE w:val="0"/>
        <w:autoSpaceDN w:val="0"/>
        <w:adjustRightInd w:val="0"/>
        <w:ind w:right="720"/>
        <w:jc w:val="right"/>
        <w:rPr>
          <w:rFonts w:ascii="Calibri" w:eastAsia="Calibri" w:hAnsi="Calibri" w:cs="Calibri"/>
          <w:sz w:val="20"/>
          <w:lang w:val="es-GT"/>
        </w:rPr>
      </w:pPr>
    </w:p>
    <w:p w:rsidR="007F6462" w:rsidRPr="001A01AB" w:rsidRDefault="007F6462" w:rsidP="007F6462">
      <w:pPr>
        <w:tabs>
          <w:tab w:val="left" w:pos="8640"/>
        </w:tabs>
        <w:autoSpaceDE w:val="0"/>
        <w:autoSpaceDN w:val="0"/>
        <w:adjustRightInd w:val="0"/>
        <w:ind w:right="720"/>
        <w:jc w:val="right"/>
        <w:rPr>
          <w:rFonts w:ascii="Calibri" w:eastAsia="Calibri" w:hAnsi="Calibri" w:cs="Calibri"/>
          <w:sz w:val="20"/>
          <w:lang w:val="es-GT"/>
        </w:rPr>
      </w:pPr>
      <w:r w:rsidRPr="001A01AB">
        <w:rPr>
          <w:rFonts w:ascii="Calibri" w:eastAsia="Calibri" w:hAnsi="Calibri" w:cs="Calibri"/>
          <w:sz w:val="20"/>
          <w:lang w:val="es-GT"/>
        </w:rPr>
        <w:t xml:space="preserve">Fuente: </w:t>
      </w:r>
      <w:r w:rsidR="009E424D">
        <w:rPr>
          <w:rFonts w:ascii="Calibri" w:eastAsia="Calibri" w:hAnsi="Calibri" w:cs="Calibri"/>
          <w:sz w:val="20"/>
          <w:lang w:val="es-GT"/>
        </w:rPr>
        <w:t>IARNA-URL e IIA</w:t>
      </w:r>
      <w:r w:rsidRPr="001A01AB">
        <w:rPr>
          <w:rFonts w:ascii="Calibri" w:eastAsia="Calibri" w:hAnsi="Calibri" w:cs="Calibri"/>
          <w:sz w:val="20"/>
          <w:lang w:val="es-GT"/>
        </w:rPr>
        <w:t xml:space="preserve"> </w:t>
      </w:r>
      <w:r w:rsidR="009E424D">
        <w:rPr>
          <w:rFonts w:ascii="Calibri" w:eastAsia="Calibri" w:hAnsi="Calibri" w:cs="Calibri"/>
          <w:sz w:val="20"/>
          <w:lang w:val="es-GT"/>
        </w:rPr>
        <w:t>(</w:t>
      </w:r>
      <w:r w:rsidRPr="001A01AB">
        <w:rPr>
          <w:rFonts w:ascii="Calibri" w:eastAsia="Calibri" w:hAnsi="Calibri" w:cs="Calibri"/>
          <w:sz w:val="20"/>
          <w:lang w:val="es-GT"/>
        </w:rPr>
        <w:t>2003</w:t>
      </w:r>
      <w:r w:rsidR="009E424D">
        <w:rPr>
          <w:rFonts w:ascii="Calibri" w:eastAsia="Calibri" w:hAnsi="Calibri" w:cs="Calibri"/>
          <w:sz w:val="20"/>
          <w:lang w:val="es-GT"/>
        </w:rPr>
        <w:t>a)</w:t>
      </w:r>
      <w:r w:rsidRPr="001A01AB">
        <w:rPr>
          <w:rFonts w:ascii="Calibri" w:eastAsia="Calibri" w:hAnsi="Calibri" w:cs="Calibri"/>
          <w:sz w:val="20"/>
          <w:lang w:val="es-GT"/>
        </w:rPr>
        <w:t>.</w:t>
      </w:r>
    </w:p>
    <w:p w:rsidR="007F6462" w:rsidRPr="001A01AB" w:rsidRDefault="007F6462" w:rsidP="00C470CE">
      <w:pPr>
        <w:autoSpaceDE w:val="0"/>
        <w:autoSpaceDN w:val="0"/>
        <w:adjustRightInd w:val="0"/>
        <w:ind w:left="720"/>
        <w:jc w:val="both"/>
        <w:rPr>
          <w:rFonts w:ascii="Calibri" w:eastAsia="Calibri" w:hAnsi="Calibri" w:cs="Calibri"/>
          <w:lang w:val="es-GT"/>
        </w:rPr>
      </w:pPr>
    </w:p>
    <w:p w:rsidR="007F6462" w:rsidRDefault="007F6462" w:rsidP="00C470CE">
      <w:pPr>
        <w:autoSpaceDE w:val="0"/>
        <w:autoSpaceDN w:val="0"/>
        <w:adjustRightInd w:val="0"/>
        <w:ind w:left="720"/>
        <w:jc w:val="both"/>
        <w:rPr>
          <w:rFonts w:ascii="Calibri" w:eastAsia="Calibri" w:hAnsi="Calibri" w:cs="Calibri"/>
          <w:lang w:val="es-GT"/>
        </w:rPr>
      </w:pPr>
      <w:r w:rsidRPr="001A01AB">
        <w:rPr>
          <w:rFonts w:ascii="Calibri" w:eastAsia="Calibri" w:hAnsi="Calibri" w:cs="Calibri"/>
          <w:lang w:val="es-GT"/>
        </w:rPr>
        <w:t>Pero no solo los valores absolutos o el total anual de la precipitación anual son elemento</w:t>
      </w:r>
      <w:r w:rsidR="009E424D">
        <w:rPr>
          <w:rFonts w:ascii="Calibri" w:eastAsia="Calibri" w:hAnsi="Calibri" w:cs="Calibri"/>
          <w:lang w:val="es-GT"/>
        </w:rPr>
        <w:t>s</w:t>
      </w:r>
      <w:r w:rsidRPr="001A01AB">
        <w:rPr>
          <w:rFonts w:ascii="Calibri" w:eastAsia="Calibri" w:hAnsi="Calibri" w:cs="Calibri"/>
          <w:lang w:val="es-GT"/>
        </w:rPr>
        <w:t xml:space="preserve"> para evaluar los cambios. Las evaluaciones </w:t>
      </w:r>
      <w:r w:rsidR="007D68AB">
        <w:rPr>
          <w:rFonts w:ascii="Calibri" w:eastAsia="Calibri" w:hAnsi="Calibri" w:cs="Calibri"/>
          <w:lang w:val="es-GT"/>
        </w:rPr>
        <w:t>de</w:t>
      </w:r>
      <w:r w:rsidRPr="001A01AB">
        <w:rPr>
          <w:rFonts w:ascii="Calibri" w:eastAsia="Calibri" w:hAnsi="Calibri" w:cs="Calibri"/>
          <w:lang w:val="es-GT"/>
        </w:rPr>
        <w:t xml:space="preserve"> la frecuencia de lluvias fuertes </w:t>
      </w:r>
      <w:r w:rsidR="003638C7">
        <w:rPr>
          <w:rFonts w:ascii="Calibri" w:eastAsia="Calibri" w:hAnsi="Calibri" w:cs="Calibri"/>
          <w:lang w:val="es-GT"/>
        </w:rPr>
        <w:t>a través de la</w:t>
      </w:r>
      <w:r w:rsidRPr="001A01AB">
        <w:rPr>
          <w:rFonts w:ascii="Calibri" w:eastAsia="Calibri" w:hAnsi="Calibri" w:cs="Calibri"/>
          <w:lang w:val="es-GT"/>
        </w:rPr>
        <w:t xml:space="preserve"> cantidad de días con lluvia superior a los 40 mm por día en el período 1970-2003, muestra</w:t>
      </w:r>
      <w:r w:rsidR="003638C7">
        <w:rPr>
          <w:rFonts w:ascii="Calibri" w:eastAsia="Calibri" w:hAnsi="Calibri" w:cs="Calibri"/>
          <w:lang w:val="es-GT"/>
        </w:rPr>
        <w:t>n</w:t>
      </w:r>
      <w:r w:rsidRPr="001A01AB">
        <w:rPr>
          <w:rFonts w:ascii="Calibri" w:eastAsia="Calibri" w:hAnsi="Calibri" w:cs="Calibri"/>
          <w:lang w:val="es-GT"/>
        </w:rPr>
        <w:t xml:space="preserve"> una tendencia al incremento del número de días por año. Esta información </w:t>
      </w:r>
      <w:r w:rsidR="00396073">
        <w:rPr>
          <w:rFonts w:ascii="Calibri" w:eastAsia="Calibri" w:hAnsi="Calibri" w:cs="Calibri"/>
          <w:lang w:val="es-GT"/>
        </w:rPr>
        <w:t>permite</w:t>
      </w:r>
      <w:r w:rsidRPr="001A01AB">
        <w:rPr>
          <w:rFonts w:ascii="Calibri" w:eastAsia="Calibri" w:hAnsi="Calibri" w:cs="Calibri"/>
          <w:lang w:val="es-GT"/>
        </w:rPr>
        <w:t xml:space="preserve"> </w:t>
      </w:r>
      <w:r w:rsidR="003638C7">
        <w:rPr>
          <w:rFonts w:ascii="Calibri" w:eastAsia="Calibri" w:hAnsi="Calibri" w:cs="Calibri"/>
          <w:lang w:val="es-GT"/>
        </w:rPr>
        <w:t xml:space="preserve">hacer </w:t>
      </w:r>
      <w:r w:rsidRPr="001A01AB">
        <w:rPr>
          <w:rFonts w:ascii="Calibri" w:eastAsia="Calibri" w:hAnsi="Calibri" w:cs="Calibri"/>
          <w:lang w:val="es-GT"/>
        </w:rPr>
        <w:t>una evaluación aproximada de algunos cambios en los patrones de lluvia, ya que se visua</w:t>
      </w:r>
      <w:r w:rsidR="003638C7">
        <w:rPr>
          <w:rFonts w:ascii="Calibri" w:eastAsia="Calibri" w:hAnsi="Calibri" w:cs="Calibri"/>
          <w:lang w:val="es-GT"/>
        </w:rPr>
        <w:t>liza que los eventos extremos de</w:t>
      </w:r>
      <w:r w:rsidRPr="001A01AB">
        <w:rPr>
          <w:rFonts w:ascii="Calibri" w:eastAsia="Calibri" w:hAnsi="Calibri" w:cs="Calibri"/>
          <w:lang w:val="es-GT"/>
        </w:rPr>
        <w:t xml:space="preserve"> precipitación parecieran ser más frecuentes en los últimos años (Figura </w:t>
      </w:r>
      <w:r w:rsidR="0093248E">
        <w:rPr>
          <w:rFonts w:ascii="Calibri" w:eastAsia="Calibri" w:hAnsi="Calibri" w:cs="Calibri"/>
          <w:lang w:val="es-GT"/>
        </w:rPr>
        <w:t>12</w:t>
      </w:r>
      <w:r w:rsidRPr="001A01AB">
        <w:rPr>
          <w:rFonts w:ascii="Calibri" w:eastAsia="Calibri" w:hAnsi="Calibri" w:cs="Calibri"/>
          <w:lang w:val="es-GT"/>
        </w:rPr>
        <w:t>).</w:t>
      </w:r>
    </w:p>
    <w:p w:rsidR="00487319" w:rsidRDefault="00487319" w:rsidP="00C470CE">
      <w:pPr>
        <w:autoSpaceDE w:val="0"/>
        <w:autoSpaceDN w:val="0"/>
        <w:adjustRightInd w:val="0"/>
        <w:ind w:left="720"/>
        <w:jc w:val="both"/>
        <w:rPr>
          <w:rFonts w:ascii="Calibri" w:eastAsia="Calibri" w:hAnsi="Calibri" w:cs="Calibri"/>
          <w:lang w:val="es-GT"/>
        </w:rPr>
      </w:pPr>
    </w:p>
    <w:p w:rsidR="00B45CCC" w:rsidRDefault="00B45CCC" w:rsidP="007F6462">
      <w:pPr>
        <w:autoSpaceDE w:val="0"/>
        <w:autoSpaceDN w:val="0"/>
        <w:adjustRightInd w:val="0"/>
        <w:ind w:left="360"/>
        <w:jc w:val="both"/>
        <w:rPr>
          <w:rFonts w:ascii="Calibri" w:eastAsia="Calibri" w:hAnsi="Calibri" w:cs="Calibri"/>
          <w:lang w:val="es-GT"/>
        </w:rPr>
      </w:pPr>
    </w:p>
    <w:p w:rsidR="00487319" w:rsidRDefault="00487319" w:rsidP="007F6462">
      <w:pPr>
        <w:autoSpaceDE w:val="0"/>
        <w:autoSpaceDN w:val="0"/>
        <w:adjustRightInd w:val="0"/>
        <w:ind w:left="360"/>
        <w:jc w:val="both"/>
        <w:rPr>
          <w:rFonts w:ascii="Calibri" w:eastAsia="Calibri" w:hAnsi="Calibri" w:cs="Calibri"/>
          <w:lang w:val="es-GT"/>
        </w:rPr>
      </w:pPr>
    </w:p>
    <w:p w:rsidR="00775818" w:rsidRDefault="00775818" w:rsidP="007F6462">
      <w:pPr>
        <w:autoSpaceDE w:val="0"/>
        <w:autoSpaceDN w:val="0"/>
        <w:adjustRightInd w:val="0"/>
        <w:ind w:left="360"/>
        <w:jc w:val="both"/>
        <w:rPr>
          <w:rFonts w:ascii="Calibri" w:eastAsia="Calibri" w:hAnsi="Calibri" w:cs="Calibri"/>
          <w:lang w:val="es-GT"/>
        </w:rPr>
      </w:pPr>
    </w:p>
    <w:p w:rsidR="00775818" w:rsidRDefault="00775818" w:rsidP="007F6462">
      <w:pPr>
        <w:autoSpaceDE w:val="0"/>
        <w:autoSpaceDN w:val="0"/>
        <w:adjustRightInd w:val="0"/>
        <w:ind w:left="360"/>
        <w:jc w:val="both"/>
        <w:rPr>
          <w:rFonts w:ascii="Calibri" w:eastAsia="Calibri" w:hAnsi="Calibri" w:cs="Calibri"/>
          <w:lang w:val="es-GT"/>
        </w:rPr>
      </w:pPr>
    </w:p>
    <w:p w:rsidR="00775818" w:rsidRDefault="00775818" w:rsidP="007F6462">
      <w:pPr>
        <w:autoSpaceDE w:val="0"/>
        <w:autoSpaceDN w:val="0"/>
        <w:adjustRightInd w:val="0"/>
        <w:ind w:left="360"/>
        <w:jc w:val="both"/>
        <w:rPr>
          <w:rFonts w:ascii="Calibri" w:eastAsia="Calibri" w:hAnsi="Calibri" w:cs="Calibri"/>
          <w:lang w:val="es-GT"/>
        </w:rPr>
      </w:pPr>
    </w:p>
    <w:p w:rsidR="007F6462" w:rsidRPr="001A01AB" w:rsidRDefault="007F6462" w:rsidP="007F6462">
      <w:pPr>
        <w:spacing w:after="120"/>
        <w:jc w:val="center"/>
        <w:rPr>
          <w:rFonts w:ascii="Calibri" w:eastAsia="Calibri" w:hAnsi="Calibri" w:cs="Calibri"/>
          <w:b/>
          <w:color w:val="365F91"/>
          <w:sz w:val="22"/>
          <w:szCs w:val="22"/>
          <w:lang w:val="es-GT"/>
        </w:rPr>
      </w:pPr>
      <w:bookmarkStart w:id="62" w:name="_Toc347841235"/>
      <w:r w:rsidRPr="001A01AB">
        <w:rPr>
          <w:rFonts w:ascii="Calibri" w:eastAsia="Calibri" w:hAnsi="Calibri" w:cs="Calibri"/>
          <w:b/>
          <w:color w:val="365F91"/>
          <w:sz w:val="22"/>
          <w:szCs w:val="22"/>
          <w:lang w:val="es-GT"/>
        </w:rPr>
        <w:lastRenderedPageBreak/>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12</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Días al</w:t>
      </w:r>
      <w:r w:rsidR="007D68AB">
        <w:rPr>
          <w:rFonts w:ascii="Calibri" w:eastAsia="Calibri" w:hAnsi="Calibri" w:cs="Calibri"/>
          <w:b/>
          <w:color w:val="365F91"/>
          <w:sz w:val="22"/>
          <w:szCs w:val="22"/>
          <w:lang w:val="es-GT"/>
        </w:rPr>
        <w:t xml:space="preserve"> año con lluvia mayor a 40 mm, c</w:t>
      </w:r>
      <w:r w:rsidRPr="001A01AB">
        <w:rPr>
          <w:rFonts w:ascii="Calibri" w:eastAsia="Calibri" w:hAnsi="Calibri" w:cs="Calibri"/>
          <w:b/>
          <w:color w:val="365F91"/>
          <w:sz w:val="22"/>
          <w:szCs w:val="22"/>
          <w:lang w:val="es-GT"/>
        </w:rPr>
        <w:t>iudad de Guatemala, período 1970-2003</w:t>
      </w:r>
      <w:bookmarkEnd w:id="62"/>
    </w:p>
    <w:p w:rsidR="007F6462" w:rsidRPr="001A01AB" w:rsidRDefault="00544A9F" w:rsidP="007F6462">
      <w:pPr>
        <w:autoSpaceDE w:val="0"/>
        <w:autoSpaceDN w:val="0"/>
        <w:adjustRightInd w:val="0"/>
        <w:jc w:val="center"/>
        <w:rPr>
          <w:rFonts w:ascii="Calibri" w:eastAsia="Calibri" w:hAnsi="Calibri" w:cs="Calibri"/>
          <w:lang w:val="es-GT"/>
        </w:rPr>
      </w:pPr>
      <w:r>
        <w:rPr>
          <w:rFonts w:ascii="Calibri" w:eastAsia="Calibri" w:hAnsi="Calibri" w:cs="Calibri"/>
          <w:noProof/>
          <w:lang w:val="es-GT" w:eastAsia="es-GT"/>
        </w:rPr>
        <w:drawing>
          <wp:inline distT="0" distB="0" distL="0" distR="0" wp14:anchorId="537411DC" wp14:editId="26DDF506">
            <wp:extent cx="5486400" cy="1609725"/>
            <wp:effectExtent l="0" t="0" r="0" b="9525"/>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l="9315" t="56522" r="6360" b="12514"/>
                    <a:stretch>
                      <a:fillRect/>
                    </a:stretch>
                  </pic:blipFill>
                  <pic:spPr bwMode="auto">
                    <a:xfrm>
                      <a:off x="0" y="0"/>
                      <a:ext cx="5486400" cy="1609725"/>
                    </a:xfrm>
                    <a:prstGeom prst="rect">
                      <a:avLst/>
                    </a:prstGeom>
                    <a:noFill/>
                    <a:ln>
                      <a:noFill/>
                    </a:ln>
                  </pic:spPr>
                </pic:pic>
              </a:graphicData>
            </a:graphic>
          </wp:inline>
        </w:drawing>
      </w:r>
    </w:p>
    <w:p w:rsidR="007F6462" w:rsidRPr="001A01AB" w:rsidRDefault="007F6462" w:rsidP="007F6462">
      <w:pPr>
        <w:autoSpaceDE w:val="0"/>
        <w:autoSpaceDN w:val="0"/>
        <w:adjustRightInd w:val="0"/>
        <w:ind w:right="558"/>
        <w:jc w:val="right"/>
        <w:rPr>
          <w:rFonts w:ascii="Calibri" w:eastAsia="Calibri" w:hAnsi="Calibri" w:cs="Calibri"/>
          <w:sz w:val="20"/>
          <w:lang w:val="es-GT"/>
        </w:rPr>
      </w:pPr>
      <w:r w:rsidRPr="001A01AB">
        <w:rPr>
          <w:rFonts w:ascii="Calibri" w:eastAsia="Calibri" w:hAnsi="Calibri" w:cs="Calibri"/>
          <w:sz w:val="20"/>
          <w:lang w:val="es-GT"/>
        </w:rPr>
        <w:t>Fuente:</w:t>
      </w:r>
      <w:r w:rsidR="007D68AB">
        <w:rPr>
          <w:rFonts w:ascii="Calibri" w:eastAsia="Calibri" w:hAnsi="Calibri" w:cs="Calibri"/>
          <w:sz w:val="20"/>
          <w:lang w:val="es-GT"/>
        </w:rPr>
        <w:t xml:space="preserve"> MARN (</w:t>
      </w:r>
      <w:r w:rsidRPr="001A01AB">
        <w:rPr>
          <w:rFonts w:ascii="Calibri" w:eastAsia="Calibri" w:hAnsi="Calibri" w:cs="Calibri"/>
          <w:sz w:val="20"/>
          <w:lang w:val="es-GT"/>
        </w:rPr>
        <w:t>2001</w:t>
      </w:r>
      <w:r w:rsidR="007D68AB">
        <w:rPr>
          <w:rFonts w:ascii="Calibri" w:eastAsia="Calibri" w:hAnsi="Calibri" w:cs="Calibri"/>
          <w:sz w:val="20"/>
          <w:lang w:val="es-GT"/>
        </w:rPr>
        <w:t>)</w:t>
      </w:r>
      <w:r w:rsidRPr="001A01AB">
        <w:rPr>
          <w:rFonts w:ascii="Calibri" w:eastAsia="Calibri" w:hAnsi="Calibri" w:cs="Calibri"/>
          <w:sz w:val="20"/>
          <w:lang w:val="es-GT"/>
        </w:rPr>
        <w:t>.</w:t>
      </w:r>
    </w:p>
    <w:p w:rsidR="007F6462" w:rsidRPr="001A01AB" w:rsidRDefault="007F6462" w:rsidP="007F6462">
      <w:pPr>
        <w:autoSpaceDE w:val="0"/>
        <w:autoSpaceDN w:val="0"/>
        <w:adjustRightInd w:val="0"/>
        <w:ind w:left="360"/>
        <w:jc w:val="both"/>
        <w:rPr>
          <w:rFonts w:ascii="Calibri" w:eastAsia="Calibri" w:hAnsi="Calibri" w:cs="Calibri"/>
          <w:lang w:val="es-GT"/>
        </w:rPr>
      </w:pPr>
    </w:p>
    <w:p w:rsidR="007F6462" w:rsidRPr="001A01AB" w:rsidRDefault="007F6462" w:rsidP="00C470CE">
      <w:pPr>
        <w:autoSpaceDE w:val="0"/>
        <w:autoSpaceDN w:val="0"/>
        <w:adjustRightInd w:val="0"/>
        <w:ind w:left="720"/>
        <w:jc w:val="both"/>
        <w:rPr>
          <w:rFonts w:ascii="Calibri" w:eastAsia="Calibri" w:hAnsi="Calibri" w:cs="Calibri"/>
          <w:lang w:val="es-GT"/>
        </w:rPr>
      </w:pPr>
      <w:r w:rsidRPr="001A01AB">
        <w:rPr>
          <w:rFonts w:ascii="Calibri" w:eastAsia="Calibri" w:hAnsi="Calibri" w:cs="Calibri"/>
          <w:lang w:val="es-GT"/>
        </w:rPr>
        <w:t xml:space="preserve">Una de las condiciones </w:t>
      </w:r>
      <w:r w:rsidR="007D68AB">
        <w:rPr>
          <w:rFonts w:ascii="Calibri" w:eastAsia="Calibri" w:hAnsi="Calibri" w:cs="Calibri"/>
          <w:lang w:val="es-GT"/>
        </w:rPr>
        <w:t>que</w:t>
      </w:r>
      <w:r w:rsidRPr="001A01AB">
        <w:rPr>
          <w:rFonts w:ascii="Calibri" w:eastAsia="Calibri" w:hAnsi="Calibri" w:cs="Calibri"/>
          <w:lang w:val="es-GT"/>
        </w:rPr>
        <w:t xml:space="preserve"> define el clima en Guatemala es el fenómeno de la Oscilación del Sur El Niño (ENSO)</w:t>
      </w:r>
      <w:r w:rsidR="007D68AB">
        <w:rPr>
          <w:rFonts w:ascii="Calibri" w:eastAsia="Calibri" w:hAnsi="Calibri" w:cs="Calibri"/>
          <w:lang w:val="es-GT"/>
        </w:rPr>
        <w:t xml:space="preserve">, el cual se refiere </w:t>
      </w:r>
      <w:r w:rsidRPr="001A01AB">
        <w:rPr>
          <w:rFonts w:ascii="Calibri" w:eastAsia="Calibri" w:hAnsi="Calibri" w:cs="Calibri"/>
          <w:lang w:val="es-GT"/>
        </w:rPr>
        <w:t>a las variaciones anuales y estacionales de la temperatura superficial del mar, las lluvias convectivas, la presión del aire superficial y la circulación atmosf</w:t>
      </w:r>
      <w:r w:rsidR="00C30CBD">
        <w:rPr>
          <w:rFonts w:ascii="Calibri" w:eastAsia="Calibri" w:hAnsi="Calibri" w:cs="Calibri"/>
          <w:lang w:val="es-GT"/>
        </w:rPr>
        <w:t>érica que se producen en el Pací</w:t>
      </w:r>
      <w:r w:rsidRPr="001A01AB">
        <w:rPr>
          <w:rFonts w:ascii="Calibri" w:eastAsia="Calibri" w:hAnsi="Calibri" w:cs="Calibri"/>
          <w:lang w:val="es-GT"/>
        </w:rPr>
        <w:t xml:space="preserve">fico ecuatorial. </w:t>
      </w:r>
    </w:p>
    <w:p w:rsidR="007F6462" w:rsidRPr="001A01AB" w:rsidRDefault="007F6462" w:rsidP="00C470CE">
      <w:pPr>
        <w:autoSpaceDE w:val="0"/>
        <w:autoSpaceDN w:val="0"/>
        <w:adjustRightInd w:val="0"/>
        <w:ind w:left="720"/>
        <w:jc w:val="both"/>
        <w:rPr>
          <w:rFonts w:ascii="Calibri" w:eastAsia="Calibri" w:hAnsi="Calibri" w:cs="Calibri"/>
          <w:lang w:val="es-GT"/>
        </w:rPr>
      </w:pPr>
    </w:p>
    <w:p w:rsidR="007F6462" w:rsidRDefault="007F6462" w:rsidP="00C470CE">
      <w:pPr>
        <w:autoSpaceDE w:val="0"/>
        <w:autoSpaceDN w:val="0"/>
        <w:adjustRightInd w:val="0"/>
        <w:ind w:left="720"/>
        <w:jc w:val="both"/>
        <w:rPr>
          <w:rFonts w:ascii="Calibri" w:eastAsia="Calibri" w:hAnsi="Calibri" w:cs="Calibri"/>
          <w:lang w:val="es-GT"/>
        </w:rPr>
      </w:pPr>
      <w:r w:rsidRPr="001A01AB">
        <w:rPr>
          <w:rFonts w:ascii="Calibri" w:eastAsia="Calibri" w:hAnsi="Calibri" w:cs="Calibri"/>
          <w:lang w:val="es-GT"/>
        </w:rPr>
        <w:t>Los episodios de El Niño y La Niña típicamente ocurren cada tres a cinco años. De acuerdo con algunos científicos, el camb</w:t>
      </w:r>
      <w:r w:rsidR="00775818">
        <w:rPr>
          <w:rFonts w:ascii="Calibri" w:eastAsia="Calibri" w:hAnsi="Calibri" w:cs="Calibri"/>
          <w:lang w:val="es-GT"/>
        </w:rPr>
        <w:t>i</w:t>
      </w:r>
      <w:r w:rsidRPr="001A01AB">
        <w:rPr>
          <w:rFonts w:ascii="Calibri" w:eastAsia="Calibri" w:hAnsi="Calibri" w:cs="Calibri"/>
          <w:lang w:val="es-GT"/>
        </w:rPr>
        <w:t>o climático abrupto actual puede influir en el aumento de la intensidad y frecuencia del ENSO (National Ocean and Atmosferic Admini</w:t>
      </w:r>
      <w:r w:rsidR="00C30CBD">
        <w:rPr>
          <w:rFonts w:ascii="Calibri" w:eastAsia="Calibri" w:hAnsi="Calibri" w:cs="Calibri"/>
          <w:lang w:val="es-GT"/>
        </w:rPr>
        <w:t xml:space="preserve">stration, </w:t>
      </w:r>
      <w:r w:rsidRPr="001A01AB">
        <w:rPr>
          <w:rFonts w:ascii="Calibri" w:eastAsia="Calibri" w:hAnsi="Calibri" w:cs="Calibri"/>
          <w:lang w:val="es-GT"/>
        </w:rPr>
        <w:t>2010, citado por IARN</w:t>
      </w:r>
      <w:r w:rsidR="00C30CBD">
        <w:rPr>
          <w:rFonts w:ascii="Calibri" w:eastAsia="Calibri" w:hAnsi="Calibri" w:cs="Calibri"/>
          <w:lang w:val="es-GT"/>
        </w:rPr>
        <w:t>A-URL, 2011). Informes del IPCC</w:t>
      </w:r>
      <w:r w:rsidRPr="001A01AB">
        <w:rPr>
          <w:rFonts w:ascii="Calibri" w:eastAsia="Calibri" w:hAnsi="Calibri" w:cs="Calibri"/>
          <w:lang w:val="es-GT"/>
        </w:rPr>
        <w:t xml:space="preserve"> plantean que la frecuencia, duración e intensidad del ENSO han aumentado durante los últimos 30 años, especialmente en la fase cálida, al compararla con los datos de hace 100 años o más (IARNA-URL, 2011).</w:t>
      </w:r>
    </w:p>
    <w:p w:rsidR="00396073" w:rsidRPr="001A01AB" w:rsidRDefault="00396073" w:rsidP="007F6462">
      <w:pPr>
        <w:autoSpaceDE w:val="0"/>
        <w:autoSpaceDN w:val="0"/>
        <w:adjustRightInd w:val="0"/>
        <w:ind w:left="360"/>
        <w:jc w:val="both"/>
        <w:rPr>
          <w:rFonts w:ascii="Calibri" w:eastAsia="Calibri" w:hAnsi="Calibri" w:cs="Calibri"/>
          <w:lang w:val="es-GT"/>
        </w:rPr>
      </w:pPr>
    </w:p>
    <w:p w:rsidR="007F6462" w:rsidRPr="001A01AB" w:rsidRDefault="007F6462" w:rsidP="006B0A31">
      <w:pPr>
        <w:pStyle w:val="Prrafodelista"/>
        <w:numPr>
          <w:ilvl w:val="0"/>
          <w:numId w:val="52"/>
        </w:numPr>
        <w:autoSpaceDE w:val="0"/>
        <w:autoSpaceDN w:val="0"/>
        <w:adjustRightInd w:val="0"/>
        <w:jc w:val="both"/>
        <w:rPr>
          <w:rFonts w:cs="Calibri"/>
          <w:b/>
          <w:color w:val="365F91"/>
          <w:lang w:eastAsia="es-GT"/>
        </w:rPr>
      </w:pPr>
      <w:r w:rsidRPr="001A01AB">
        <w:rPr>
          <w:rFonts w:cs="Calibri"/>
          <w:b/>
          <w:color w:val="365F91"/>
          <w:lang w:eastAsia="es-GT"/>
        </w:rPr>
        <w:t>Impactos relacionados con el cambio climático</w:t>
      </w:r>
    </w:p>
    <w:p w:rsidR="007F6462" w:rsidRDefault="007F6462" w:rsidP="00C470CE">
      <w:pPr>
        <w:autoSpaceDE w:val="0"/>
        <w:autoSpaceDN w:val="0"/>
        <w:adjustRightInd w:val="0"/>
        <w:ind w:left="720"/>
        <w:jc w:val="both"/>
        <w:rPr>
          <w:rFonts w:ascii="Calibri" w:eastAsia="Calibri" w:hAnsi="Calibri" w:cs="Calibri"/>
          <w:lang w:val="es-GT"/>
        </w:rPr>
      </w:pPr>
      <w:r w:rsidRPr="001A01AB">
        <w:rPr>
          <w:rFonts w:ascii="Calibri" w:eastAsia="Calibri" w:hAnsi="Calibri" w:cs="Calibri"/>
          <w:lang w:val="es-GT"/>
        </w:rPr>
        <w:t xml:space="preserve">La evaluación de los eventos ciclónicos extremos que ocurrieron entre 1851 a 2007 sobre el territorio guatemalteco y un grado geodésico alrededor (aproximadamente 110 km) muestra que su magnitud aumentó en los últimos 50 años. Las tendencias </w:t>
      </w:r>
      <w:r w:rsidR="004846A4">
        <w:rPr>
          <w:rFonts w:ascii="Calibri" w:eastAsia="Calibri" w:hAnsi="Calibri" w:cs="Calibri"/>
          <w:lang w:val="es-GT"/>
        </w:rPr>
        <w:t>indican</w:t>
      </w:r>
      <w:r w:rsidRPr="001A01AB">
        <w:rPr>
          <w:rFonts w:ascii="Calibri" w:eastAsia="Calibri" w:hAnsi="Calibri" w:cs="Calibri"/>
          <w:lang w:val="es-GT"/>
        </w:rPr>
        <w:t xml:space="preserve"> que hubo un incremento en la cantidad de estos eventos entre 1915-1945; luego de lo cual disminuyeron, para aumentar nu</w:t>
      </w:r>
      <w:r w:rsidR="004846A4">
        <w:rPr>
          <w:rFonts w:ascii="Calibri" w:eastAsia="Calibri" w:hAnsi="Calibri" w:cs="Calibri"/>
          <w:lang w:val="es-GT"/>
        </w:rPr>
        <w:t xml:space="preserve">evamente a partir de 1995 (MARN, </w:t>
      </w:r>
      <w:r w:rsidRPr="001A01AB">
        <w:rPr>
          <w:rFonts w:ascii="Calibri" w:eastAsia="Calibri" w:hAnsi="Calibri" w:cs="Calibri"/>
          <w:lang w:val="es-GT"/>
        </w:rPr>
        <w:t>IARNA-</w:t>
      </w:r>
      <w:r w:rsidR="004846A4">
        <w:rPr>
          <w:rFonts w:ascii="Calibri" w:eastAsia="Calibri" w:hAnsi="Calibri" w:cs="Calibri"/>
          <w:lang w:val="es-GT"/>
        </w:rPr>
        <w:t>URL y PNUMA, 2009)</w:t>
      </w:r>
      <w:r w:rsidRPr="001A01AB">
        <w:rPr>
          <w:rFonts w:ascii="Calibri" w:eastAsia="Calibri" w:hAnsi="Calibri" w:cs="Calibri"/>
          <w:lang w:val="es-GT"/>
        </w:rPr>
        <w:t xml:space="preserve"> </w:t>
      </w:r>
      <w:r w:rsidR="004846A4">
        <w:rPr>
          <w:rFonts w:ascii="Calibri" w:eastAsia="Calibri" w:hAnsi="Calibri" w:cs="Calibri"/>
          <w:lang w:val="es-GT"/>
        </w:rPr>
        <w:t>(</w:t>
      </w:r>
      <w:r w:rsidRPr="001A01AB">
        <w:rPr>
          <w:rFonts w:ascii="Calibri" w:eastAsia="Calibri" w:hAnsi="Calibri" w:cs="Calibri"/>
          <w:lang w:val="es-GT"/>
        </w:rPr>
        <w:t xml:space="preserve">Figura </w:t>
      </w:r>
      <w:r w:rsidR="0093248E">
        <w:rPr>
          <w:rFonts w:ascii="Calibri" w:eastAsia="Calibri" w:hAnsi="Calibri" w:cs="Calibri"/>
          <w:lang w:val="es-GT"/>
        </w:rPr>
        <w:t>13</w:t>
      </w:r>
      <w:r w:rsidRPr="001A01AB">
        <w:rPr>
          <w:rFonts w:ascii="Calibri" w:eastAsia="Calibri" w:hAnsi="Calibri" w:cs="Calibri"/>
          <w:lang w:val="es-GT"/>
        </w:rPr>
        <w:t>).</w:t>
      </w:r>
    </w:p>
    <w:p w:rsidR="00396073" w:rsidRDefault="00396073" w:rsidP="00C470CE">
      <w:pPr>
        <w:autoSpaceDE w:val="0"/>
        <w:autoSpaceDN w:val="0"/>
        <w:adjustRightInd w:val="0"/>
        <w:ind w:left="720"/>
        <w:jc w:val="both"/>
        <w:rPr>
          <w:rFonts w:ascii="Calibri" w:eastAsia="Calibri" w:hAnsi="Calibri" w:cs="Calibri"/>
          <w:lang w:val="es-GT"/>
        </w:rPr>
      </w:pPr>
    </w:p>
    <w:p w:rsidR="00487319" w:rsidRPr="001A01AB" w:rsidRDefault="004846A4" w:rsidP="00C470CE">
      <w:pPr>
        <w:autoSpaceDE w:val="0"/>
        <w:autoSpaceDN w:val="0"/>
        <w:adjustRightInd w:val="0"/>
        <w:ind w:left="720"/>
        <w:jc w:val="both"/>
        <w:rPr>
          <w:rFonts w:ascii="Calibri" w:eastAsia="Calibri" w:hAnsi="Calibri" w:cs="Calibri"/>
          <w:lang w:val="es-GT"/>
        </w:rPr>
      </w:pPr>
      <w:r>
        <w:rPr>
          <w:rFonts w:ascii="Calibri" w:eastAsia="Calibri" w:hAnsi="Calibri" w:cs="Calibri"/>
          <w:lang w:val="es-GT"/>
        </w:rPr>
        <w:t xml:space="preserve">Las </w:t>
      </w:r>
      <w:r w:rsidR="00487319" w:rsidRPr="001A01AB">
        <w:rPr>
          <w:rFonts w:ascii="Calibri" w:eastAsia="Calibri" w:hAnsi="Calibri" w:cs="Calibri"/>
          <w:lang w:val="es-GT"/>
        </w:rPr>
        <w:t>pérdidas económicas causadas por los prin</w:t>
      </w:r>
      <w:r>
        <w:rPr>
          <w:rFonts w:ascii="Calibri" w:eastAsia="Calibri" w:hAnsi="Calibri" w:cs="Calibri"/>
          <w:lang w:val="es-GT"/>
        </w:rPr>
        <w:t>cipales desastres ocurridos en</w:t>
      </w:r>
      <w:r w:rsidR="00487319" w:rsidRPr="001A01AB">
        <w:rPr>
          <w:rFonts w:ascii="Calibri" w:eastAsia="Calibri" w:hAnsi="Calibri" w:cs="Calibri"/>
          <w:lang w:val="es-GT"/>
        </w:rPr>
        <w:t xml:space="preserve"> </w:t>
      </w:r>
      <w:r>
        <w:rPr>
          <w:rFonts w:ascii="Calibri" w:eastAsia="Calibri" w:hAnsi="Calibri" w:cs="Calibri"/>
          <w:lang w:val="es-GT"/>
        </w:rPr>
        <w:t xml:space="preserve">Guatemala se muestran en el Cuadro 3 (CEPAL, </w:t>
      </w:r>
      <w:r w:rsidRPr="001A01AB">
        <w:rPr>
          <w:rFonts w:ascii="Calibri" w:eastAsia="Calibri" w:hAnsi="Calibri" w:cs="Calibri"/>
          <w:lang w:val="es-GT"/>
        </w:rPr>
        <w:t>2012)</w:t>
      </w:r>
      <w:r>
        <w:rPr>
          <w:rFonts w:ascii="Calibri" w:eastAsia="Calibri" w:hAnsi="Calibri" w:cs="Calibri"/>
          <w:lang w:val="es-GT"/>
        </w:rPr>
        <w:t>.</w:t>
      </w:r>
    </w:p>
    <w:p w:rsidR="00487319" w:rsidRDefault="00487319" w:rsidP="00BA46F2">
      <w:pPr>
        <w:autoSpaceDE w:val="0"/>
        <w:autoSpaceDN w:val="0"/>
        <w:adjustRightInd w:val="0"/>
        <w:ind w:left="360"/>
        <w:jc w:val="both"/>
        <w:rPr>
          <w:rFonts w:ascii="Calibri" w:eastAsia="Calibri" w:hAnsi="Calibri" w:cs="Calibri"/>
          <w:lang w:val="es-GT"/>
        </w:rPr>
      </w:pPr>
    </w:p>
    <w:p w:rsidR="004846A4" w:rsidRDefault="004846A4" w:rsidP="00BA46F2">
      <w:pPr>
        <w:autoSpaceDE w:val="0"/>
        <w:autoSpaceDN w:val="0"/>
        <w:adjustRightInd w:val="0"/>
        <w:ind w:left="360"/>
        <w:jc w:val="both"/>
        <w:rPr>
          <w:rFonts w:ascii="Calibri" w:eastAsia="Calibri" w:hAnsi="Calibri" w:cs="Calibri"/>
          <w:lang w:val="es-GT"/>
        </w:rPr>
      </w:pPr>
    </w:p>
    <w:p w:rsidR="004846A4" w:rsidRDefault="004846A4" w:rsidP="00BA46F2">
      <w:pPr>
        <w:autoSpaceDE w:val="0"/>
        <w:autoSpaceDN w:val="0"/>
        <w:adjustRightInd w:val="0"/>
        <w:ind w:left="360"/>
        <w:jc w:val="both"/>
        <w:rPr>
          <w:rFonts w:ascii="Calibri" w:eastAsia="Calibri" w:hAnsi="Calibri" w:cs="Calibri"/>
          <w:lang w:val="es-GT"/>
        </w:rPr>
      </w:pPr>
    </w:p>
    <w:p w:rsidR="004846A4" w:rsidRDefault="004846A4" w:rsidP="00BA46F2">
      <w:pPr>
        <w:autoSpaceDE w:val="0"/>
        <w:autoSpaceDN w:val="0"/>
        <w:adjustRightInd w:val="0"/>
        <w:ind w:left="360"/>
        <w:jc w:val="both"/>
        <w:rPr>
          <w:rFonts w:ascii="Calibri" w:eastAsia="Calibri" w:hAnsi="Calibri" w:cs="Calibri"/>
          <w:lang w:val="es-GT"/>
        </w:rPr>
      </w:pPr>
    </w:p>
    <w:p w:rsidR="004846A4" w:rsidRDefault="004846A4" w:rsidP="00BA46F2">
      <w:pPr>
        <w:autoSpaceDE w:val="0"/>
        <w:autoSpaceDN w:val="0"/>
        <w:adjustRightInd w:val="0"/>
        <w:ind w:left="360"/>
        <w:jc w:val="both"/>
        <w:rPr>
          <w:rFonts w:ascii="Calibri" w:eastAsia="Calibri" w:hAnsi="Calibri" w:cs="Calibri"/>
          <w:lang w:val="es-GT"/>
        </w:rPr>
      </w:pPr>
    </w:p>
    <w:p w:rsidR="004846A4" w:rsidRDefault="004846A4" w:rsidP="00BA46F2">
      <w:pPr>
        <w:autoSpaceDE w:val="0"/>
        <w:autoSpaceDN w:val="0"/>
        <w:adjustRightInd w:val="0"/>
        <w:ind w:left="360"/>
        <w:jc w:val="both"/>
        <w:rPr>
          <w:rFonts w:ascii="Calibri" w:eastAsia="Calibri" w:hAnsi="Calibri" w:cs="Calibri"/>
          <w:lang w:val="es-GT"/>
        </w:rPr>
      </w:pPr>
    </w:p>
    <w:p w:rsidR="004846A4" w:rsidRDefault="004846A4" w:rsidP="00BA46F2">
      <w:pPr>
        <w:autoSpaceDE w:val="0"/>
        <w:autoSpaceDN w:val="0"/>
        <w:adjustRightInd w:val="0"/>
        <w:ind w:left="360"/>
        <w:jc w:val="both"/>
        <w:rPr>
          <w:rFonts w:ascii="Calibri" w:eastAsia="Calibri" w:hAnsi="Calibri" w:cs="Calibri"/>
          <w:lang w:val="es-GT"/>
        </w:rPr>
      </w:pPr>
    </w:p>
    <w:p w:rsidR="004846A4" w:rsidRDefault="004846A4" w:rsidP="00BA46F2">
      <w:pPr>
        <w:autoSpaceDE w:val="0"/>
        <w:autoSpaceDN w:val="0"/>
        <w:adjustRightInd w:val="0"/>
        <w:ind w:left="360"/>
        <w:jc w:val="both"/>
        <w:rPr>
          <w:rFonts w:ascii="Calibri" w:eastAsia="Calibri" w:hAnsi="Calibri" w:cs="Calibri"/>
          <w:lang w:val="es-GT"/>
        </w:rPr>
      </w:pPr>
    </w:p>
    <w:p w:rsidR="004846A4" w:rsidRDefault="004846A4" w:rsidP="00BA46F2">
      <w:pPr>
        <w:autoSpaceDE w:val="0"/>
        <w:autoSpaceDN w:val="0"/>
        <w:adjustRightInd w:val="0"/>
        <w:ind w:left="360"/>
        <w:jc w:val="both"/>
        <w:rPr>
          <w:rFonts w:ascii="Calibri" w:eastAsia="Calibri" w:hAnsi="Calibri" w:cs="Calibri"/>
          <w:lang w:val="es-GT"/>
        </w:rPr>
      </w:pPr>
    </w:p>
    <w:p w:rsidR="00487319" w:rsidRDefault="007F6462" w:rsidP="007F6462">
      <w:pPr>
        <w:spacing w:after="120"/>
        <w:jc w:val="center"/>
        <w:rPr>
          <w:rFonts w:ascii="Calibri" w:eastAsia="Calibri" w:hAnsi="Calibri" w:cs="Calibri"/>
          <w:b/>
          <w:color w:val="365F91"/>
          <w:sz w:val="22"/>
          <w:szCs w:val="22"/>
          <w:lang w:val="es-GT"/>
        </w:rPr>
      </w:pPr>
      <w:bookmarkStart w:id="63" w:name="_Toc347841236"/>
      <w:r w:rsidRPr="001A01AB">
        <w:rPr>
          <w:rFonts w:ascii="Calibri" w:eastAsia="Calibri" w:hAnsi="Calibri" w:cs="Calibri"/>
          <w:b/>
          <w:color w:val="365F91"/>
          <w:sz w:val="22"/>
          <w:szCs w:val="22"/>
          <w:lang w:val="es-GT"/>
        </w:rPr>
        <w:lastRenderedPageBreak/>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13</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Eventos ciclónicos extremos por década sobre el territorio guatemalteco</w:t>
      </w:r>
      <w:r w:rsidR="004846A4">
        <w:rPr>
          <w:rFonts w:ascii="Calibri" w:eastAsia="Calibri" w:hAnsi="Calibri" w:cs="Calibri"/>
          <w:b/>
          <w:color w:val="365F91"/>
          <w:sz w:val="22"/>
          <w:szCs w:val="22"/>
          <w:lang w:val="es-GT"/>
        </w:rPr>
        <w:t>, periodo</w:t>
      </w:r>
      <w:r w:rsidRPr="001A01AB">
        <w:rPr>
          <w:rFonts w:ascii="Calibri" w:eastAsia="Calibri" w:hAnsi="Calibri" w:cs="Calibri"/>
          <w:b/>
          <w:color w:val="365F91"/>
          <w:sz w:val="22"/>
          <w:szCs w:val="22"/>
          <w:lang w:val="es-GT"/>
        </w:rPr>
        <w:t xml:space="preserve"> 1864 - 2007</w:t>
      </w:r>
      <w:bookmarkEnd w:id="63"/>
    </w:p>
    <w:p w:rsidR="007F6462" w:rsidRPr="001A01AB" w:rsidRDefault="00487319" w:rsidP="00487319">
      <w:pPr>
        <w:tabs>
          <w:tab w:val="left" w:pos="990"/>
        </w:tabs>
        <w:rPr>
          <w:rFonts w:ascii="Calibri" w:eastAsia="Calibri" w:hAnsi="Calibri" w:cs="Calibri"/>
          <w:lang w:val="es-GT"/>
        </w:rPr>
      </w:pPr>
      <w:r>
        <w:rPr>
          <w:rFonts w:ascii="Calibri" w:eastAsia="Calibri" w:hAnsi="Calibri" w:cs="Calibri"/>
          <w:sz w:val="22"/>
          <w:szCs w:val="22"/>
          <w:lang w:val="es-GT"/>
        </w:rPr>
        <w:tab/>
      </w:r>
      <w:r w:rsidR="00544A9F">
        <w:rPr>
          <w:rFonts w:ascii="Calibri" w:eastAsia="Calibri" w:hAnsi="Calibri" w:cs="Calibri"/>
          <w:noProof/>
          <w:lang w:val="es-GT" w:eastAsia="es-GT"/>
        </w:rPr>
        <w:drawing>
          <wp:inline distT="0" distB="0" distL="0" distR="0" wp14:anchorId="2C0DA153" wp14:editId="21F2C532">
            <wp:extent cx="5486400" cy="2143125"/>
            <wp:effectExtent l="0" t="0" r="0" b="9525"/>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l="4500" t="32813" r="3000" b="21564"/>
                    <a:stretch>
                      <a:fillRect/>
                    </a:stretch>
                  </pic:blipFill>
                  <pic:spPr bwMode="auto">
                    <a:xfrm>
                      <a:off x="0" y="0"/>
                      <a:ext cx="5486400" cy="2143125"/>
                    </a:xfrm>
                    <a:prstGeom prst="rect">
                      <a:avLst/>
                    </a:prstGeom>
                    <a:noFill/>
                    <a:ln>
                      <a:noFill/>
                    </a:ln>
                  </pic:spPr>
                </pic:pic>
              </a:graphicData>
            </a:graphic>
          </wp:inline>
        </w:drawing>
      </w:r>
    </w:p>
    <w:p w:rsidR="007F6462" w:rsidRPr="00C470CE" w:rsidRDefault="007F6462" w:rsidP="007F6462">
      <w:pPr>
        <w:autoSpaceDE w:val="0"/>
        <w:autoSpaceDN w:val="0"/>
        <w:adjustRightInd w:val="0"/>
        <w:ind w:right="450"/>
        <w:jc w:val="right"/>
        <w:rPr>
          <w:rFonts w:ascii="Calibri" w:eastAsia="Calibri" w:hAnsi="Calibri" w:cs="Calibri"/>
          <w:sz w:val="12"/>
          <w:szCs w:val="12"/>
          <w:lang w:val="es-GT"/>
        </w:rPr>
      </w:pPr>
      <w:r w:rsidRPr="001A01AB">
        <w:rPr>
          <w:rFonts w:ascii="Calibri" w:eastAsia="Calibri" w:hAnsi="Calibri" w:cs="Calibri"/>
          <w:sz w:val="20"/>
          <w:lang w:val="es-GT"/>
        </w:rPr>
        <w:t xml:space="preserve">Fuente: </w:t>
      </w:r>
      <w:r w:rsidR="00AF3BF9">
        <w:rPr>
          <w:rFonts w:ascii="Calibri" w:eastAsia="Calibri" w:hAnsi="Calibri" w:cs="Calibri"/>
          <w:sz w:val="20"/>
          <w:lang w:val="es-GT"/>
        </w:rPr>
        <w:t>MARN, IARNA-URL y PNUMA (2009)</w:t>
      </w:r>
      <w:r w:rsidRPr="001A01AB">
        <w:rPr>
          <w:rFonts w:ascii="Calibri" w:eastAsia="Calibri" w:hAnsi="Calibri" w:cs="Calibri"/>
          <w:sz w:val="20"/>
          <w:lang w:val="es-GT"/>
        </w:rPr>
        <w:t>.</w:t>
      </w:r>
    </w:p>
    <w:p w:rsidR="007F6462" w:rsidRPr="00C470CE" w:rsidRDefault="007F6462" w:rsidP="007F6462">
      <w:pPr>
        <w:autoSpaceDE w:val="0"/>
        <w:autoSpaceDN w:val="0"/>
        <w:adjustRightInd w:val="0"/>
        <w:ind w:left="360"/>
        <w:jc w:val="both"/>
        <w:rPr>
          <w:rFonts w:ascii="Calibri" w:eastAsia="Calibri" w:hAnsi="Calibri" w:cs="Calibri"/>
          <w:sz w:val="12"/>
          <w:szCs w:val="12"/>
          <w:lang w:val="es-GT"/>
        </w:rPr>
      </w:pPr>
    </w:p>
    <w:p w:rsidR="007F6462" w:rsidRPr="00B16F0F" w:rsidRDefault="00C54ACC" w:rsidP="00B16F0F">
      <w:pPr>
        <w:pStyle w:val="Epgrafe"/>
        <w:jc w:val="center"/>
        <w:rPr>
          <w:rFonts w:asciiTheme="minorHAnsi" w:hAnsiTheme="minorHAnsi" w:cstheme="minorHAnsi"/>
          <w:color w:val="365F91" w:themeColor="accent1" w:themeShade="BF"/>
          <w:sz w:val="22"/>
          <w:szCs w:val="22"/>
          <w:lang w:val="es-GT"/>
        </w:rPr>
      </w:pPr>
      <w:bookmarkStart w:id="64" w:name="_Toc347841185"/>
      <w:r w:rsidRPr="00B16F0F">
        <w:rPr>
          <w:rFonts w:asciiTheme="minorHAnsi" w:hAnsiTheme="minorHAnsi" w:cstheme="minorHAnsi"/>
          <w:color w:val="365F91" w:themeColor="accent1" w:themeShade="BF"/>
          <w:sz w:val="22"/>
          <w:szCs w:val="22"/>
          <w:lang w:val="es-GT"/>
        </w:rPr>
        <w:t xml:space="preserve">Cuadro </w:t>
      </w:r>
      <w:r w:rsidRPr="00B16F0F">
        <w:rPr>
          <w:rFonts w:asciiTheme="minorHAnsi" w:hAnsiTheme="minorHAnsi" w:cstheme="minorHAnsi"/>
          <w:color w:val="365F91" w:themeColor="accent1" w:themeShade="BF"/>
          <w:sz w:val="22"/>
          <w:szCs w:val="22"/>
          <w:lang w:val="es-GT"/>
        </w:rPr>
        <w:fldChar w:fldCharType="begin"/>
      </w:r>
      <w:r w:rsidRPr="00B16F0F">
        <w:rPr>
          <w:rFonts w:asciiTheme="minorHAnsi" w:hAnsiTheme="minorHAnsi" w:cstheme="minorHAnsi"/>
          <w:color w:val="365F91" w:themeColor="accent1" w:themeShade="BF"/>
          <w:sz w:val="22"/>
          <w:szCs w:val="22"/>
          <w:lang w:val="es-GT"/>
        </w:rPr>
        <w:instrText xml:space="preserve"> SEQ Cuadro \* ARABIC </w:instrText>
      </w:r>
      <w:r w:rsidRPr="00B16F0F">
        <w:rPr>
          <w:rFonts w:asciiTheme="minorHAnsi" w:hAnsiTheme="minorHAnsi" w:cstheme="minorHAnsi"/>
          <w:color w:val="365F91" w:themeColor="accent1" w:themeShade="BF"/>
          <w:sz w:val="22"/>
          <w:szCs w:val="22"/>
          <w:lang w:val="es-GT"/>
        </w:rPr>
        <w:fldChar w:fldCharType="separate"/>
      </w:r>
      <w:r w:rsidRPr="00B16F0F">
        <w:rPr>
          <w:rFonts w:asciiTheme="minorHAnsi" w:hAnsiTheme="minorHAnsi" w:cstheme="minorHAnsi"/>
          <w:color w:val="365F91" w:themeColor="accent1" w:themeShade="BF"/>
          <w:sz w:val="22"/>
          <w:szCs w:val="22"/>
          <w:lang w:val="es-GT"/>
        </w:rPr>
        <w:t>3</w:t>
      </w:r>
      <w:r w:rsidRPr="00B16F0F">
        <w:rPr>
          <w:rFonts w:asciiTheme="minorHAnsi" w:hAnsiTheme="minorHAnsi" w:cstheme="minorHAnsi"/>
          <w:color w:val="365F91" w:themeColor="accent1" w:themeShade="BF"/>
          <w:sz w:val="22"/>
          <w:szCs w:val="22"/>
          <w:lang w:val="es-GT"/>
        </w:rPr>
        <w:fldChar w:fldCharType="end"/>
      </w:r>
      <w:r w:rsidRPr="00B16F0F">
        <w:rPr>
          <w:rFonts w:asciiTheme="minorHAnsi" w:hAnsiTheme="minorHAnsi" w:cstheme="minorHAnsi"/>
          <w:color w:val="365F91" w:themeColor="accent1" w:themeShade="BF"/>
          <w:sz w:val="22"/>
          <w:szCs w:val="22"/>
          <w:lang w:val="es-GT"/>
        </w:rPr>
        <w:t>. Pérdidas económicas causadas por los principales desastres ocurridos</w:t>
      </w:r>
      <w:bookmarkEnd w:id="64"/>
    </w:p>
    <w:p w:rsidR="00B16F0F" w:rsidRDefault="007F6462" w:rsidP="00C470CE">
      <w:pPr>
        <w:pStyle w:val="Epgrafe"/>
        <w:jc w:val="center"/>
        <w:rPr>
          <w:rFonts w:asciiTheme="minorHAnsi" w:hAnsiTheme="minorHAnsi" w:cstheme="minorHAnsi"/>
          <w:color w:val="365F91" w:themeColor="accent1" w:themeShade="BF"/>
          <w:sz w:val="22"/>
          <w:szCs w:val="22"/>
          <w:lang w:val="es-GT"/>
        </w:rPr>
      </w:pPr>
      <w:r w:rsidRPr="00B16F0F">
        <w:rPr>
          <w:rFonts w:asciiTheme="minorHAnsi" w:hAnsiTheme="minorHAnsi" w:cstheme="minorHAnsi"/>
          <w:color w:val="365F91" w:themeColor="accent1" w:themeShade="BF"/>
          <w:sz w:val="22"/>
          <w:szCs w:val="22"/>
          <w:lang w:val="es-GT"/>
        </w:rPr>
        <w:t>(En millones de dólares a precios de 2008)</w:t>
      </w:r>
    </w:p>
    <w:p w:rsidR="00C470CE" w:rsidRPr="00C470CE" w:rsidRDefault="00C470CE" w:rsidP="00C470CE">
      <w:pPr>
        <w:rPr>
          <w:rFonts w:eastAsia="Calibri"/>
          <w:sz w:val="12"/>
          <w:szCs w:val="12"/>
          <w:lang w:val="es-GT"/>
        </w:rPr>
      </w:pPr>
    </w:p>
    <w:tbl>
      <w:tblPr>
        <w:tblW w:w="9022" w:type="dxa"/>
        <w:jc w:val="center"/>
        <w:tblBorders>
          <w:top w:val="single" w:sz="12" w:space="0" w:color="17365D"/>
          <w:bottom w:val="single" w:sz="12" w:space="0" w:color="17365D"/>
          <w:insideH w:val="single" w:sz="4" w:space="0" w:color="17365D"/>
        </w:tblBorders>
        <w:tblLayout w:type="fixed"/>
        <w:tblCellMar>
          <w:left w:w="70" w:type="dxa"/>
          <w:right w:w="70" w:type="dxa"/>
        </w:tblCellMar>
        <w:tblLook w:val="04A0" w:firstRow="1" w:lastRow="0" w:firstColumn="1" w:lastColumn="0" w:noHBand="0" w:noVBand="1"/>
      </w:tblPr>
      <w:tblGrid>
        <w:gridCol w:w="2061"/>
        <w:gridCol w:w="1160"/>
        <w:gridCol w:w="1160"/>
        <w:gridCol w:w="1160"/>
        <w:gridCol w:w="1160"/>
        <w:gridCol w:w="1160"/>
        <w:gridCol w:w="1161"/>
      </w:tblGrid>
      <w:tr w:rsidR="007F6462" w:rsidRPr="00C870E7" w:rsidTr="001A01AB">
        <w:trPr>
          <w:trHeight w:val="20"/>
          <w:tblHeader/>
          <w:jc w:val="center"/>
        </w:trPr>
        <w:tc>
          <w:tcPr>
            <w:tcW w:w="2061" w:type="dxa"/>
            <w:tcBorders>
              <w:bottom w:val="single" w:sz="4" w:space="0" w:color="17365D"/>
            </w:tcBorders>
            <w:shd w:val="clear" w:color="auto" w:fill="17365D"/>
            <w:vAlign w:val="center"/>
            <w:hideMark/>
          </w:tcPr>
          <w:p w:rsidR="007F6462" w:rsidRPr="001A01AB" w:rsidRDefault="007F6462" w:rsidP="00B37BBB">
            <w:pPr>
              <w:spacing w:before="40" w:after="40"/>
              <w:jc w:val="center"/>
              <w:rPr>
                <w:rFonts w:ascii="Calibri" w:hAnsi="Calibri" w:cs="Calibri"/>
                <w:b/>
                <w:color w:val="FFFFFF"/>
                <w:sz w:val="22"/>
                <w:szCs w:val="22"/>
                <w:lang w:val="es-GT" w:eastAsia="es-GT"/>
              </w:rPr>
            </w:pPr>
            <w:r w:rsidRPr="001A01AB">
              <w:rPr>
                <w:rFonts w:ascii="Calibri" w:hAnsi="Calibri" w:cs="Calibri"/>
                <w:b/>
                <w:color w:val="FFFFFF"/>
                <w:sz w:val="22"/>
                <w:szCs w:val="22"/>
                <w:lang w:val="es-GT" w:eastAsia="es-GT"/>
              </w:rPr>
              <w:t>Sectores</w:t>
            </w:r>
          </w:p>
        </w:tc>
        <w:tc>
          <w:tcPr>
            <w:tcW w:w="1160" w:type="dxa"/>
            <w:tcBorders>
              <w:bottom w:val="single" w:sz="4" w:space="0" w:color="17365D"/>
            </w:tcBorders>
            <w:shd w:val="clear" w:color="auto" w:fill="17365D"/>
            <w:vAlign w:val="center"/>
            <w:hideMark/>
          </w:tcPr>
          <w:p w:rsidR="007F6462" w:rsidRPr="001A01AB" w:rsidRDefault="007F6462" w:rsidP="00B37BBB">
            <w:pPr>
              <w:spacing w:before="40" w:after="40"/>
              <w:jc w:val="center"/>
              <w:rPr>
                <w:rFonts w:ascii="Calibri" w:hAnsi="Calibri" w:cs="Calibri"/>
                <w:b/>
                <w:color w:val="FFFFFF"/>
                <w:sz w:val="22"/>
                <w:szCs w:val="22"/>
                <w:lang w:val="es-GT" w:eastAsia="es-GT"/>
              </w:rPr>
            </w:pPr>
            <w:r w:rsidRPr="001A01AB">
              <w:rPr>
                <w:rFonts w:ascii="Calibri" w:hAnsi="Calibri" w:cs="Calibri"/>
                <w:b/>
                <w:color w:val="FFFFFF"/>
                <w:sz w:val="18"/>
                <w:szCs w:val="22"/>
                <w:lang w:val="es-GT" w:eastAsia="es-GT"/>
              </w:rPr>
              <w:t xml:space="preserve">Inundaciones </w:t>
            </w:r>
            <w:r w:rsidRPr="001A01AB">
              <w:rPr>
                <w:rFonts w:ascii="Calibri" w:hAnsi="Calibri" w:cs="Calibri"/>
                <w:b/>
                <w:color w:val="FFFFFF"/>
                <w:sz w:val="22"/>
                <w:szCs w:val="22"/>
                <w:lang w:val="es-GT" w:eastAsia="es-GT"/>
              </w:rPr>
              <w:t>(1982)</w:t>
            </w:r>
          </w:p>
        </w:tc>
        <w:tc>
          <w:tcPr>
            <w:tcW w:w="1160" w:type="dxa"/>
            <w:tcBorders>
              <w:bottom w:val="single" w:sz="4" w:space="0" w:color="17365D"/>
            </w:tcBorders>
            <w:shd w:val="clear" w:color="auto" w:fill="17365D"/>
            <w:vAlign w:val="center"/>
            <w:hideMark/>
          </w:tcPr>
          <w:p w:rsidR="007F6462" w:rsidRPr="001A01AB" w:rsidRDefault="00AF3BF9" w:rsidP="00B37BBB">
            <w:pPr>
              <w:spacing w:before="40" w:after="40"/>
              <w:jc w:val="center"/>
              <w:rPr>
                <w:rFonts w:ascii="Calibri" w:hAnsi="Calibri" w:cs="Calibri"/>
                <w:b/>
                <w:color w:val="FFFFFF"/>
                <w:sz w:val="22"/>
                <w:szCs w:val="22"/>
                <w:lang w:val="es-GT" w:eastAsia="es-GT"/>
              </w:rPr>
            </w:pPr>
            <w:r>
              <w:rPr>
                <w:rFonts w:ascii="Calibri" w:hAnsi="Calibri" w:cs="Calibri"/>
                <w:b/>
                <w:color w:val="FFFFFF"/>
                <w:sz w:val="22"/>
                <w:szCs w:val="22"/>
                <w:lang w:val="es-GT" w:eastAsia="es-GT"/>
              </w:rPr>
              <w:t>Huracán</w:t>
            </w:r>
            <w:r w:rsidR="007F6462" w:rsidRPr="001A01AB">
              <w:rPr>
                <w:rFonts w:ascii="Calibri" w:hAnsi="Calibri" w:cs="Calibri"/>
                <w:b/>
                <w:color w:val="FFFFFF"/>
                <w:sz w:val="22"/>
                <w:szCs w:val="22"/>
                <w:lang w:val="es-GT" w:eastAsia="es-GT"/>
              </w:rPr>
              <w:t xml:space="preserve"> Mitch (1998)</w:t>
            </w:r>
          </w:p>
        </w:tc>
        <w:tc>
          <w:tcPr>
            <w:tcW w:w="1160" w:type="dxa"/>
            <w:tcBorders>
              <w:bottom w:val="single" w:sz="4" w:space="0" w:color="17365D"/>
            </w:tcBorders>
            <w:shd w:val="clear" w:color="auto" w:fill="17365D"/>
            <w:vAlign w:val="center"/>
            <w:hideMark/>
          </w:tcPr>
          <w:p w:rsidR="007F6462" w:rsidRPr="001A01AB" w:rsidRDefault="007F6462" w:rsidP="00B37BBB">
            <w:pPr>
              <w:spacing w:before="40" w:after="40"/>
              <w:jc w:val="center"/>
              <w:rPr>
                <w:rFonts w:ascii="Calibri" w:hAnsi="Calibri" w:cs="Calibri"/>
                <w:b/>
                <w:color w:val="FFFFFF"/>
                <w:sz w:val="22"/>
                <w:szCs w:val="22"/>
                <w:lang w:val="es-GT" w:eastAsia="es-GT"/>
              </w:rPr>
            </w:pPr>
            <w:r w:rsidRPr="001A01AB">
              <w:rPr>
                <w:rFonts w:ascii="Calibri" w:hAnsi="Calibri" w:cs="Calibri"/>
                <w:b/>
                <w:color w:val="FFFFFF"/>
                <w:sz w:val="22"/>
                <w:szCs w:val="22"/>
                <w:lang w:val="es-GT" w:eastAsia="es-GT"/>
              </w:rPr>
              <w:t>Sequía (2001)</w:t>
            </w:r>
          </w:p>
        </w:tc>
        <w:tc>
          <w:tcPr>
            <w:tcW w:w="1160" w:type="dxa"/>
            <w:tcBorders>
              <w:bottom w:val="single" w:sz="4" w:space="0" w:color="17365D"/>
            </w:tcBorders>
            <w:shd w:val="clear" w:color="auto" w:fill="17365D"/>
            <w:vAlign w:val="center"/>
            <w:hideMark/>
          </w:tcPr>
          <w:p w:rsidR="007F6462" w:rsidRPr="001A01AB" w:rsidRDefault="007F6462" w:rsidP="00AF3BF9">
            <w:pPr>
              <w:spacing w:before="40" w:after="40"/>
              <w:jc w:val="center"/>
              <w:rPr>
                <w:rFonts w:ascii="Calibri" w:hAnsi="Calibri" w:cs="Calibri"/>
                <w:b/>
                <w:color w:val="FFFFFF"/>
                <w:sz w:val="22"/>
                <w:szCs w:val="22"/>
                <w:lang w:val="es-GT" w:eastAsia="es-GT"/>
              </w:rPr>
            </w:pPr>
            <w:r w:rsidRPr="001A01AB">
              <w:rPr>
                <w:rFonts w:ascii="Calibri" w:hAnsi="Calibri" w:cs="Calibri"/>
                <w:b/>
                <w:color w:val="FFFFFF"/>
                <w:sz w:val="22"/>
                <w:szCs w:val="22"/>
                <w:lang w:val="es-GT" w:eastAsia="es-GT"/>
              </w:rPr>
              <w:t>T</w:t>
            </w:r>
            <w:r w:rsidR="00AF3BF9">
              <w:rPr>
                <w:rFonts w:ascii="Calibri" w:hAnsi="Calibri" w:cs="Calibri"/>
                <w:b/>
                <w:color w:val="FFFFFF"/>
                <w:sz w:val="22"/>
                <w:szCs w:val="22"/>
                <w:lang w:val="es-GT" w:eastAsia="es-GT"/>
              </w:rPr>
              <w:t>ormenta tropical</w:t>
            </w:r>
            <w:r w:rsidRPr="001A01AB">
              <w:rPr>
                <w:rFonts w:ascii="Calibri" w:hAnsi="Calibri" w:cs="Calibri"/>
                <w:b/>
                <w:color w:val="FFFFFF"/>
                <w:sz w:val="22"/>
                <w:szCs w:val="22"/>
                <w:lang w:val="es-GT" w:eastAsia="es-GT"/>
              </w:rPr>
              <w:t xml:space="preserve"> Stan (2005)</w:t>
            </w:r>
          </w:p>
        </w:tc>
        <w:tc>
          <w:tcPr>
            <w:tcW w:w="1160" w:type="dxa"/>
            <w:tcBorders>
              <w:bottom w:val="single" w:sz="4" w:space="0" w:color="17365D"/>
            </w:tcBorders>
            <w:shd w:val="clear" w:color="auto" w:fill="17365D"/>
            <w:vAlign w:val="center"/>
            <w:hideMark/>
          </w:tcPr>
          <w:p w:rsidR="007F6462" w:rsidRPr="001A01AB" w:rsidRDefault="007F6462" w:rsidP="00396073">
            <w:pPr>
              <w:spacing w:before="40" w:after="40"/>
              <w:jc w:val="center"/>
              <w:rPr>
                <w:rFonts w:ascii="Calibri" w:hAnsi="Calibri" w:cs="Calibri"/>
                <w:b/>
                <w:color w:val="FFFFFF"/>
                <w:sz w:val="22"/>
                <w:szCs w:val="22"/>
                <w:lang w:val="es-GT" w:eastAsia="es-GT"/>
              </w:rPr>
            </w:pPr>
            <w:r w:rsidRPr="001A01AB">
              <w:rPr>
                <w:rFonts w:ascii="Calibri" w:hAnsi="Calibri" w:cs="Calibri"/>
                <w:b/>
                <w:color w:val="FFFFFF"/>
                <w:sz w:val="18"/>
                <w:szCs w:val="22"/>
                <w:lang w:val="es-GT" w:eastAsia="es-GT"/>
              </w:rPr>
              <w:t>Ágata/</w:t>
            </w:r>
            <w:r w:rsidRPr="00396073">
              <w:rPr>
                <w:rFonts w:ascii="Calibri" w:hAnsi="Calibri" w:cs="Calibri"/>
                <w:b/>
                <w:color w:val="FFFFFF"/>
                <w:sz w:val="16"/>
                <w:szCs w:val="16"/>
                <w:lang w:val="es-GT" w:eastAsia="es-GT"/>
              </w:rPr>
              <w:t>Pacay</w:t>
            </w:r>
            <w:r w:rsidR="00396073" w:rsidRPr="00396073">
              <w:rPr>
                <w:rFonts w:ascii="Calibri" w:hAnsi="Calibri" w:cs="Calibri"/>
                <w:b/>
                <w:color w:val="FFFFFF"/>
                <w:sz w:val="16"/>
                <w:szCs w:val="16"/>
                <w:lang w:val="es-GT" w:eastAsia="es-GT"/>
              </w:rPr>
              <w:t>a</w:t>
            </w:r>
            <w:r w:rsidRPr="00396073">
              <w:rPr>
                <w:rFonts w:ascii="Calibri" w:hAnsi="Calibri" w:cs="Calibri"/>
                <w:b/>
                <w:color w:val="FFFFFF"/>
                <w:sz w:val="16"/>
                <w:szCs w:val="16"/>
                <w:lang w:val="es-GT" w:eastAsia="es-GT"/>
              </w:rPr>
              <w:t xml:space="preserve"> </w:t>
            </w:r>
            <w:r w:rsidRPr="001A01AB">
              <w:rPr>
                <w:rFonts w:ascii="Calibri" w:hAnsi="Calibri" w:cs="Calibri"/>
                <w:b/>
                <w:color w:val="FFFFFF"/>
                <w:sz w:val="22"/>
                <w:szCs w:val="22"/>
                <w:lang w:val="es-GT" w:eastAsia="es-GT"/>
              </w:rPr>
              <w:t>(2010)</w:t>
            </w:r>
          </w:p>
        </w:tc>
        <w:tc>
          <w:tcPr>
            <w:tcW w:w="1161" w:type="dxa"/>
            <w:tcBorders>
              <w:bottom w:val="single" w:sz="4" w:space="0" w:color="17365D"/>
            </w:tcBorders>
            <w:shd w:val="clear" w:color="auto" w:fill="17365D"/>
            <w:vAlign w:val="center"/>
            <w:hideMark/>
          </w:tcPr>
          <w:p w:rsidR="007F6462" w:rsidRPr="001A01AB" w:rsidRDefault="007F6462" w:rsidP="00B37BBB">
            <w:pPr>
              <w:spacing w:before="40" w:after="40"/>
              <w:jc w:val="center"/>
              <w:rPr>
                <w:rFonts w:ascii="Calibri" w:hAnsi="Calibri" w:cs="Calibri"/>
                <w:b/>
                <w:color w:val="FFFFFF"/>
                <w:sz w:val="22"/>
                <w:szCs w:val="22"/>
                <w:lang w:val="es-GT" w:eastAsia="es-GT"/>
              </w:rPr>
            </w:pPr>
            <w:r w:rsidRPr="001A01AB">
              <w:rPr>
                <w:rFonts w:ascii="Calibri" w:hAnsi="Calibri" w:cs="Calibri"/>
                <w:b/>
                <w:color w:val="FFFFFF"/>
                <w:sz w:val="22"/>
                <w:szCs w:val="22"/>
                <w:lang w:val="es-GT" w:eastAsia="es-GT"/>
              </w:rPr>
              <w:t>Total nacional</w:t>
            </w:r>
          </w:p>
        </w:tc>
      </w:tr>
      <w:tr w:rsidR="007F6462" w:rsidRPr="00C870E7" w:rsidTr="001A01AB">
        <w:trPr>
          <w:trHeight w:val="20"/>
          <w:jc w:val="center"/>
        </w:trPr>
        <w:tc>
          <w:tcPr>
            <w:tcW w:w="2061" w:type="dxa"/>
            <w:tcBorders>
              <w:top w:val="single" w:sz="4" w:space="0" w:color="17365D"/>
              <w:bottom w:val="nil"/>
            </w:tcBorders>
            <w:shd w:val="clear" w:color="auto" w:fill="DBE5F1"/>
            <w:noWrap/>
            <w:vAlign w:val="center"/>
            <w:hideMark/>
          </w:tcPr>
          <w:p w:rsidR="007F6462" w:rsidRPr="001A01AB" w:rsidRDefault="007F6462" w:rsidP="00B37BBB">
            <w:pPr>
              <w:spacing w:before="40" w:after="40"/>
              <w:rPr>
                <w:rFonts w:ascii="Calibri" w:hAnsi="Calibri" w:cs="Calibri"/>
                <w:sz w:val="22"/>
                <w:szCs w:val="22"/>
                <w:lang w:val="es-GT" w:eastAsia="es-GT"/>
              </w:rPr>
            </w:pPr>
            <w:r w:rsidRPr="001A01AB">
              <w:rPr>
                <w:rFonts w:ascii="Calibri" w:hAnsi="Calibri" w:cs="Calibri"/>
                <w:sz w:val="22"/>
                <w:szCs w:val="22"/>
                <w:lang w:val="es-GT" w:eastAsia="es-GT"/>
              </w:rPr>
              <w:t>Sectores sociales</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11.5</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63.5</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 </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169.7</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193.4</w:t>
            </w:r>
          </w:p>
        </w:tc>
        <w:tc>
          <w:tcPr>
            <w:tcW w:w="1161" w:type="dxa"/>
            <w:tcBorders>
              <w:top w:val="single" w:sz="4" w:space="0" w:color="17365D"/>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438.1</w:t>
            </w:r>
          </w:p>
        </w:tc>
      </w:tr>
      <w:tr w:rsidR="007F6462" w:rsidRPr="00C870E7" w:rsidTr="001A01AB">
        <w:trPr>
          <w:trHeight w:val="20"/>
          <w:jc w:val="center"/>
        </w:trPr>
        <w:tc>
          <w:tcPr>
            <w:tcW w:w="2061" w:type="dxa"/>
            <w:tcBorders>
              <w:top w:val="nil"/>
              <w:bottom w:val="nil"/>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Vivienda</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10.9</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46.6</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145.1</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95.4</w:t>
            </w:r>
          </w:p>
        </w:tc>
        <w:tc>
          <w:tcPr>
            <w:tcW w:w="1161" w:type="dxa"/>
            <w:tcBorders>
              <w:top w:val="nil"/>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297.0</w:t>
            </w:r>
          </w:p>
        </w:tc>
      </w:tr>
      <w:tr w:rsidR="007F6462" w:rsidRPr="00C870E7" w:rsidTr="001A01AB">
        <w:trPr>
          <w:trHeight w:val="20"/>
          <w:jc w:val="center"/>
        </w:trPr>
        <w:tc>
          <w:tcPr>
            <w:tcW w:w="2061" w:type="dxa"/>
            <w:tcBorders>
              <w:top w:val="nil"/>
              <w:bottom w:val="nil"/>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Educación</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0.2</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6.5</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8.9</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80.8</w:t>
            </w:r>
          </w:p>
        </w:tc>
        <w:tc>
          <w:tcPr>
            <w:tcW w:w="1161" w:type="dxa"/>
            <w:tcBorders>
              <w:top w:val="nil"/>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96.4</w:t>
            </w:r>
          </w:p>
        </w:tc>
      </w:tr>
      <w:tr w:rsidR="007F6462" w:rsidRPr="00C870E7" w:rsidTr="001A01AB">
        <w:trPr>
          <w:trHeight w:val="20"/>
          <w:jc w:val="center"/>
        </w:trPr>
        <w:tc>
          <w:tcPr>
            <w:tcW w:w="2061" w:type="dxa"/>
            <w:tcBorders>
              <w:top w:val="nil"/>
              <w:bottom w:val="single" w:sz="4" w:space="0" w:color="17365D"/>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Salud</w:t>
            </w: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0.4</w:t>
            </w: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10.4</w:t>
            </w: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15.7</w:t>
            </w: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14.0</w:t>
            </w:r>
          </w:p>
        </w:tc>
        <w:tc>
          <w:tcPr>
            <w:tcW w:w="1161" w:type="dxa"/>
            <w:tcBorders>
              <w:top w:val="nil"/>
              <w:bottom w:val="single" w:sz="4" w:space="0" w:color="17365D"/>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40.0</w:t>
            </w:r>
          </w:p>
        </w:tc>
      </w:tr>
      <w:tr w:rsidR="007F6462" w:rsidRPr="00C870E7" w:rsidTr="001A01AB">
        <w:trPr>
          <w:trHeight w:val="359"/>
          <w:jc w:val="center"/>
        </w:trPr>
        <w:tc>
          <w:tcPr>
            <w:tcW w:w="2061" w:type="dxa"/>
            <w:tcBorders>
              <w:top w:val="single" w:sz="4" w:space="0" w:color="17365D"/>
              <w:bottom w:val="nil"/>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p>
        </w:tc>
        <w:tc>
          <w:tcPr>
            <w:tcW w:w="1160" w:type="dxa"/>
            <w:tcBorders>
              <w:top w:val="single" w:sz="4" w:space="0" w:color="17365D"/>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p>
        </w:tc>
        <w:tc>
          <w:tcPr>
            <w:tcW w:w="1160" w:type="dxa"/>
            <w:tcBorders>
              <w:top w:val="single" w:sz="4" w:space="0" w:color="17365D"/>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p>
        </w:tc>
        <w:tc>
          <w:tcPr>
            <w:tcW w:w="1160" w:type="dxa"/>
            <w:tcBorders>
              <w:top w:val="single" w:sz="4" w:space="0" w:color="17365D"/>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p>
        </w:tc>
        <w:tc>
          <w:tcPr>
            <w:tcW w:w="1160" w:type="dxa"/>
            <w:tcBorders>
              <w:top w:val="single" w:sz="4" w:space="0" w:color="17365D"/>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p>
        </w:tc>
        <w:tc>
          <w:tcPr>
            <w:tcW w:w="1160" w:type="dxa"/>
            <w:tcBorders>
              <w:top w:val="single" w:sz="4" w:space="0" w:color="17365D"/>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p>
        </w:tc>
        <w:tc>
          <w:tcPr>
            <w:tcW w:w="1161" w:type="dxa"/>
            <w:tcBorders>
              <w:top w:val="single" w:sz="4" w:space="0" w:color="17365D"/>
              <w:bottom w:val="nil"/>
            </w:tcBorders>
            <w:shd w:val="clear" w:color="auto" w:fill="auto"/>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p>
        </w:tc>
      </w:tr>
      <w:tr w:rsidR="007F6462" w:rsidRPr="00C870E7" w:rsidTr="001A01AB">
        <w:trPr>
          <w:trHeight w:val="20"/>
          <w:jc w:val="center"/>
        </w:trPr>
        <w:tc>
          <w:tcPr>
            <w:tcW w:w="2061" w:type="dxa"/>
            <w:tcBorders>
              <w:top w:val="single" w:sz="4" w:space="0" w:color="17365D"/>
              <w:bottom w:val="nil"/>
            </w:tcBorders>
            <w:shd w:val="clear" w:color="auto" w:fill="DBE5F1"/>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Infraestructura</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50.8</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153.0</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8.4</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492.8</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350.0</w:t>
            </w:r>
          </w:p>
        </w:tc>
        <w:tc>
          <w:tcPr>
            <w:tcW w:w="1161" w:type="dxa"/>
            <w:tcBorders>
              <w:top w:val="single" w:sz="4" w:space="0" w:color="17365D"/>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1,055.0</w:t>
            </w:r>
          </w:p>
        </w:tc>
      </w:tr>
      <w:tr w:rsidR="007F6462" w:rsidRPr="00C870E7" w:rsidTr="001A01AB">
        <w:trPr>
          <w:trHeight w:val="20"/>
          <w:jc w:val="center"/>
        </w:trPr>
        <w:tc>
          <w:tcPr>
            <w:tcW w:w="2061" w:type="dxa"/>
            <w:tcBorders>
              <w:top w:val="nil"/>
              <w:bottom w:val="nil"/>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Comunicaciones y transporte</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19.9</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118.5</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474.1</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323.8</w:t>
            </w:r>
          </w:p>
        </w:tc>
        <w:tc>
          <w:tcPr>
            <w:tcW w:w="1161" w:type="dxa"/>
            <w:tcBorders>
              <w:top w:val="nil"/>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936.3</w:t>
            </w:r>
          </w:p>
        </w:tc>
      </w:tr>
      <w:tr w:rsidR="007F6462" w:rsidRPr="00C870E7" w:rsidTr="001A01AB">
        <w:trPr>
          <w:trHeight w:val="20"/>
          <w:jc w:val="center"/>
        </w:trPr>
        <w:tc>
          <w:tcPr>
            <w:tcW w:w="2061" w:type="dxa"/>
            <w:tcBorders>
              <w:top w:val="nil"/>
              <w:bottom w:val="nil"/>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Electricidad</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25.4</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13.2</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8.4</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5.6</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11.7</w:t>
            </w:r>
          </w:p>
        </w:tc>
        <w:tc>
          <w:tcPr>
            <w:tcW w:w="1161" w:type="dxa"/>
            <w:tcBorders>
              <w:top w:val="nil"/>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64.3</w:t>
            </w:r>
          </w:p>
        </w:tc>
      </w:tr>
      <w:tr w:rsidR="007F6462" w:rsidRPr="00C870E7" w:rsidTr="001A01AB">
        <w:trPr>
          <w:trHeight w:val="20"/>
          <w:jc w:val="center"/>
        </w:trPr>
        <w:tc>
          <w:tcPr>
            <w:tcW w:w="2061" w:type="dxa"/>
            <w:tcBorders>
              <w:top w:val="nil"/>
              <w:bottom w:val="nil"/>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Agua y saneamiento</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3.3</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21.3</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13.1</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14.5</w:t>
            </w:r>
          </w:p>
        </w:tc>
        <w:tc>
          <w:tcPr>
            <w:tcW w:w="1161" w:type="dxa"/>
            <w:tcBorders>
              <w:top w:val="nil"/>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52.2</w:t>
            </w:r>
          </w:p>
        </w:tc>
      </w:tr>
      <w:tr w:rsidR="007F6462" w:rsidRPr="00C870E7" w:rsidTr="001A01AB">
        <w:trPr>
          <w:trHeight w:val="20"/>
          <w:jc w:val="center"/>
        </w:trPr>
        <w:tc>
          <w:tcPr>
            <w:tcW w:w="2061" w:type="dxa"/>
            <w:tcBorders>
              <w:top w:val="nil"/>
              <w:bottom w:val="single" w:sz="4" w:space="0" w:color="17365D"/>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Riesgo, drenaje y otros</w:t>
            </w: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2.2</w:t>
            </w: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1" w:type="dxa"/>
            <w:tcBorders>
              <w:top w:val="nil"/>
              <w:bottom w:val="single" w:sz="4" w:space="0" w:color="17365D"/>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2.2</w:t>
            </w:r>
          </w:p>
        </w:tc>
      </w:tr>
      <w:tr w:rsidR="007F6462" w:rsidRPr="00C870E7" w:rsidTr="001A01AB">
        <w:trPr>
          <w:trHeight w:val="20"/>
          <w:jc w:val="center"/>
        </w:trPr>
        <w:tc>
          <w:tcPr>
            <w:tcW w:w="2061" w:type="dxa"/>
            <w:tcBorders>
              <w:top w:val="single" w:sz="4" w:space="0" w:color="17365D"/>
              <w:bottom w:val="nil"/>
            </w:tcBorders>
            <w:shd w:val="clear" w:color="auto" w:fill="DBE5F1"/>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Sectores productivos</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117.8</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764.8</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17.8</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296.3</w:t>
            </w:r>
          </w:p>
        </w:tc>
        <w:tc>
          <w:tcPr>
            <w:tcW w:w="1160" w:type="dxa"/>
            <w:tcBorders>
              <w:top w:val="single" w:sz="4" w:space="0" w:color="17365D"/>
              <w:bottom w:val="nil"/>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127.5</w:t>
            </w:r>
          </w:p>
        </w:tc>
        <w:tc>
          <w:tcPr>
            <w:tcW w:w="1161" w:type="dxa"/>
            <w:tcBorders>
              <w:top w:val="single" w:sz="4" w:space="0" w:color="17365D"/>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1,324.2</w:t>
            </w:r>
          </w:p>
        </w:tc>
      </w:tr>
      <w:tr w:rsidR="007F6462" w:rsidRPr="00C870E7" w:rsidTr="001A01AB">
        <w:trPr>
          <w:trHeight w:val="20"/>
          <w:jc w:val="center"/>
        </w:trPr>
        <w:tc>
          <w:tcPr>
            <w:tcW w:w="2061" w:type="dxa"/>
            <w:tcBorders>
              <w:top w:val="nil"/>
              <w:bottom w:val="nil"/>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Agricultura</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117.8</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659.6</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15.0</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85.7</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79.8</w:t>
            </w:r>
          </w:p>
        </w:tc>
        <w:tc>
          <w:tcPr>
            <w:tcW w:w="1161" w:type="dxa"/>
            <w:tcBorders>
              <w:top w:val="nil"/>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957.9</w:t>
            </w:r>
          </w:p>
        </w:tc>
      </w:tr>
      <w:tr w:rsidR="007F6462" w:rsidRPr="00C870E7" w:rsidTr="001A01AB">
        <w:trPr>
          <w:trHeight w:val="20"/>
          <w:jc w:val="center"/>
        </w:trPr>
        <w:tc>
          <w:tcPr>
            <w:tcW w:w="2061" w:type="dxa"/>
            <w:tcBorders>
              <w:top w:val="nil"/>
              <w:bottom w:val="nil"/>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Industria</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81.4</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2.8</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62.5</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39.2</w:t>
            </w:r>
          </w:p>
        </w:tc>
        <w:tc>
          <w:tcPr>
            <w:tcW w:w="1161" w:type="dxa"/>
            <w:tcBorders>
              <w:top w:val="nil"/>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185.0</w:t>
            </w:r>
          </w:p>
        </w:tc>
      </w:tr>
      <w:tr w:rsidR="007F6462" w:rsidRPr="00C870E7" w:rsidTr="001A01AB">
        <w:trPr>
          <w:trHeight w:val="20"/>
          <w:jc w:val="center"/>
        </w:trPr>
        <w:tc>
          <w:tcPr>
            <w:tcW w:w="2061" w:type="dxa"/>
            <w:tcBorders>
              <w:top w:val="nil"/>
              <w:bottom w:val="nil"/>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Comercio</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23.8</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89.2</w:t>
            </w:r>
          </w:p>
        </w:tc>
        <w:tc>
          <w:tcPr>
            <w:tcW w:w="1160" w:type="dxa"/>
            <w:tcBorders>
              <w:top w:val="nil"/>
              <w:bottom w:val="nil"/>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4.1</w:t>
            </w:r>
          </w:p>
        </w:tc>
        <w:tc>
          <w:tcPr>
            <w:tcW w:w="1161" w:type="dxa"/>
            <w:tcBorders>
              <w:top w:val="nil"/>
              <w:bottom w:val="nil"/>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117.0</w:t>
            </w:r>
          </w:p>
        </w:tc>
      </w:tr>
      <w:tr w:rsidR="007F6462" w:rsidRPr="00C870E7" w:rsidTr="001A01AB">
        <w:trPr>
          <w:trHeight w:val="20"/>
          <w:jc w:val="center"/>
        </w:trPr>
        <w:tc>
          <w:tcPr>
            <w:tcW w:w="2061" w:type="dxa"/>
            <w:tcBorders>
              <w:top w:val="nil"/>
              <w:bottom w:val="single" w:sz="4" w:space="0" w:color="17365D"/>
            </w:tcBorders>
            <w:shd w:val="clear" w:color="auto" w:fill="auto"/>
            <w:vAlign w:val="center"/>
            <w:hideMark/>
          </w:tcPr>
          <w:p w:rsidR="007F6462" w:rsidRPr="001A01AB" w:rsidRDefault="007F6462" w:rsidP="00B37BBB">
            <w:pPr>
              <w:spacing w:before="40" w:after="4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Turismo</w:t>
            </w: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color w:val="000000"/>
                <w:sz w:val="22"/>
                <w:szCs w:val="22"/>
                <w:lang w:val="es-GT" w:eastAsia="es-GT"/>
              </w:rPr>
            </w:pP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58.9</w:t>
            </w:r>
          </w:p>
        </w:tc>
        <w:tc>
          <w:tcPr>
            <w:tcW w:w="1160" w:type="dxa"/>
            <w:tcBorders>
              <w:top w:val="nil"/>
              <w:bottom w:val="single" w:sz="4" w:space="0" w:color="17365D"/>
            </w:tcBorders>
            <w:shd w:val="clear" w:color="auto" w:fill="auto"/>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4.4</w:t>
            </w:r>
          </w:p>
        </w:tc>
        <w:tc>
          <w:tcPr>
            <w:tcW w:w="1161" w:type="dxa"/>
            <w:tcBorders>
              <w:top w:val="nil"/>
              <w:bottom w:val="single" w:sz="4" w:space="0" w:color="17365D"/>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63.3</w:t>
            </w:r>
          </w:p>
        </w:tc>
      </w:tr>
      <w:tr w:rsidR="007F6462" w:rsidRPr="00C870E7" w:rsidTr="001A01AB">
        <w:trPr>
          <w:trHeight w:val="20"/>
          <w:jc w:val="center"/>
        </w:trPr>
        <w:tc>
          <w:tcPr>
            <w:tcW w:w="2061" w:type="dxa"/>
            <w:tcBorders>
              <w:top w:val="single" w:sz="4" w:space="0" w:color="17365D"/>
            </w:tcBorders>
            <w:shd w:val="clear" w:color="auto" w:fill="DBE5F1"/>
            <w:vAlign w:val="center"/>
            <w:hideMark/>
          </w:tcPr>
          <w:p w:rsidR="007F6462" w:rsidRPr="001A01AB" w:rsidRDefault="00AF3BF9" w:rsidP="00B37BBB">
            <w:pPr>
              <w:spacing w:before="40" w:after="40"/>
              <w:rPr>
                <w:rFonts w:ascii="Calibri" w:hAnsi="Calibri" w:cs="Calibri"/>
                <w:color w:val="000000"/>
                <w:sz w:val="22"/>
                <w:szCs w:val="22"/>
                <w:lang w:val="es-GT" w:eastAsia="es-GT"/>
              </w:rPr>
            </w:pPr>
            <w:r>
              <w:rPr>
                <w:rFonts w:ascii="Calibri" w:hAnsi="Calibri" w:cs="Calibri"/>
                <w:color w:val="000000"/>
                <w:sz w:val="22"/>
                <w:szCs w:val="22"/>
                <w:lang w:val="es-GT" w:eastAsia="es-GT"/>
              </w:rPr>
              <w:t>Medio a</w:t>
            </w:r>
            <w:r w:rsidR="007F6462" w:rsidRPr="001A01AB">
              <w:rPr>
                <w:rFonts w:ascii="Calibri" w:hAnsi="Calibri" w:cs="Calibri"/>
                <w:color w:val="000000"/>
                <w:sz w:val="22"/>
                <w:szCs w:val="22"/>
                <w:lang w:val="es-GT" w:eastAsia="es-GT"/>
              </w:rPr>
              <w:t>mbiente</w:t>
            </w:r>
          </w:p>
        </w:tc>
        <w:tc>
          <w:tcPr>
            <w:tcW w:w="1160" w:type="dxa"/>
            <w:tcBorders>
              <w:top w:val="single" w:sz="4" w:space="0" w:color="17365D"/>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 </w:t>
            </w:r>
          </w:p>
        </w:tc>
        <w:tc>
          <w:tcPr>
            <w:tcW w:w="1160" w:type="dxa"/>
            <w:tcBorders>
              <w:top w:val="single" w:sz="4" w:space="0" w:color="17365D"/>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6.7</w:t>
            </w:r>
          </w:p>
        </w:tc>
        <w:tc>
          <w:tcPr>
            <w:tcW w:w="1160" w:type="dxa"/>
            <w:tcBorders>
              <w:top w:val="single" w:sz="4" w:space="0" w:color="17365D"/>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 </w:t>
            </w:r>
          </w:p>
        </w:tc>
        <w:tc>
          <w:tcPr>
            <w:tcW w:w="1160" w:type="dxa"/>
            <w:tcBorders>
              <w:top w:val="single" w:sz="4" w:space="0" w:color="17365D"/>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44.6</w:t>
            </w:r>
          </w:p>
        </w:tc>
        <w:tc>
          <w:tcPr>
            <w:tcW w:w="1160" w:type="dxa"/>
            <w:tcBorders>
              <w:top w:val="single" w:sz="4" w:space="0" w:color="17365D"/>
            </w:tcBorders>
            <w:shd w:val="clear" w:color="auto" w:fill="DBE5F1"/>
            <w:noWrap/>
            <w:vAlign w:val="center"/>
            <w:hideMark/>
          </w:tcPr>
          <w:p w:rsidR="007F6462" w:rsidRPr="001A01AB" w:rsidRDefault="007F6462" w:rsidP="00B37BBB">
            <w:pPr>
              <w:spacing w:before="40" w:after="40"/>
              <w:jc w:val="right"/>
              <w:rPr>
                <w:rFonts w:ascii="Calibri" w:hAnsi="Calibri" w:cs="Calibri"/>
                <w:sz w:val="22"/>
                <w:szCs w:val="22"/>
                <w:lang w:val="es-GT" w:eastAsia="es-GT"/>
              </w:rPr>
            </w:pPr>
            <w:r w:rsidRPr="001A01AB">
              <w:rPr>
                <w:rFonts w:ascii="Calibri" w:hAnsi="Calibri" w:cs="Calibri"/>
                <w:sz w:val="22"/>
                <w:szCs w:val="22"/>
                <w:lang w:val="es-GT" w:eastAsia="es-GT"/>
              </w:rPr>
              <w:t>258.0</w:t>
            </w:r>
          </w:p>
        </w:tc>
        <w:tc>
          <w:tcPr>
            <w:tcW w:w="1161" w:type="dxa"/>
            <w:tcBorders>
              <w:top w:val="single" w:sz="4" w:space="0" w:color="17365D"/>
            </w:tcBorders>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309.0</w:t>
            </w:r>
          </w:p>
        </w:tc>
      </w:tr>
      <w:tr w:rsidR="007F6462" w:rsidRPr="00C870E7" w:rsidTr="001A01AB">
        <w:trPr>
          <w:trHeight w:val="20"/>
          <w:jc w:val="center"/>
        </w:trPr>
        <w:tc>
          <w:tcPr>
            <w:tcW w:w="2061" w:type="dxa"/>
            <w:shd w:val="clear" w:color="auto" w:fill="C6D9F1"/>
            <w:vAlign w:val="center"/>
            <w:hideMark/>
          </w:tcPr>
          <w:p w:rsidR="007F6462" w:rsidRPr="001A01AB" w:rsidRDefault="007F6462" w:rsidP="00B37BBB">
            <w:pPr>
              <w:spacing w:before="40" w:after="40"/>
              <w:rPr>
                <w:rFonts w:ascii="Calibri" w:hAnsi="Calibri" w:cs="Calibri"/>
                <w:b/>
                <w:color w:val="000000"/>
                <w:sz w:val="22"/>
                <w:szCs w:val="22"/>
                <w:lang w:val="es-GT" w:eastAsia="es-GT"/>
              </w:rPr>
            </w:pPr>
            <w:r w:rsidRPr="001A01AB">
              <w:rPr>
                <w:rFonts w:ascii="Calibri" w:hAnsi="Calibri" w:cs="Calibri"/>
                <w:b/>
                <w:color w:val="000000"/>
                <w:sz w:val="22"/>
                <w:szCs w:val="22"/>
                <w:lang w:val="es-GT" w:eastAsia="es-GT"/>
              </w:rPr>
              <w:t>Total</w:t>
            </w:r>
          </w:p>
        </w:tc>
        <w:tc>
          <w:tcPr>
            <w:tcW w:w="1160" w:type="dxa"/>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180.1</w:t>
            </w:r>
          </w:p>
        </w:tc>
        <w:tc>
          <w:tcPr>
            <w:tcW w:w="1160" w:type="dxa"/>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988.0</w:t>
            </w:r>
          </w:p>
        </w:tc>
        <w:tc>
          <w:tcPr>
            <w:tcW w:w="1160" w:type="dxa"/>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26.2</w:t>
            </w:r>
          </w:p>
        </w:tc>
        <w:tc>
          <w:tcPr>
            <w:tcW w:w="1160" w:type="dxa"/>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1,003.4</w:t>
            </w:r>
          </w:p>
        </w:tc>
        <w:tc>
          <w:tcPr>
            <w:tcW w:w="1160" w:type="dxa"/>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969.2</w:t>
            </w:r>
          </w:p>
        </w:tc>
        <w:tc>
          <w:tcPr>
            <w:tcW w:w="1161" w:type="dxa"/>
            <w:shd w:val="clear" w:color="auto" w:fill="C6D9F1"/>
            <w:noWrap/>
            <w:vAlign w:val="center"/>
            <w:hideMark/>
          </w:tcPr>
          <w:p w:rsidR="007F6462" w:rsidRPr="001A01AB" w:rsidRDefault="007F6462" w:rsidP="00B37BBB">
            <w:pPr>
              <w:spacing w:before="40" w:after="40"/>
              <w:jc w:val="right"/>
              <w:rPr>
                <w:rFonts w:ascii="Calibri" w:hAnsi="Calibri" w:cs="Calibri"/>
                <w:b/>
                <w:sz w:val="22"/>
                <w:szCs w:val="22"/>
                <w:lang w:val="es-GT" w:eastAsia="es-GT"/>
              </w:rPr>
            </w:pPr>
            <w:r w:rsidRPr="001A01AB">
              <w:rPr>
                <w:rFonts w:ascii="Calibri" w:hAnsi="Calibri" w:cs="Calibri"/>
                <w:b/>
                <w:sz w:val="22"/>
                <w:szCs w:val="22"/>
                <w:lang w:val="es-GT" w:eastAsia="es-GT"/>
              </w:rPr>
              <w:t>3,166.9</w:t>
            </w:r>
          </w:p>
        </w:tc>
      </w:tr>
    </w:tbl>
    <w:p w:rsidR="007F6462" w:rsidRDefault="00AF3BF9" w:rsidP="00775818">
      <w:pPr>
        <w:tabs>
          <w:tab w:val="left" w:pos="9270"/>
        </w:tabs>
        <w:autoSpaceDE w:val="0"/>
        <w:autoSpaceDN w:val="0"/>
        <w:adjustRightInd w:val="0"/>
        <w:ind w:right="378"/>
        <w:jc w:val="right"/>
        <w:rPr>
          <w:rFonts w:ascii="Calibri" w:eastAsia="Calibri" w:hAnsi="Calibri" w:cs="Calibri"/>
          <w:sz w:val="20"/>
          <w:lang w:val="es-GT"/>
        </w:rPr>
      </w:pPr>
      <w:r>
        <w:rPr>
          <w:rFonts w:ascii="Calibri" w:eastAsia="Calibri" w:hAnsi="Calibri" w:cs="Calibri"/>
          <w:sz w:val="20"/>
          <w:lang w:val="es-GT"/>
        </w:rPr>
        <w:t>Fuente: E</w:t>
      </w:r>
      <w:r w:rsidR="007F6462" w:rsidRPr="001A01AB">
        <w:rPr>
          <w:rFonts w:ascii="Calibri" w:eastAsia="Calibri" w:hAnsi="Calibri" w:cs="Calibri"/>
          <w:sz w:val="20"/>
          <w:lang w:val="es-GT"/>
        </w:rPr>
        <w:t>laboración propia, con datos de CEPAL</w:t>
      </w:r>
      <w:r>
        <w:rPr>
          <w:rFonts w:ascii="Calibri" w:eastAsia="Calibri" w:hAnsi="Calibri" w:cs="Calibri"/>
          <w:sz w:val="20"/>
          <w:lang w:val="es-GT"/>
        </w:rPr>
        <w:t xml:space="preserve"> (</w:t>
      </w:r>
      <w:r w:rsidR="007F6462" w:rsidRPr="001A01AB">
        <w:rPr>
          <w:rFonts w:ascii="Calibri" w:eastAsia="Calibri" w:hAnsi="Calibri" w:cs="Calibri"/>
          <w:sz w:val="20"/>
          <w:lang w:val="es-GT"/>
        </w:rPr>
        <w:t>2012</w:t>
      </w:r>
      <w:r>
        <w:rPr>
          <w:rFonts w:ascii="Calibri" w:eastAsia="Calibri" w:hAnsi="Calibri" w:cs="Calibri"/>
          <w:sz w:val="20"/>
          <w:lang w:val="es-GT"/>
        </w:rPr>
        <w:t>)</w:t>
      </w:r>
      <w:r w:rsidR="007F6462" w:rsidRPr="001A01AB">
        <w:rPr>
          <w:rFonts w:ascii="Calibri" w:eastAsia="Calibri" w:hAnsi="Calibri" w:cs="Calibri"/>
          <w:sz w:val="20"/>
          <w:lang w:val="es-GT"/>
        </w:rPr>
        <w:t>.</w:t>
      </w:r>
    </w:p>
    <w:p w:rsidR="00775818" w:rsidRPr="001A01AB" w:rsidRDefault="00775818" w:rsidP="00775818">
      <w:pPr>
        <w:tabs>
          <w:tab w:val="left" w:pos="9270"/>
        </w:tabs>
        <w:autoSpaceDE w:val="0"/>
        <w:autoSpaceDN w:val="0"/>
        <w:adjustRightInd w:val="0"/>
        <w:ind w:right="378"/>
        <w:jc w:val="right"/>
        <w:rPr>
          <w:rFonts w:ascii="Calibri" w:eastAsia="Calibri" w:hAnsi="Calibri" w:cs="Calibri"/>
          <w:lang w:val="es-GT"/>
        </w:rPr>
      </w:pPr>
    </w:p>
    <w:p w:rsidR="007F6462" w:rsidRPr="001A01AB" w:rsidRDefault="007F6462" w:rsidP="006B0A31">
      <w:pPr>
        <w:pStyle w:val="Prrafodelista"/>
        <w:numPr>
          <w:ilvl w:val="0"/>
          <w:numId w:val="52"/>
        </w:numPr>
        <w:autoSpaceDE w:val="0"/>
        <w:autoSpaceDN w:val="0"/>
        <w:adjustRightInd w:val="0"/>
        <w:jc w:val="both"/>
        <w:rPr>
          <w:rFonts w:cs="Calibri"/>
          <w:b/>
          <w:color w:val="365F91"/>
          <w:lang w:eastAsia="es-GT"/>
        </w:rPr>
      </w:pPr>
      <w:r w:rsidRPr="001A01AB">
        <w:rPr>
          <w:rFonts w:cs="Calibri"/>
          <w:b/>
          <w:color w:val="365F91"/>
          <w:lang w:eastAsia="es-GT"/>
        </w:rPr>
        <w:t>Impactos observados por los productores agropecuarios</w:t>
      </w:r>
    </w:p>
    <w:p w:rsidR="007F6462" w:rsidRPr="001A01AB" w:rsidRDefault="007F6462" w:rsidP="00C470CE">
      <w:pPr>
        <w:autoSpaceDE w:val="0"/>
        <w:autoSpaceDN w:val="0"/>
        <w:adjustRightInd w:val="0"/>
        <w:ind w:left="720"/>
        <w:jc w:val="both"/>
        <w:rPr>
          <w:rFonts w:ascii="Calibri" w:eastAsia="Calibri" w:hAnsi="Calibri" w:cs="Calibri"/>
          <w:bCs/>
          <w:lang w:val="es-GT"/>
        </w:rPr>
      </w:pPr>
      <w:r w:rsidRPr="001A01AB">
        <w:rPr>
          <w:rFonts w:ascii="Calibri" w:eastAsia="Calibri" w:hAnsi="Calibri" w:cs="Calibri"/>
          <w:bCs/>
          <w:lang w:val="es-GT"/>
        </w:rPr>
        <w:t xml:space="preserve">Existen pocos estudios en el país que permitan inferir sobre los impactos del cambio climático </w:t>
      </w:r>
      <w:r w:rsidR="007B0B6F">
        <w:rPr>
          <w:rFonts w:ascii="Calibri" w:eastAsia="Calibri" w:hAnsi="Calibri" w:cs="Calibri"/>
          <w:bCs/>
          <w:lang w:val="es-GT"/>
        </w:rPr>
        <w:t>en</w:t>
      </w:r>
      <w:r w:rsidRPr="001A01AB">
        <w:rPr>
          <w:rFonts w:ascii="Calibri" w:eastAsia="Calibri" w:hAnsi="Calibri" w:cs="Calibri"/>
          <w:bCs/>
          <w:lang w:val="es-GT"/>
        </w:rPr>
        <w:t xml:space="preserve"> las comunidades locales y pequeños productores agropecuarios. En el año 2009, la A</w:t>
      </w:r>
      <w:r w:rsidR="007B0B6F">
        <w:rPr>
          <w:rFonts w:ascii="Calibri" w:eastAsia="Calibri" w:hAnsi="Calibri" w:cs="Calibri"/>
          <w:bCs/>
          <w:lang w:val="es-GT"/>
        </w:rPr>
        <w:t>sociación de Organizaciones de l</w:t>
      </w:r>
      <w:r w:rsidRPr="001A01AB">
        <w:rPr>
          <w:rFonts w:ascii="Calibri" w:eastAsia="Calibri" w:hAnsi="Calibri" w:cs="Calibri"/>
          <w:bCs/>
          <w:lang w:val="es-GT"/>
        </w:rPr>
        <w:t xml:space="preserve">os Cuchumatanes (ASOCUCH) </w:t>
      </w:r>
      <w:r w:rsidR="001A1E6B">
        <w:rPr>
          <w:rFonts w:ascii="Calibri" w:eastAsia="Calibri" w:hAnsi="Calibri" w:cs="Calibri"/>
          <w:bCs/>
          <w:lang w:val="es-GT"/>
        </w:rPr>
        <w:t>evaluó</w:t>
      </w:r>
      <w:r w:rsidRPr="001A01AB">
        <w:rPr>
          <w:rFonts w:ascii="Calibri" w:eastAsia="Calibri" w:hAnsi="Calibri" w:cs="Calibri"/>
          <w:bCs/>
          <w:lang w:val="es-GT"/>
        </w:rPr>
        <w:t xml:space="preserve"> la percepción de los productores locales del altiplano guatemalteco sobre los daños que han sufrido por el cambio climático</w:t>
      </w:r>
      <w:r w:rsidR="001A1E6B">
        <w:rPr>
          <w:rFonts w:ascii="Calibri" w:eastAsia="Calibri" w:hAnsi="Calibri" w:cs="Calibri"/>
          <w:bCs/>
          <w:lang w:val="es-GT"/>
        </w:rPr>
        <w:t xml:space="preserve"> (Figura 14)</w:t>
      </w:r>
      <w:r w:rsidRPr="001A01AB">
        <w:rPr>
          <w:rFonts w:ascii="Calibri" w:eastAsia="Calibri" w:hAnsi="Calibri" w:cs="Calibri"/>
          <w:bCs/>
          <w:lang w:val="es-GT"/>
        </w:rPr>
        <w:t xml:space="preserve">. Este estudio se </w:t>
      </w:r>
      <w:r w:rsidR="007C3972" w:rsidRPr="001A01AB">
        <w:rPr>
          <w:rFonts w:ascii="Calibri" w:eastAsia="Calibri" w:hAnsi="Calibri" w:cs="Calibri"/>
          <w:bCs/>
          <w:lang w:val="es-GT"/>
        </w:rPr>
        <w:t>centró</w:t>
      </w:r>
      <w:r w:rsidRPr="001A01AB">
        <w:rPr>
          <w:rFonts w:ascii="Calibri" w:eastAsia="Calibri" w:hAnsi="Calibri" w:cs="Calibri"/>
          <w:bCs/>
          <w:lang w:val="es-GT"/>
        </w:rPr>
        <w:t xml:space="preserve"> en cuatro microcuencas del altiplano del departamento de Huehuetenango, </w:t>
      </w:r>
      <w:r w:rsidR="001A1E6B">
        <w:rPr>
          <w:rFonts w:ascii="Calibri" w:eastAsia="Calibri" w:hAnsi="Calibri" w:cs="Calibri"/>
          <w:bCs/>
          <w:lang w:val="es-GT"/>
        </w:rPr>
        <w:t xml:space="preserve">y estuvo </w:t>
      </w:r>
      <w:r w:rsidRPr="001A01AB">
        <w:rPr>
          <w:rFonts w:ascii="Calibri" w:eastAsia="Calibri" w:hAnsi="Calibri" w:cs="Calibri"/>
          <w:bCs/>
          <w:lang w:val="es-GT"/>
        </w:rPr>
        <w:t xml:space="preserve">orientado principalmente a los riesgos y su vulnerabilidad frente a los cambios de clima. </w:t>
      </w:r>
    </w:p>
    <w:p w:rsidR="007F6462" w:rsidRPr="00C470CE" w:rsidRDefault="007F6462" w:rsidP="00C470CE">
      <w:pPr>
        <w:autoSpaceDE w:val="0"/>
        <w:autoSpaceDN w:val="0"/>
        <w:adjustRightInd w:val="0"/>
        <w:ind w:left="720"/>
        <w:jc w:val="both"/>
        <w:rPr>
          <w:rFonts w:ascii="Calibri" w:eastAsia="Calibri" w:hAnsi="Calibri" w:cs="Calibri"/>
          <w:bCs/>
          <w:sz w:val="12"/>
          <w:szCs w:val="12"/>
          <w:lang w:val="es-GT"/>
        </w:rPr>
      </w:pPr>
    </w:p>
    <w:p w:rsidR="007F6462" w:rsidRPr="001A01AB" w:rsidRDefault="007F6462" w:rsidP="00C470CE">
      <w:pPr>
        <w:autoSpaceDE w:val="0"/>
        <w:autoSpaceDN w:val="0"/>
        <w:adjustRightInd w:val="0"/>
        <w:ind w:left="720"/>
        <w:jc w:val="both"/>
        <w:rPr>
          <w:rFonts w:ascii="Calibri" w:hAnsi="Calibri" w:cs="Calibri"/>
          <w:lang w:val="es-GT"/>
        </w:rPr>
      </w:pPr>
      <w:r w:rsidRPr="001A01AB">
        <w:rPr>
          <w:rFonts w:ascii="Calibri" w:hAnsi="Calibri" w:cs="Calibri"/>
          <w:lang w:val="es-GT"/>
        </w:rPr>
        <w:t xml:space="preserve">Los agricultores entrevistados manifestaron que han tenido problemas de </w:t>
      </w:r>
      <w:r w:rsidR="001A1E6B" w:rsidRPr="001A1E6B">
        <w:rPr>
          <w:rFonts w:ascii="Calibri" w:hAnsi="Calibri" w:cs="Calibri"/>
          <w:lang w:val="es-GT"/>
        </w:rPr>
        <w:t>sequí</w:t>
      </w:r>
      <w:r w:rsidRPr="001A1E6B">
        <w:rPr>
          <w:rFonts w:ascii="Calibri" w:hAnsi="Calibri" w:cs="Calibri"/>
          <w:lang w:val="es-GT"/>
        </w:rPr>
        <w:t xml:space="preserve">as, heladas, vientos y granizo </w:t>
      </w:r>
      <w:r w:rsidRPr="001A01AB">
        <w:rPr>
          <w:rFonts w:ascii="Calibri" w:hAnsi="Calibri" w:cs="Calibri"/>
          <w:lang w:val="es-GT"/>
        </w:rPr>
        <w:t xml:space="preserve">en los últimos años, pero su impacto en el tiempo, ha sido variable (ASOCUCH, 2009). </w:t>
      </w:r>
      <w:r w:rsidR="001A1E6B">
        <w:rPr>
          <w:rFonts w:ascii="Calibri" w:hAnsi="Calibri" w:cs="Calibri"/>
          <w:lang w:val="es-GT"/>
        </w:rPr>
        <w:t xml:space="preserve">En áreas de laderas medias, las principales preocupaciones son las sequías y los vientos; mientras que en las partes altas, los problemas principales son las heladas y el granizo. Las inundaciones tienen una baja incidencia (8.03%), puesto que las áreas son principalmente laderas, y existe buen estado de la cobertura vegetal. </w:t>
      </w:r>
      <w:r w:rsidRPr="001A01AB">
        <w:rPr>
          <w:rFonts w:ascii="Calibri" w:hAnsi="Calibri" w:cs="Calibri"/>
          <w:lang w:val="es-GT"/>
        </w:rPr>
        <w:t xml:space="preserve">A pesar de esta percepción, también </w:t>
      </w:r>
      <w:r w:rsidR="001A1E6B">
        <w:rPr>
          <w:rFonts w:ascii="Calibri" w:hAnsi="Calibri" w:cs="Calibri"/>
          <w:lang w:val="es-GT"/>
        </w:rPr>
        <w:t>existen algunas comunidades</w:t>
      </w:r>
      <w:r w:rsidRPr="001A01AB">
        <w:rPr>
          <w:rFonts w:ascii="Calibri" w:hAnsi="Calibri" w:cs="Calibri"/>
          <w:lang w:val="es-GT"/>
        </w:rPr>
        <w:t xml:space="preserve"> que</w:t>
      </w:r>
      <w:r w:rsidR="001A1E6B">
        <w:rPr>
          <w:rFonts w:ascii="Calibri" w:hAnsi="Calibri" w:cs="Calibri"/>
          <w:lang w:val="es-GT"/>
        </w:rPr>
        <w:t>,</w:t>
      </w:r>
      <w:r w:rsidRPr="001A01AB">
        <w:rPr>
          <w:rFonts w:ascii="Calibri" w:hAnsi="Calibri" w:cs="Calibri"/>
          <w:lang w:val="es-GT"/>
        </w:rPr>
        <w:t xml:space="preserve"> por su ubicación geográfica, presen</w:t>
      </w:r>
      <w:r w:rsidR="001A1E6B">
        <w:rPr>
          <w:rFonts w:ascii="Calibri" w:hAnsi="Calibri" w:cs="Calibri"/>
          <w:lang w:val="es-GT"/>
        </w:rPr>
        <w:t>tan alto riesgo a</w:t>
      </w:r>
      <w:r w:rsidRPr="001A01AB">
        <w:rPr>
          <w:rFonts w:ascii="Calibri" w:hAnsi="Calibri" w:cs="Calibri"/>
          <w:lang w:val="es-GT"/>
        </w:rPr>
        <w:t xml:space="preserve"> deslaves. </w:t>
      </w:r>
    </w:p>
    <w:p w:rsidR="007F6462" w:rsidRPr="00C470CE" w:rsidRDefault="007F6462" w:rsidP="007F6462">
      <w:pPr>
        <w:autoSpaceDE w:val="0"/>
        <w:autoSpaceDN w:val="0"/>
        <w:adjustRightInd w:val="0"/>
        <w:ind w:left="360"/>
        <w:jc w:val="both"/>
        <w:rPr>
          <w:rFonts w:ascii="Calibri" w:hAnsi="Calibri" w:cs="Calibri"/>
          <w:sz w:val="12"/>
          <w:szCs w:val="12"/>
          <w:lang w:val="es-GT"/>
        </w:rPr>
      </w:pPr>
    </w:p>
    <w:p w:rsidR="007F6462" w:rsidRPr="001A01AB" w:rsidRDefault="007F6462" w:rsidP="007F6462">
      <w:pPr>
        <w:spacing w:after="120"/>
        <w:jc w:val="center"/>
        <w:rPr>
          <w:rFonts w:ascii="Calibri" w:eastAsia="Calibri" w:hAnsi="Calibri" w:cs="Calibri"/>
          <w:b/>
          <w:color w:val="365F91"/>
          <w:sz w:val="22"/>
          <w:szCs w:val="22"/>
          <w:lang w:val="es-GT"/>
        </w:rPr>
      </w:pPr>
      <w:bookmarkStart w:id="65" w:name="_Toc347841237"/>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14</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Percepción de los impactos asociados al clima, en el altiplano de Huehuetenango</w:t>
      </w:r>
      <w:bookmarkEnd w:id="65"/>
    </w:p>
    <w:p w:rsidR="007F6462" w:rsidRPr="001A01AB" w:rsidRDefault="00544A9F" w:rsidP="007F6462">
      <w:pPr>
        <w:autoSpaceDE w:val="0"/>
        <w:autoSpaceDN w:val="0"/>
        <w:adjustRightInd w:val="0"/>
        <w:jc w:val="center"/>
        <w:rPr>
          <w:rFonts w:ascii="Calibri" w:eastAsia="Calibri" w:hAnsi="Calibri" w:cs="Calibri"/>
          <w:bCs/>
          <w:lang w:val="es-GT"/>
        </w:rPr>
      </w:pPr>
      <w:r>
        <w:rPr>
          <w:rFonts w:ascii="Calibri" w:eastAsia="Calibri" w:hAnsi="Calibri" w:cs="Calibri"/>
          <w:noProof/>
          <w:lang w:val="es-GT" w:eastAsia="es-GT"/>
        </w:rPr>
        <w:drawing>
          <wp:inline distT="0" distB="0" distL="0" distR="0" wp14:anchorId="7983D30C" wp14:editId="514462ED">
            <wp:extent cx="4572000" cy="2743200"/>
            <wp:effectExtent l="0" t="0" r="0" b="0"/>
            <wp:docPr id="1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F6462" w:rsidRPr="001A01AB" w:rsidRDefault="001A1E6B" w:rsidP="007F6462">
      <w:pPr>
        <w:tabs>
          <w:tab w:val="left" w:pos="7560"/>
        </w:tabs>
        <w:autoSpaceDE w:val="0"/>
        <w:autoSpaceDN w:val="0"/>
        <w:adjustRightInd w:val="0"/>
        <w:ind w:right="2088"/>
        <w:jc w:val="right"/>
        <w:rPr>
          <w:rFonts w:ascii="Calibri" w:eastAsia="Calibri" w:hAnsi="Calibri" w:cs="Calibri"/>
          <w:bCs/>
          <w:sz w:val="20"/>
          <w:lang w:val="es-GT"/>
        </w:rPr>
      </w:pPr>
      <w:r>
        <w:rPr>
          <w:rFonts w:ascii="Calibri" w:eastAsia="Calibri" w:hAnsi="Calibri" w:cs="Calibri"/>
          <w:bCs/>
          <w:sz w:val="20"/>
          <w:lang w:val="es-GT"/>
        </w:rPr>
        <w:t>Fuente: ASOCUCH (</w:t>
      </w:r>
      <w:r w:rsidR="007F6462" w:rsidRPr="001A01AB">
        <w:rPr>
          <w:rFonts w:ascii="Calibri" w:eastAsia="Calibri" w:hAnsi="Calibri" w:cs="Calibri"/>
          <w:bCs/>
          <w:sz w:val="20"/>
          <w:lang w:val="es-GT"/>
        </w:rPr>
        <w:t>2009</w:t>
      </w:r>
      <w:r>
        <w:rPr>
          <w:rFonts w:ascii="Calibri" w:eastAsia="Calibri" w:hAnsi="Calibri" w:cs="Calibri"/>
          <w:bCs/>
          <w:sz w:val="20"/>
          <w:lang w:val="es-GT"/>
        </w:rPr>
        <w:t>).</w:t>
      </w:r>
    </w:p>
    <w:p w:rsidR="007F6462" w:rsidRPr="001A01AB" w:rsidRDefault="007F6462" w:rsidP="007F6462">
      <w:pPr>
        <w:autoSpaceDE w:val="0"/>
        <w:autoSpaceDN w:val="0"/>
        <w:adjustRightInd w:val="0"/>
        <w:ind w:left="360"/>
        <w:jc w:val="both"/>
        <w:rPr>
          <w:rFonts w:ascii="Calibri" w:eastAsia="Calibri" w:hAnsi="Calibri" w:cs="Calibri"/>
          <w:bCs/>
          <w:lang w:val="es-GT"/>
        </w:rPr>
      </w:pPr>
    </w:p>
    <w:p w:rsidR="007F6462" w:rsidRPr="004A09E0" w:rsidRDefault="004A09E0" w:rsidP="00C470CE">
      <w:pPr>
        <w:autoSpaceDE w:val="0"/>
        <w:autoSpaceDN w:val="0"/>
        <w:adjustRightInd w:val="0"/>
        <w:ind w:left="720"/>
        <w:jc w:val="both"/>
        <w:rPr>
          <w:rFonts w:ascii="Calibri" w:eastAsia="Calibri" w:hAnsi="Calibri" w:cs="Calibri"/>
          <w:bCs/>
          <w:lang w:val="es-GT"/>
        </w:rPr>
      </w:pPr>
      <w:r w:rsidRPr="004A09E0">
        <w:rPr>
          <w:rFonts w:ascii="Calibri" w:eastAsia="Calibri" w:hAnsi="Calibri" w:cs="Calibri"/>
          <w:bCs/>
          <w:lang w:val="es-GT"/>
        </w:rPr>
        <w:t>Los principales problemas climáticos reportados fueron</w:t>
      </w:r>
      <w:r w:rsidR="007F6462" w:rsidRPr="004A09E0">
        <w:rPr>
          <w:rFonts w:ascii="Calibri" w:eastAsia="Calibri" w:hAnsi="Calibri" w:cs="Calibri"/>
          <w:bCs/>
          <w:lang w:val="es-GT"/>
        </w:rPr>
        <w:t xml:space="preserve"> (ASOCUCH, 2009):</w:t>
      </w:r>
    </w:p>
    <w:p w:rsidR="007F6462" w:rsidRPr="00C470CE" w:rsidRDefault="007F6462" w:rsidP="00C470CE">
      <w:pPr>
        <w:autoSpaceDE w:val="0"/>
        <w:autoSpaceDN w:val="0"/>
        <w:adjustRightInd w:val="0"/>
        <w:ind w:left="720"/>
        <w:jc w:val="both"/>
        <w:rPr>
          <w:rFonts w:ascii="Calibri" w:eastAsia="Calibri" w:hAnsi="Calibri" w:cs="Calibri"/>
          <w:bCs/>
          <w:sz w:val="12"/>
          <w:szCs w:val="12"/>
          <w:lang w:val="es-GT"/>
        </w:rPr>
      </w:pPr>
    </w:p>
    <w:p w:rsidR="007F6462" w:rsidRPr="004A09E0" w:rsidRDefault="007F6462" w:rsidP="00C470CE">
      <w:pPr>
        <w:pStyle w:val="Prrafodelista"/>
        <w:numPr>
          <w:ilvl w:val="0"/>
          <w:numId w:val="24"/>
        </w:numPr>
        <w:autoSpaceDE w:val="0"/>
        <w:autoSpaceDN w:val="0"/>
        <w:adjustRightInd w:val="0"/>
        <w:spacing w:after="0" w:line="240" w:lineRule="auto"/>
        <w:ind w:left="1080"/>
        <w:jc w:val="both"/>
        <w:rPr>
          <w:rFonts w:cs="Calibri"/>
          <w:bCs/>
          <w:sz w:val="24"/>
          <w:szCs w:val="24"/>
        </w:rPr>
      </w:pPr>
      <w:r w:rsidRPr="004A09E0">
        <w:rPr>
          <w:rFonts w:cs="Calibri"/>
          <w:bCs/>
          <w:sz w:val="24"/>
          <w:szCs w:val="24"/>
        </w:rPr>
        <w:t xml:space="preserve">90.3% de los entrevistados han </w:t>
      </w:r>
      <w:r w:rsidRPr="004A09E0">
        <w:rPr>
          <w:rFonts w:cs="Calibri"/>
          <w:sz w:val="24"/>
          <w:szCs w:val="24"/>
        </w:rPr>
        <w:t>observado cambios en el comportamiento del invierno, considerando que ahora es irregular;</w:t>
      </w:r>
    </w:p>
    <w:p w:rsidR="007F6462" w:rsidRPr="004A09E0" w:rsidRDefault="007F6462" w:rsidP="00C470CE">
      <w:pPr>
        <w:pStyle w:val="Prrafodelista"/>
        <w:numPr>
          <w:ilvl w:val="0"/>
          <w:numId w:val="24"/>
        </w:numPr>
        <w:autoSpaceDE w:val="0"/>
        <w:autoSpaceDN w:val="0"/>
        <w:adjustRightInd w:val="0"/>
        <w:spacing w:after="0" w:line="240" w:lineRule="auto"/>
        <w:ind w:left="1080"/>
        <w:jc w:val="both"/>
        <w:rPr>
          <w:rFonts w:cs="Calibri"/>
          <w:bCs/>
          <w:sz w:val="24"/>
          <w:szCs w:val="24"/>
        </w:rPr>
      </w:pPr>
      <w:r w:rsidRPr="004A09E0">
        <w:rPr>
          <w:rFonts w:cs="Calibri"/>
          <w:sz w:val="24"/>
          <w:szCs w:val="24"/>
        </w:rPr>
        <w:t>55.5% de los entrevistados consideran que los principales cambios que han observado e</w:t>
      </w:r>
      <w:r w:rsidR="004A09E0" w:rsidRPr="004A09E0">
        <w:rPr>
          <w:rFonts w:cs="Calibri"/>
          <w:sz w:val="24"/>
          <w:szCs w:val="24"/>
        </w:rPr>
        <w:t>n</w:t>
      </w:r>
      <w:r w:rsidRPr="004A09E0">
        <w:rPr>
          <w:rFonts w:cs="Calibri"/>
          <w:sz w:val="24"/>
          <w:szCs w:val="24"/>
        </w:rPr>
        <w:t xml:space="preserve"> las comunidades </w:t>
      </w:r>
      <w:r w:rsidR="004A09E0" w:rsidRPr="004A09E0">
        <w:rPr>
          <w:rFonts w:cs="Calibri"/>
          <w:sz w:val="24"/>
          <w:szCs w:val="24"/>
        </w:rPr>
        <w:t xml:space="preserve">son </w:t>
      </w:r>
      <w:r w:rsidRPr="004A09E0">
        <w:rPr>
          <w:rFonts w:cs="Calibri"/>
          <w:sz w:val="24"/>
          <w:szCs w:val="24"/>
        </w:rPr>
        <w:t xml:space="preserve">el aumento </w:t>
      </w:r>
      <w:r w:rsidR="004A09E0" w:rsidRPr="004A09E0">
        <w:rPr>
          <w:rFonts w:cs="Calibri"/>
          <w:sz w:val="24"/>
          <w:szCs w:val="24"/>
        </w:rPr>
        <w:t>de</w:t>
      </w:r>
      <w:r w:rsidRPr="004A09E0">
        <w:rPr>
          <w:rFonts w:cs="Calibri"/>
          <w:sz w:val="24"/>
          <w:szCs w:val="24"/>
        </w:rPr>
        <w:t xml:space="preserve"> la temperatura, </w:t>
      </w:r>
      <w:r w:rsidR="004A09E0" w:rsidRPr="004A09E0">
        <w:rPr>
          <w:rFonts w:cs="Calibri"/>
          <w:sz w:val="24"/>
          <w:szCs w:val="24"/>
        </w:rPr>
        <w:t>y el exceso o escasez</w:t>
      </w:r>
      <w:r w:rsidRPr="004A09E0">
        <w:rPr>
          <w:rFonts w:cs="Calibri"/>
          <w:sz w:val="24"/>
          <w:szCs w:val="24"/>
        </w:rPr>
        <w:t xml:space="preserve"> de lluvia (según los años evaluados);</w:t>
      </w:r>
    </w:p>
    <w:p w:rsidR="007F6462" w:rsidRPr="004A09E0" w:rsidRDefault="007F6462" w:rsidP="00C470CE">
      <w:pPr>
        <w:pStyle w:val="Prrafodelista"/>
        <w:numPr>
          <w:ilvl w:val="0"/>
          <w:numId w:val="24"/>
        </w:numPr>
        <w:autoSpaceDE w:val="0"/>
        <w:autoSpaceDN w:val="0"/>
        <w:adjustRightInd w:val="0"/>
        <w:spacing w:after="0" w:line="240" w:lineRule="auto"/>
        <w:ind w:left="1080"/>
        <w:jc w:val="both"/>
        <w:rPr>
          <w:rFonts w:cs="Calibri"/>
          <w:bCs/>
          <w:sz w:val="24"/>
          <w:szCs w:val="24"/>
        </w:rPr>
      </w:pPr>
      <w:r w:rsidRPr="004A09E0">
        <w:rPr>
          <w:rFonts w:cs="Calibri"/>
          <w:sz w:val="24"/>
          <w:szCs w:val="24"/>
        </w:rPr>
        <w:lastRenderedPageBreak/>
        <w:t xml:space="preserve">36.6% considera que las </w:t>
      </w:r>
      <w:r w:rsidR="004A09E0">
        <w:rPr>
          <w:rFonts w:cs="Calibri"/>
          <w:sz w:val="24"/>
          <w:szCs w:val="24"/>
        </w:rPr>
        <w:t xml:space="preserve">comunidades se ven principalmente afectadas por el </w:t>
      </w:r>
      <w:r w:rsidRPr="004A09E0">
        <w:rPr>
          <w:rFonts w:cs="Calibri"/>
          <w:sz w:val="24"/>
          <w:szCs w:val="24"/>
        </w:rPr>
        <w:t xml:space="preserve">aumento de </w:t>
      </w:r>
      <w:r w:rsidR="004A09E0">
        <w:rPr>
          <w:rFonts w:cs="Calibri"/>
          <w:sz w:val="24"/>
          <w:szCs w:val="24"/>
        </w:rPr>
        <w:t xml:space="preserve">la </w:t>
      </w:r>
      <w:r w:rsidRPr="004A09E0">
        <w:rPr>
          <w:rFonts w:cs="Calibri"/>
          <w:sz w:val="24"/>
          <w:szCs w:val="24"/>
        </w:rPr>
        <w:t xml:space="preserve">temperatura y </w:t>
      </w:r>
      <w:r w:rsidR="004A09E0">
        <w:rPr>
          <w:rFonts w:cs="Calibri"/>
          <w:sz w:val="24"/>
          <w:szCs w:val="24"/>
        </w:rPr>
        <w:t>la escasez</w:t>
      </w:r>
      <w:r w:rsidRPr="004A09E0">
        <w:rPr>
          <w:rFonts w:cs="Calibri"/>
          <w:sz w:val="24"/>
          <w:szCs w:val="24"/>
        </w:rPr>
        <w:t xml:space="preserve"> de lluvia.</w:t>
      </w:r>
    </w:p>
    <w:p w:rsidR="007F6462" w:rsidRPr="001A01AB" w:rsidRDefault="007F6462" w:rsidP="00C470CE">
      <w:pPr>
        <w:autoSpaceDE w:val="0"/>
        <w:autoSpaceDN w:val="0"/>
        <w:adjustRightInd w:val="0"/>
        <w:ind w:left="720"/>
        <w:jc w:val="both"/>
        <w:rPr>
          <w:rFonts w:ascii="Calibri" w:eastAsia="Calibri" w:hAnsi="Calibri" w:cs="Calibri"/>
          <w:bCs/>
          <w:lang w:val="es-GT"/>
        </w:rPr>
      </w:pPr>
    </w:p>
    <w:p w:rsidR="007F6462" w:rsidRPr="001A01AB" w:rsidRDefault="004A09E0" w:rsidP="00C470CE">
      <w:pPr>
        <w:autoSpaceDE w:val="0"/>
        <w:autoSpaceDN w:val="0"/>
        <w:adjustRightInd w:val="0"/>
        <w:ind w:left="720"/>
        <w:jc w:val="both"/>
        <w:rPr>
          <w:rFonts w:ascii="Calibri" w:hAnsi="Calibri" w:cs="Calibri"/>
          <w:lang w:val="es-GT"/>
        </w:rPr>
      </w:pPr>
      <w:r>
        <w:rPr>
          <w:rFonts w:ascii="Calibri" w:hAnsi="Calibri" w:cs="Calibri"/>
          <w:lang w:val="es-GT"/>
        </w:rPr>
        <w:t>Otro</w:t>
      </w:r>
      <w:r w:rsidR="007F6462" w:rsidRPr="001A01AB">
        <w:rPr>
          <w:rFonts w:ascii="Calibri" w:hAnsi="Calibri" w:cs="Calibri"/>
          <w:lang w:val="es-GT"/>
        </w:rPr>
        <w:t xml:space="preserve"> factor importante </w:t>
      </w:r>
      <w:r>
        <w:rPr>
          <w:rFonts w:ascii="Calibri" w:hAnsi="Calibri" w:cs="Calibri"/>
          <w:lang w:val="es-GT"/>
        </w:rPr>
        <w:t>se refiere a</w:t>
      </w:r>
      <w:r w:rsidR="007F6462" w:rsidRPr="001A01AB">
        <w:rPr>
          <w:rFonts w:ascii="Calibri" w:hAnsi="Calibri" w:cs="Calibri"/>
          <w:lang w:val="es-GT"/>
        </w:rPr>
        <w:t xml:space="preserve"> las pérdidas directas por los efectos del clima. El 93% de los productores indicaron que han tenido pérdidas parciales de las</w:t>
      </w:r>
      <w:r>
        <w:rPr>
          <w:rFonts w:ascii="Calibri" w:hAnsi="Calibri" w:cs="Calibri"/>
          <w:lang w:val="es-GT"/>
        </w:rPr>
        <w:t xml:space="preserve"> cosechas por efectos del clima;</w:t>
      </w:r>
      <w:r w:rsidR="007F6462" w:rsidRPr="001A01AB">
        <w:rPr>
          <w:rFonts w:ascii="Calibri" w:hAnsi="Calibri" w:cs="Calibri"/>
          <w:lang w:val="es-GT"/>
        </w:rPr>
        <w:t xml:space="preserve"> así mismo, un 98.50% de los evaluados considera</w:t>
      </w:r>
      <w:r>
        <w:rPr>
          <w:rFonts w:ascii="Calibri" w:hAnsi="Calibri" w:cs="Calibri"/>
          <w:lang w:val="es-GT"/>
        </w:rPr>
        <w:t xml:space="preserve"> que no posee</w:t>
      </w:r>
      <w:r w:rsidR="007F6462" w:rsidRPr="001A01AB">
        <w:rPr>
          <w:rFonts w:ascii="Calibri" w:hAnsi="Calibri" w:cs="Calibri"/>
          <w:lang w:val="es-GT"/>
        </w:rPr>
        <w:t xml:space="preserve"> culti</w:t>
      </w:r>
      <w:r>
        <w:rPr>
          <w:rFonts w:ascii="Calibri" w:hAnsi="Calibri" w:cs="Calibri"/>
          <w:lang w:val="es-GT"/>
        </w:rPr>
        <w:t>vos resistentes a heladas, sequías o</w:t>
      </w:r>
      <w:r w:rsidR="007F6462" w:rsidRPr="001A01AB">
        <w:rPr>
          <w:rFonts w:ascii="Calibri" w:hAnsi="Calibri" w:cs="Calibri"/>
          <w:lang w:val="es-GT"/>
        </w:rPr>
        <w:t xml:space="preserve"> inundaciones, lo cual los hace más vulnerables.</w:t>
      </w:r>
    </w:p>
    <w:p w:rsidR="007F6462" w:rsidRPr="001A01AB" w:rsidRDefault="007F6462" w:rsidP="00C470CE">
      <w:pPr>
        <w:autoSpaceDE w:val="0"/>
        <w:autoSpaceDN w:val="0"/>
        <w:adjustRightInd w:val="0"/>
        <w:ind w:left="720"/>
        <w:jc w:val="both"/>
        <w:rPr>
          <w:rFonts w:ascii="Calibri" w:hAnsi="Calibri" w:cs="Calibri"/>
          <w:lang w:val="es-GT"/>
        </w:rPr>
      </w:pPr>
    </w:p>
    <w:p w:rsidR="007F6462" w:rsidRPr="001A01AB" w:rsidRDefault="007F6462" w:rsidP="00C470CE">
      <w:pPr>
        <w:autoSpaceDE w:val="0"/>
        <w:autoSpaceDN w:val="0"/>
        <w:adjustRightInd w:val="0"/>
        <w:ind w:left="720"/>
        <w:jc w:val="both"/>
        <w:rPr>
          <w:rFonts w:ascii="Calibri" w:eastAsia="Calibri" w:hAnsi="Calibri" w:cs="Calibri"/>
          <w:bCs/>
          <w:lang w:val="es-GT"/>
        </w:rPr>
      </w:pPr>
      <w:r w:rsidRPr="001A01AB">
        <w:rPr>
          <w:rFonts w:ascii="Calibri" w:hAnsi="Calibri" w:cs="Calibri"/>
          <w:lang w:val="es-GT"/>
        </w:rPr>
        <w:t xml:space="preserve">Con relación al suministro de agua </w:t>
      </w:r>
      <w:r w:rsidR="004A09E0">
        <w:rPr>
          <w:rFonts w:ascii="Calibri" w:hAnsi="Calibri" w:cs="Calibri"/>
          <w:lang w:val="es-GT"/>
        </w:rPr>
        <w:t>en</w:t>
      </w:r>
      <w:r w:rsidRPr="001A01AB">
        <w:rPr>
          <w:rFonts w:ascii="Calibri" w:hAnsi="Calibri" w:cs="Calibri"/>
          <w:lang w:val="es-GT"/>
        </w:rPr>
        <w:t xml:space="preserve"> las comunidades de las partes altas de Huehuetenango, el 97.07% de los entrevistados mencion</w:t>
      </w:r>
      <w:r w:rsidR="004A09E0">
        <w:rPr>
          <w:rFonts w:ascii="Calibri" w:hAnsi="Calibri" w:cs="Calibri"/>
          <w:lang w:val="es-GT"/>
        </w:rPr>
        <w:t>ó</w:t>
      </w:r>
      <w:r w:rsidRPr="001A01AB">
        <w:rPr>
          <w:rFonts w:ascii="Calibri" w:hAnsi="Calibri" w:cs="Calibri"/>
          <w:lang w:val="es-GT"/>
        </w:rPr>
        <w:t xml:space="preserve"> que las fuentes de agua de donde se proveen las comunidades han disminuido en una tercera parte.</w:t>
      </w:r>
    </w:p>
    <w:p w:rsidR="007F6462" w:rsidRPr="001A01AB" w:rsidRDefault="007F6462" w:rsidP="007F6462">
      <w:pPr>
        <w:autoSpaceDE w:val="0"/>
        <w:autoSpaceDN w:val="0"/>
        <w:adjustRightInd w:val="0"/>
        <w:ind w:left="360"/>
        <w:jc w:val="both"/>
        <w:rPr>
          <w:rFonts w:ascii="Calibri" w:eastAsia="Calibri" w:hAnsi="Calibri" w:cs="Calibri"/>
          <w:bCs/>
          <w:lang w:val="es-GT"/>
        </w:rPr>
      </w:pPr>
    </w:p>
    <w:p w:rsidR="007F6462" w:rsidRPr="001A01AB" w:rsidRDefault="007F6462" w:rsidP="006B0A31">
      <w:pPr>
        <w:pStyle w:val="Prrafodelista"/>
        <w:numPr>
          <w:ilvl w:val="0"/>
          <w:numId w:val="52"/>
        </w:numPr>
        <w:autoSpaceDE w:val="0"/>
        <w:autoSpaceDN w:val="0"/>
        <w:adjustRightInd w:val="0"/>
        <w:jc w:val="both"/>
        <w:rPr>
          <w:rFonts w:cs="Calibri"/>
          <w:b/>
          <w:color w:val="365F91"/>
          <w:lang w:eastAsia="es-GT"/>
        </w:rPr>
      </w:pPr>
      <w:r w:rsidRPr="001A01AB">
        <w:rPr>
          <w:rFonts w:cs="Calibri"/>
          <w:b/>
          <w:color w:val="365F91"/>
          <w:lang w:eastAsia="es-GT"/>
        </w:rPr>
        <w:t xml:space="preserve">Análisis especial de los impactos del cambio climático </w:t>
      </w:r>
      <w:r w:rsidR="000905DA">
        <w:rPr>
          <w:rFonts w:cs="Calibri"/>
          <w:b/>
          <w:color w:val="365F91"/>
          <w:lang w:eastAsia="es-GT"/>
        </w:rPr>
        <w:t>conforme</w:t>
      </w:r>
      <w:r w:rsidR="00141A70">
        <w:rPr>
          <w:rFonts w:cs="Calibri"/>
          <w:b/>
          <w:color w:val="365F91"/>
          <w:lang w:eastAsia="es-GT"/>
        </w:rPr>
        <w:t xml:space="preserve"> </w:t>
      </w:r>
      <w:r w:rsidRPr="001A01AB">
        <w:rPr>
          <w:rFonts w:cs="Calibri"/>
          <w:b/>
          <w:color w:val="365F91"/>
          <w:lang w:eastAsia="es-GT"/>
        </w:rPr>
        <w:t>el</w:t>
      </w:r>
      <w:r w:rsidR="00141A70">
        <w:rPr>
          <w:rFonts w:cs="Calibri"/>
          <w:b/>
          <w:color w:val="365F91"/>
          <w:lang w:eastAsia="es-GT"/>
        </w:rPr>
        <w:t xml:space="preserve"> </w:t>
      </w:r>
      <w:r w:rsidRPr="001A01AB">
        <w:rPr>
          <w:rFonts w:cs="Calibri"/>
          <w:b/>
          <w:color w:val="365F91"/>
          <w:lang w:eastAsia="es-GT"/>
        </w:rPr>
        <w:t>Sistema Socioecológico</w:t>
      </w: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Este análisis se basa en un conjunto de indicadores-señal que reflejan diferentes estados de situación en cada uno de los subsistemas: institucional, económico, social, natural y las interacciones entre éstos. El análisis muestra que en los primeros tres subsistemas (institucional, económico y social) predominan situaciones y eventos que influyen en el subsistema natural en general, específicamente en el cambio del clima. Por ejemplo, un bajo grado de conocimiento sobre las implicaciones del cambio climático en el subsistema institucional limita las posibilidades de orientar acciones con la pertinencia, suficiencia y oportunidad, para minimizar sus consecuencias negativas en los subsistemas económico, social y natural. De igual manera, la ineficiencia productiva y los enfoques extractivos del subsistema económico, así como las crecientes presiones sociales, entre otros, son elementos que promueven y seguramente contribuyan a acentuar el deterioro natural de Guatemala en el mediano plazo, lo cual merma la capacidad del sistema para asimilar las consecuencias del cambio climático (IARNA-URL, 2009).</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Las interacciones, en cambio, identifican situaciones y eventos que influyen en el subsistema natural. El incremento de las emisiones de GEI y de las presiones sobre los ecosistemas remanentes desde el subsistema económico, así como el aumento de las presiones por agua, bioenergía y alimentos desde el subsistema social son sólo algunos de los elementos que actualmente presionan el ambiente natural y explican las serias manifestaciones de deterioro territorial. Esto puede ser visualizado en la Figura 1</w:t>
      </w:r>
      <w:r w:rsidR="0093248E">
        <w:rPr>
          <w:rFonts w:ascii="Calibri" w:hAnsi="Calibri" w:cs="Calibri"/>
          <w:lang w:val="es-GT"/>
        </w:rPr>
        <w:t>5</w:t>
      </w:r>
      <w:r w:rsidRPr="001A01AB">
        <w:rPr>
          <w:rFonts w:ascii="Calibri" w:hAnsi="Calibri" w:cs="Calibri"/>
          <w:lang w:val="es-GT"/>
        </w:rPr>
        <w:t>.</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 xml:space="preserve">Tales condiciones de deterioro local son, por sí mismas, suficientes para generar un alto grado de </w:t>
      </w:r>
      <w:r w:rsidR="000905DA">
        <w:rPr>
          <w:rFonts w:ascii="Calibri" w:hAnsi="Calibri" w:cs="Calibri"/>
          <w:lang w:val="es-GT"/>
        </w:rPr>
        <w:t>vulnerabilidad social y económica</w:t>
      </w:r>
      <w:r w:rsidRPr="001A01AB">
        <w:rPr>
          <w:rFonts w:ascii="Calibri" w:hAnsi="Calibri" w:cs="Calibri"/>
          <w:lang w:val="es-GT"/>
        </w:rPr>
        <w:t>. Sin embargo, unidas al cambio del clima, seguramente se acentuarán y se volverán más complejas, principalmente en lo concerniente a la disponibilidad y calidad de los bienes hídricos, el incremento de los efectos negativos de eventos climáticos extremos como las sequías y las heladas, el incremento de las tormentas que podrían desencadenar desastres naturales o la recurrencia de incendios, entre otros aspectos.</w:t>
      </w:r>
    </w:p>
    <w:p w:rsidR="007F6462" w:rsidRPr="001A01AB" w:rsidRDefault="007F6462" w:rsidP="007F6462">
      <w:pPr>
        <w:ind w:left="360"/>
        <w:jc w:val="both"/>
        <w:rPr>
          <w:rFonts w:ascii="Calibri" w:hAnsi="Calibri" w:cs="Calibri"/>
          <w:lang w:val="es-GT"/>
        </w:rPr>
      </w:pPr>
    </w:p>
    <w:p w:rsidR="007F6462" w:rsidRDefault="007F6462" w:rsidP="00C470CE">
      <w:pPr>
        <w:ind w:left="720"/>
        <w:jc w:val="both"/>
        <w:rPr>
          <w:rFonts w:ascii="Calibri" w:hAnsi="Calibri" w:cs="Calibri"/>
          <w:lang w:val="es-GT"/>
        </w:rPr>
      </w:pPr>
      <w:r w:rsidRPr="001A01AB">
        <w:rPr>
          <w:rFonts w:ascii="Calibri" w:hAnsi="Calibri" w:cs="Calibri"/>
          <w:lang w:val="es-GT"/>
        </w:rPr>
        <w:lastRenderedPageBreak/>
        <w:t>En consecuencia, el desequilibrio natural tendrá repercusiones directas principalmente en los subsistemas económico y social. En el primero es probable que: i) los daños sean más fuertes en la infraestructura de servicios públicos y productiva, ii) se reduzca el potencial para la producción de energía limpia</w:t>
      </w:r>
      <w:r w:rsidR="00061BE3">
        <w:rPr>
          <w:rFonts w:ascii="Calibri" w:hAnsi="Calibri" w:cs="Calibri"/>
          <w:lang w:val="es-GT"/>
        </w:rPr>
        <w:t>,</w:t>
      </w:r>
      <w:r w:rsidRPr="001A01AB">
        <w:rPr>
          <w:rFonts w:ascii="Calibri" w:hAnsi="Calibri" w:cs="Calibri"/>
          <w:lang w:val="es-GT"/>
        </w:rPr>
        <w:t xml:space="preserve"> y iii) disminuya la capacidad productiva de alimentos, entre otros aspectos. En el segundo, las condiciones ambientales generadas serán más adversas para la salud, las cosechas, la infraestructura habitacional y, en general, para el bienestar</w:t>
      </w:r>
      <w:r w:rsidR="001222D7">
        <w:rPr>
          <w:rFonts w:ascii="Calibri" w:hAnsi="Calibri" w:cs="Calibri"/>
          <w:lang w:val="es-GT"/>
        </w:rPr>
        <w:t xml:space="preserve"> social</w:t>
      </w:r>
      <w:r w:rsidRPr="001A01AB">
        <w:rPr>
          <w:rFonts w:ascii="Calibri" w:hAnsi="Calibri" w:cs="Calibri"/>
          <w:lang w:val="es-GT"/>
        </w:rPr>
        <w:t>.</w:t>
      </w:r>
    </w:p>
    <w:p w:rsidR="001222D7" w:rsidRPr="001A01AB" w:rsidRDefault="001222D7" w:rsidP="00C470CE">
      <w:pPr>
        <w:ind w:left="720"/>
        <w:jc w:val="both"/>
        <w:rPr>
          <w:rFonts w:ascii="Calibri" w:hAnsi="Calibri" w:cs="Calibri"/>
          <w:lang w:val="es-GT"/>
        </w:rPr>
      </w:pPr>
    </w:p>
    <w:p w:rsidR="001222D7" w:rsidRPr="00061BE3" w:rsidRDefault="001222D7" w:rsidP="00C470CE">
      <w:pPr>
        <w:autoSpaceDE w:val="0"/>
        <w:autoSpaceDN w:val="0"/>
        <w:adjustRightInd w:val="0"/>
        <w:ind w:left="720"/>
        <w:jc w:val="both"/>
        <w:rPr>
          <w:rFonts w:ascii="Calibri" w:hAnsi="Calibri" w:cs="Calibri"/>
          <w:lang w:val="es-GT" w:eastAsia="es-GT"/>
        </w:rPr>
      </w:pPr>
      <w:r w:rsidRPr="00061BE3">
        <w:rPr>
          <w:rFonts w:ascii="Calibri" w:hAnsi="Calibri" w:cs="Calibri"/>
          <w:lang w:val="es-GT" w:eastAsia="es-GT"/>
        </w:rPr>
        <w:t>La Figura 1</w:t>
      </w:r>
      <w:r w:rsidR="0093248E" w:rsidRPr="00061BE3">
        <w:rPr>
          <w:rFonts w:ascii="Calibri" w:hAnsi="Calibri" w:cs="Calibri"/>
          <w:lang w:val="es-GT" w:eastAsia="es-GT"/>
        </w:rPr>
        <w:t>5</w:t>
      </w:r>
      <w:r w:rsidRPr="00061BE3">
        <w:rPr>
          <w:rFonts w:ascii="Calibri" w:hAnsi="Calibri" w:cs="Calibri"/>
          <w:lang w:val="es-GT" w:eastAsia="es-GT"/>
        </w:rPr>
        <w:t xml:space="preserve"> también permite analizar, aunque de manera básica, el contexto internacional. En este sentido, destaca la carencia, tanto de acciones globales contundentes para reducir las emisiones de gases de efecto invernadero, como de financiamiento global para la mitigación local de los impactos del cambio climático. Es posible que la institucionalidad oficial subordine, frente a las dinámicas internacionales, la necesidad de generar e impulsar dinámicas locales que prioricen intervenciones en temas y territorios concretos. Concentrar la atención en esas dinámicas internacionales sin actuaciones locales sólo favorecerá un desbalance entre las capacidades de absorción y de emisión de gases de efecto invernadero del país. Sobre todo, se intensificará el deterioro territorial y aumentará la vulnerabilidad a desastres de toda índole.</w:t>
      </w:r>
      <w:r w:rsidR="00061BE3">
        <w:rPr>
          <w:rFonts w:ascii="Calibri" w:hAnsi="Calibri" w:cs="Calibri"/>
          <w:lang w:val="es-GT" w:eastAsia="es-GT"/>
        </w:rPr>
        <w:t xml:space="preserve"> </w:t>
      </w:r>
    </w:p>
    <w:p w:rsidR="001222D7" w:rsidRPr="001A01AB" w:rsidRDefault="001222D7" w:rsidP="00C470CE">
      <w:pPr>
        <w:autoSpaceDE w:val="0"/>
        <w:autoSpaceDN w:val="0"/>
        <w:adjustRightInd w:val="0"/>
        <w:ind w:left="720"/>
        <w:jc w:val="both"/>
        <w:rPr>
          <w:rFonts w:ascii="Calibri" w:hAnsi="Calibri" w:cs="Calibri"/>
          <w:color w:val="414142"/>
          <w:lang w:val="es-GT" w:eastAsia="es-GT"/>
        </w:rPr>
      </w:pPr>
    </w:p>
    <w:p w:rsidR="001222D7" w:rsidRPr="00061BE3" w:rsidRDefault="001222D7" w:rsidP="00C470CE">
      <w:pPr>
        <w:autoSpaceDE w:val="0"/>
        <w:autoSpaceDN w:val="0"/>
        <w:adjustRightInd w:val="0"/>
        <w:ind w:left="720"/>
        <w:jc w:val="both"/>
        <w:rPr>
          <w:rFonts w:ascii="Calibri" w:hAnsi="Calibri" w:cs="Calibri"/>
          <w:lang w:val="es-GT" w:eastAsia="es-GT"/>
        </w:rPr>
      </w:pPr>
      <w:r w:rsidRPr="00061BE3">
        <w:rPr>
          <w:rFonts w:ascii="Calibri" w:hAnsi="Calibri" w:cs="Calibri"/>
          <w:lang w:val="es-GT" w:eastAsia="es-GT"/>
        </w:rPr>
        <w:t>Tal como se ha planteado en diversos espacios nacionales e internacionales</w:t>
      </w:r>
      <w:r w:rsidR="00061BE3" w:rsidRPr="00061BE3">
        <w:rPr>
          <w:rFonts w:ascii="Calibri" w:hAnsi="Calibri" w:cs="Calibri"/>
          <w:lang w:val="es-GT" w:eastAsia="es-GT"/>
        </w:rPr>
        <w:t xml:space="preserve"> de discusión</w:t>
      </w:r>
      <w:r w:rsidRPr="00061BE3">
        <w:rPr>
          <w:rFonts w:ascii="Calibri" w:hAnsi="Calibri" w:cs="Calibri"/>
          <w:lang w:val="es-GT" w:eastAsia="es-GT"/>
        </w:rPr>
        <w:t>, tratar asuntos relacionados con el cambio climático en Guatemala implica desplegar acciones para la mitigación y la adaptación. En el primer caso</w:t>
      </w:r>
      <w:r w:rsidR="00061BE3">
        <w:rPr>
          <w:rFonts w:ascii="Calibri" w:hAnsi="Calibri" w:cs="Calibri"/>
          <w:lang w:val="es-GT" w:eastAsia="es-GT"/>
        </w:rPr>
        <w:t>,</w:t>
      </w:r>
      <w:r w:rsidRPr="00061BE3">
        <w:rPr>
          <w:rFonts w:ascii="Calibri" w:hAnsi="Calibri" w:cs="Calibri"/>
          <w:lang w:val="es-GT" w:eastAsia="es-GT"/>
        </w:rPr>
        <w:t xml:space="preserve"> se trata de limitar emisiones y al mismo tiempo revitalizar el subsistema natural, no sólo para mantener sus capacidades de absorción de gases de efecto invernadero, sino para asegurar sus capacidades amortiguadoras frente a fenómenos climáticos extremos. La mejor defensa ante el cambio climático es la recuperación de un equilibro sano entre las tierras, la vegetación y la atmósfera; base de ciclos fundamentales para la vida, como el del agua. Específicamente, incluye acciones relacionadas con</w:t>
      </w:r>
      <w:r w:rsidR="00061BE3">
        <w:rPr>
          <w:rFonts w:ascii="Calibri" w:hAnsi="Calibri" w:cs="Calibri"/>
          <w:lang w:val="es-GT" w:eastAsia="es-GT"/>
        </w:rPr>
        <w:t>:</w:t>
      </w:r>
      <w:r w:rsidRPr="00061BE3">
        <w:rPr>
          <w:rFonts w:ascii="Calibri" w:hAnsi="Calibri" w:cs="Calibri"/>
          <w:lang w:val="es-GT" w:eastAsia="es-GT"/>
        </w:rPr>
        <w:t xml:space="preserve"> i) la </w:t>
      </w:r>
      <w:r w:rsidRPr="00061BE3">
        <w:rPr>
          <w:rFonts w:ascii="Calibri" w:hAnsi="Calibri" w:cs="Calibri"/>
          <w:i/>
          <w:iCs/>
          <w:lang w:val="es-GT" w:eastAsia="es-GT"/>
        </w:rPr>
        <w:t xml:space="preserve">reducción de las emisiones de gases </w:t>
      </w:r>
      <w:r w:rsidRPr="00061BE3">
        <w:rPr>
          <w:rFonts w:ascii="Calibri" w:hAnsi="Calibri" w:cs="Calibri"/>
          <w:i/>
          <w:lang w:val="es-GT" w:eastAsia="es-GT"/>
        </w:rPr>
        <w:t>de efecto invernadero</w:t>
      </w:r>
      <w:r w:rsidRPr="00061BE3">
        <w:rPr>
          <w:rFonts w:ascii="Calibri" w:hAnsi="Calibri" w:cs="Calibri"/>
          <w:lang w:val="es-GT" w:eastAsia="es-GT"/>
        </w:rPr>
        <w:t xml:space="preserve"> (principalmente dióxido de carbono), para lo cual es fundamental la promoción de una matriz energética más limpia y la regulación de las emisiones del parque vehicular; ii) </w:t>
      </w:r>
      <w:r w:rsidRPr="00061BE3">
        <w:rPr>
          <w:rFonts w:ascii="Calibri" w:hAnsi="Calibri" w:cs="Calibri"/>
          <w:i/>
          <w:iCs/>
          <w:lang w:val="es-GT" w:eastAsia="es-GT"/>
        </w:rPr>
        <w:t xml:space="preserve">evitar la liberación </w:t>
      </w:r>
      <w:r w:rsidRPr="00061BE3">
        <w:rPr>
          <w:rFonts w:ascii="Calibri" w:hAnsi="Calibri" w:cs="Calibri"/>
          <w:lang w:val="es-GT" w:eastAsia="es-GT"/>
        </w:rPr>
        <w:t>de dióxido de carbono capturado por la vegetación, principalmente la cobertura forestal natural (</w:t>
      </w:r>
      <w:r w:rsidRPr="00061BE3">
        <w:rPr>
          <w:rFonts w:ascii="Calibri" w:hAnsi="Calibri" w:cs="Calibri"/>
          <w:i/>
          <w:iCs/>
          <w:lang w:val="es-GT" w:eastAsia="es-GT"/>
        </w:rPr>
        <w:t>evitar la deforestación</w:t>
      </w:r>
      <w:r w:rsidRPr="00061BE3">
        <w:rPr>
          <w:rFonts w:ascii="Calibri" w:hAnsi="Calibri" w:cs="Calibri"/>
          <w:lang w:val="es-GT" w:eastAsia="es-GT"/>
        </w:rPr>
        <w:t xml:space="preserve">), y iii) incrementar la </w:t>
      </w:r>
      <w:r w:rsidRPr="00061BE3">
        <w:rPr>
          <w:rFonts w:ascii="Calibri" w:hAnsi="Calibri" w:cs="Calibri"/>
          <w:i/>
          <w:iCs/>
          <w:lang w:val="es-GT" w:eastAsia="es-GT"/>
        </w:rPr>
        <w:t xml:space="preserve">capacidad de absorción </w:t>
      </w:r>
      <w:r w:rsidRPr="00061BE3">
        <w:rPr>
          <w:rFonts w:ascii="Calibri" w:hAnsi="Calibri" w:cs="Calibri"/>
          <w:lang w:val="es-GT" w:eastAsia="es-GT"/>
        </w:rPr>
        <w:t>de dióxido de carbono mediante el mantenimiento y la recuperación de la cobertura vegetal.</w:t>
      </w:r>
    </w:p>
    <w:p w:rsidR="007F6462" w:rsidRPr="00061BE3" w:rsidRDefault="007F6462" w:rsidP="00C470CE">
      <w:pPr>
        <w:ind w:left="720"/>
        <w:jc w:val="both"/>
        <w:rPr>
          <w:rFonts w:ascii="Calibri" w:hAnsi="Calibri" w:cs="Calibri"/>
          <w:lang w:val="es-GT"/>
        </w:rPr>
      </w:pPr>
    </w:p>
    <w:p w:rsidR="001222D7" w:rsidRPr="00061BE3" w:rsidRDefault="001222D7" w:rsidP="00C470CE">
      <w:pPr>
        <w:autoSpaceDE w:val="0"/>
        <w:autoSpaceDN w:val="0"/>
        <w:adjustRightInd w:val="0"/>
        <w:ind w:left="720"/>
        <w:jc w:val="both"/>
        <w:rPr>
          <w:rFonts w:ascii="Calibri" w:hAnsi="Calibri" w:cs="Calibri"/>
          <w:lang w:val="es-GT" w:eastAsia="es-GT"/>
        </w:rPr>
      </w:pPr>
      <w:r w:rsidRPr="00061BE3">
        <w:rPr>
          <w:rFonts w:ascii="Calibri" w:hAnsi="Calibri" w:cs="Calibri"/>
          <w:lang w:val="es-GT" w:eastAsia="es-GT"/>
        </w:rPr>
        <w:t xml:space="preserve">Para el caso de la adaptación, se trata de crear o fortalecer capacidades sociales locales, para internalizar y administrar los efectos adversos del cambio climático que se manifiestan como inundaciones, tormentas (que a la vez provocan deslizamientos y derrumbes) y sequías, que tenderán a exacerbarse. También se trata de adoptar medidas para mejorar la capacidad de resiliencia de los ecosistemas, es decir, mejorar su capacidad de asimilar alteraciones drásticas. Incluye acciones relacionadas con la gestión de eventos hidrometeorológicos, </w:t>
      </w:r>
      <w:r w:rsidR="00061BE3">
        <w:rPr>
          <w:rFonts w:ascii="Calibri" w:hAnsi="Calibri" w:cs="Calibri"/>
          <w:lang w:val="es-GT" w:eastAsia="es-GT"/>
        </w:rPr>
        <w:t xml:space="preserve">la </w:t>
      </w:r>
      <w:r w:rsidRPr="00061BE3">
        <w:rPr>
          <w:rFonts w:ascii="Calibri" w:hAnsi="Calibri" w:cs="Calibri"/>
          <w:lang w:val="es-GT" w:eastAsia="es-GT"/>
        </w:rPr>
        <w:t xml:space="preserve">gestión de recursos hídricos, </w:t>
      </w:r>
      <w:r w:rsidR="00061BE3">
        <w:rPr>
          <w:rFonts w:ascii="Calibri" w:hAnsi="Calibri" w:cs="Calibri"/>
          <w:lang w:val="es-GT" w:eastAsia="es-GT"/>
        </w:rPr>
        <w:t xml:space="preserve">el </w:t>
      </w:r>
      <w:r w:rsidRPr="00061BE3">
        <w:rPr>
          <w:rFonts w:ascii="Calibri" w:hAnsi="Calibri" w:cs="Calibri"/>
          <w:lang w:val="es-GT" w:eastAsia="es-GT"/>
        </w:rPr>
        <w:t xml:space="preserve">mantenimiento de la capacidad natural para proveer servicios ambientales, </w:t>
      </w:r>
      <w:r w:rsidR="00061BE3">
        <w:rPr>
          <w:rFonts w:ascii="Calibri" w:hAnsi="Calibri" w:cs="Calibri"/>
          <w:lang w:val="es-GT" w:eastAsia="es-GT"/>
        </w:rPr>
        <w:t xml:space="preserve">la </w:t>
      </w:r>
      <w:r w:rsidRPr="00061BE3">
        <w:rPr>
          <w:rFonts w:ascii="Calibri" w:hAnsi="Calibri" w:cs="Calibri"/>
          <w:lang w:val="es-GT" w:eastAsia="es-GT"/>
        </w:rPr>
        <w:t>gestión de territorios costeros y zonas urbanas, entre otros.</w:t>
      </w:r>
    </w:p>
    <w:p w:rsidR="007F6462" w:rsidRPr="001A01AB" w:rsidRDefault="007F6462" w:rsidP="00C470CE">
      <w:pPr>
        <w:ind w:left="720"/>
        <w:jc w:val="both"/>
        <w:rPr>
          <w:rFonts w:ascii="Calibri" w:hAnsi="Calibri" w:cs="Calibri"/>
          <w:lang w:val="es-GT"/>
        </w:rPr>
        <w:sectPr w:rsidR="007F6462" w:rsidRPr="001A01AB" w:rsidSect="003D0B53">
          <w:pgSz w:w="12240" w:h="15840" w:code="1"/>
          <w:pgMar w:top="1440" w:right="1152" w:bottom="1440" w:left="1440" w:header="720" w:footer="720" w:gutter="0"/>
          <w:cols w:space="720"/>
          <w:docGrid w:linePitch="360"/>
        </w:sectPr>
      </w:pPr>
    </w:p>
    <w:p w:rsidR="007F6462" w:rsidRPr="00224B57" w:rsidRDefault="007F6462" w:rsidP="007F6462">
      <w:pPr>
        <w:spacing w:after="120"/>
        <w:jc w:val="center"/>
        <w:rPr>
          <w:rFonts w:ascii="Calibri" w:eastAsia="Calibri" w:hAnsi="Calibri" w:cs="Calibri"/>
          <w:b/>
          <w:color w:val="365F91"/>
          <w:sz w:val="22"/>
          <w:szCs w:val="22"/>
          <w:lang w:val="es-GT"/>
        </w:rPr>
      </w:pPr>
      <w:bookmarkStart w:id="66" w:name="_Toc347841238"/>
      <w:r w:rsidRPr="001A01AB">
        <w:rPr>
          <w:rFonts w:ascii="Calibri" w:eastAsia="Calibri" w:hAnsi="Calibri" w:cs="Calibri"/>
          <w:b/>
          <w:color w:val="365F91"/>
          <w:sz w:val="22"/>
          <w:szCs w:val="22"/>
          <w:lang w:val="es-GT"/>
        </w:rPr>
        <w:lastRenderedPageBreak/>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15</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Indicadores-señal que explican la problemática del cambio climático</w:t>
      </w:r>
      <w:bookmarkEnd w:id="66"/>
    </w:p>
    <w:p w:rsidR="0089144E" w:rsidRPr="001A01AB" w:rsidRDefault="0089144E" w:rsidP="0089144E">
      <w:pPr>
        <w:ind w:left="360"/>
        <w:jc w:val="center"/>
        <w:rPr>
          <w:rFonts w:ascii="Calibri" w:hAnsi="Calibri" w:cs="Calibri"/>
          <w:noProof/>
          <w:sz w:val="20"/>
          <w:lang w:val="es-GT" w:eastAsia="es-GT"/>
        </w:rPr>
      </w:pPr>
    </w:p>
    <w:p w:rsidR="0089144E" w:rsidRPr="001A01AB" w:rsidRDefault="00544A9F" w:rsidP="00C26543">
      <w:pPr>
        <w:ind w:left="360"/>
        <w:jc w:val="center"/>
        <w:rPr>
          <w:rFonts w:ascii="Calibri" w:hAnsi="Calibri" w:cs="Calibri"/>
          <w:sz w:val="20"/>
          <w:lang w:val="es-GT"/>
        </w:rPr>
      </w:pPr>
      <w:r>
        <w:rPr>
          <w:rFonts w:ascii="Calibri" w:hAnsi="Calibri" w:cs="Calibri"/>
          <w:noProof/>
          <w:sz w:val="20"/>
          <w:lang w:val="es-GT" w:eastAsia="es-GT"/>
        </w:rPr>
        <w:drawing>
          <wp:inline distT="0" distB="0" distL="0" distR="0" wp14:anchorId="479409C5" wp14:editId="1547A515">
            <wp:extent cx="7867650" cy="5105400"/>
            <wp:effectExtent l="0" t="0" r="0"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67650" cy="5105400"/>
                    </a:xfrm>
                    <a:prstGeom prst="rect">
                      <a:avLst/>
                    </a:prstGeom>
                    <a:noFill/>
                    <a:ln>
                      <a:noFill/>
                    </a:ln>
                  </pic:spPr>
                </pic:pic>
              </a:graphicData>
            </a:graphic>
          </wp:inline>
        </w:drawing>
      </w:r>
    </w:p>
    <w:p w:rsidR="007F6462" w:rsidRPr="001A01AB" w:rsidRDefault="00061BE3" w:rsidP="0049326C">
      <w:pPr>
        <w:ind w:left="360"/>
        <w:jc w:val="right"/>
        <w:rPr>
          <w:rFonts w:ascii="Calibri" w:hAnsi="Calibri" w:cs="Calibri"/>
          <w:lang w:val="es-GT"/>
        </w:rPr>
      </w:pPr>
      <w:r>
        <w:rPr>
          <w:rFonts w:ascii="Calibri" w:hAnsi="Calibri" w:cs="Calibri"/>
          <w:sz w:val="20"/>
          <w:lang w:val="es-GT"/>
        </w:rPr>
        <w:t>Fuente: IARNA-URL (</w:t>
      </w:r>
      <w:r w:rsidR="007F6462" w:rsidRPr="001A01AB">
        <w:rPr>
          <w:rFonts w:ascii="Calibri" w:hAnsi="Calibri" w:cs="Calibri"/>
          <w:sz w:val="20"/>
          <w:lang w:val="es-GT"/>
        </w:rPr>
        <w:t>2009</w:t>
      </w:r>
      <w:r>
        <w:rPr>
          <w:rFonts w:ascii="Calibri" w:hAnsi="Calibri" w:cs="Calibri"/>
          <w:sz w:val="20"/>
          <w:lang w:val="es-GT"/>
        </w:rPr>
        <w:t>)</w:t>
      </w:r>
      <w:r w:rsidR="007F6462" w:rsidRPr="001A01AB">
        <w:rPr>
          <w:rFonts w:ascii="Calibri" w:hAnsi="Calibri" w:cs="Calibri"/>
          <w:sz w:val="20"/>
          <w:lang w:val="es-GT"/>
        </w:rPr>
        <w:t>.</w:t>
      </w:r>
    </w:p>
    <w:p w:rsidR="007F6462" w:rsidRPr="001A01AB" w:rsidRDefault="007F6462" w:rsidP="0049326C">
      <w:pPr>
        <w:ind w:left="360"/>
        <w:jc w:val="both"/>
        <w:rPr>
          <w:rFonts w:ascii="Calibri" w:hAnsi="Calibri" w:cs="Calibri"/>
          <w:lang w:val="es-GT"/>
        </w:rPr>
        <w:sectPr w:rsidR="007F6462" w:rsidRPr="001A01AB" w:rsidSect="00F92C0A">
          <w:pgSz w:w="15840" w:h="12240" w:orient="landscape" w:code="1"/>
          <w:pgMar w:top="1440" w:right="1440" w:bottom="1152" w:left="1440" w:header="720" w:footer="720" w:gutter="0"/>
          <w:cols w:space="720"/>
          <w:docGrid w:linePitch="360"/>
        </w:sectPr>
      </w:pPr>
    </w:p>
    <w:p w:rsidR="007F6462" w:rsidRPr="00061BE3" w:rsidRDefault="005657A5" w:rsidP="00C470CE">
      <w:pPr>
        <w:autoSpaceDE w:val="0"/>
        <w:autoSpaceDN w:val="0"/>
        <w:adjustRightInd w:val="0"/>
        <w:ind w:left="720"/>
        <w:jc w:val="both"/>
        <w:rPr>
          <w:rFonts w:ascii="Calibri" w:hAnsi="Calibri" w:cs="Calibri"/>
          <w:lang w:val="es-GT"/>
        </w:rPr>
      </w:pPr>
      <w:r w:rsidRPr="00061BE3">
        <w:rPr>
          <w:rFonts w:ascii="Calibri" w:hAnsi="Calibri" w:cs="Calibri"/>
          <w:lang w:val="es-GT" w:eastAsia="es-GT"/>
        </w:rPr>
        <w:lastRenderedPageBreak/>
        <w:t>Por otro lado, e</w:t>
      </w:r>
      <w:r w:rsidR="007F6462" w:rsidRPr="00061BE3">
        <w:rPr>
          <w:rFonts w:ascii="Calibri" w:hAnsi="Calibri" w:cs="Calibri"/>
          <w:lang w:val="es-GT" w:eastAsia="es-GT"/>
        </w:rPr>
        <w:t>n la Figura 1</w:t>
      </w:r>
      <w:r w:rsidR="0093248E" w:rsidRPr="00061BE3">
        <w:rPr>
          <w:rFonts w:ascii="Calibri" w:hAnsi="Calibri" w:cs="Calibri"/>
          <w:lang w:val="es-GT" w:eastAsia="es-GT"/>
        </w:rPr>
        <w:t>6</w:t>
      </w:r>
      <w:r w:rsidR="007F6462" w:rsidRPr="00061BE3">
        <w:rPr>
          <w:rFonts w:ascii="Calibri" w:hAnsi="Calibri" w:cs="Calibri"/>
          <w:lang w:val="es-GT" w:eastAsia="es-GT"/>
        </w:rPr>
        <w:t xml:space="preserve"> se presentan los </w:t>
      </w:r>
      <w:r w:rsidR="00061BE3">
        <w:rPr>
          <w:rFonts w:ascii="Calibri" w:hAnsi="Calibri" w:cs="Calibri"/>
          <w:lang w:val="es-GT" w:eastAsia="es-GT"/>
        </w:rPr>
        <w:t>indicadores señal relacionados a los</w:t>
      </w:r>
      <w:r w:rsidR="007F6462" w:rsidRPr="00061BE3">
        <w:rPr>
          <w:rFonts w:ascii="Calibri" w:hAnsi="Calibri" w:cs="Calibri"/>
          <w:lang w:val="es-GT" w:eastAsia="es-GT"/>
        </w:rPr>
        <w:t xml:space="preserve"> ámbitos en los que es preciso impulsar acciones vinculadas con la mitigación y la adaptación al cambio climático. Aunque genéricos, estos indicadores están altamente relacionados con la realidad socioambiental nacional. El análisis parte de la necesidad de impulsar acciones integrales amparadas por lo menos en</w:t>
      </w:r>
      <w:r w:rsidR="00AA2ECD">
        <w:rPr>
          <w:rFonts w:ascii="Calibri" w:hAnsi="Calibri" w:cs="Calibri"/>
          <w:lang w:val="es-GT" w:eastAsia="es-GT"/>
        </w:rPr>
        <w:t>: i)</w:t>
      </w:r>
      <w:r w:rsidR="007F6462" w:rsidRPr="00061BE3">
        <w:rPr>
          <w:rFonts w:ascii="Calibri" w:hAnsi="Calibri" w:cs="Calibri"/>
          <w:lang w:val="es-GT" w:eastAsia="es-GT"/>
        </w:rPr>
        <w:t xml:space="preserve"> la emisión explícita de una política y una estrategia nacional de cambio climático de aplicación inmediata; </w:t>
      </w:r>
      <w:r w:rsidR="00AA2ECD">
        <w:rPr>
          <w:rFonts w:ascii="Calibri" w:hAnsi="Calibri" w:cs="Calibri"/>
          <w:lang w:val="es-GT" w:eastAsia="es-GT"/>
        </w:rPr>
        <w:t xml:space="preserve">ii) </w:t>
      </w:r>
      <w:r w:rsidR="007F6462" w:rsidRPr="00061BE3">
        <w:rPr>
          <w:rFonts w:ascii="Calibri" w:hAnsi="Calibri" w:cs="Calibri"/>
          <w:lang w:val="es-GT" w:eastAsia="es-GT"/>
        </w:rPr>
        <w:t>generar una cultura de solidaridad social para reducir la vulnerabilidad frente al cambio climático</w:t>
      </w:r>
      <w:r w:rsidR="00AA2ECD">
        <w:rPr>
          <w:rFonts w:ascii="Calibri" w:hAnsi="Calibri" w:cs="Calibri"/>
          <w:lang w:val="es-GT" w:eastAsia="es-GT"/>
        </w:rPr>
        <w:t>,</w:t>
      </w:r>
      <w:r w:rsidR="007F6462" w:rsidRPr="00061BE3">
        <w:rPr>
          <w:rFonts w:ascii="Calibri" w:hAnsi="Calibri" w:cs="Calibri"/>
          <w:lang w:val="es-GT" w:eastAsia="es-GT"/>
        </w:rPr>
        <w:t xml:space="preserve"> y </w:t>
      </w:r>
      <w:r w:rsidR="00AA2ECD">
        <w:rPr>
          <w:rFonts w:ascii="Calibri" w:hAnsi="Calibri" w:cs="Calibri"/>
          <w:lang w:val="es-GT" w:eastAsia="es-GT"/>
        </w:rPr>
        <w:t xml:space="preserve">iii) </w:t>
      </w:r>
      <w:r w:rsidR="007F6462" w:rsidRPr="00061BE3">
        <w:rPr>
          <w:rFonts w:ascii="Calibri" w:hAnsi="Calibri" w:cs="Calibri"/>
          <w:lang w:val="es-GT" w:eastAsia="es-GT"/>
        </w:rPr>
        <w:t>propiciar una corriente generadora de conocimientos e información que muestre las implicaciones del cambio climático en el país y que permita tomar decisiones con certeza y oportunidad.</w:t>
      </w:r>
      <w:r w:rsidR="00141A70" w:rsidRPr="00061BE3">
        <w:rPr>
          <w:rFonts w:ascii="Calibri" w:hAnsi="Calibri" w:cs="Calibri"/>
          <w:lang w:val="es-GT" w:eastAsia="es-GT"/>
        </w:rPr>
        <w:t xml:space="preserve"> </w:t>
      </w:r>
    </w:p>
    <w:p w:rsidR="007F6462" w:rsidRDefault="007F6462" w:rsidP="00C470CE">
      <w:pPr>
        <w:ind w:left="720"/>
        <w:jc w:val="both"/>
        <w:rPr>
          <w:rFonts w:ascii="Calibri" w:hAnsi="Calibri" w:cs="Calibri"/>
          <w:lang w:val="es-GT"/>
        </w:rPr>
      </w:pPr>
    </w:p>
    <w:p w:rsidR="001222D7" w:rsidRPr="001A01AB" w:rsidRDefault="001222D7" w:rsidP="00C470CE">
      <w:pPr>
        <w:ind w:left="720"/>
        <w:jc w:val="both"/>
        <w:rPr>
          <w:rFonts w:ascii="Calibri" w:hAnsi="Calibri" w:cs="Calibri"/>
          <w:lang w:val="es-GT"/>
        </w:rPr>
      </w:pPr>
      <w:r w:rsidRPr="001A01AB">
        <w:rPr>
          <w:rFonts w:ascii="Calibri" w:hAnsi="Calibri" w:cs="Calibri"/>
          <w:lang w:val="es-GT"/>
        </w:rPr>
        <w:t xml:space="preserve">Lograrlo requiere de un fuerte liderazgo institucional público que promueva inversiones, tanto estatales como privadas, según la envergadura de los problemas ambientales nacionales; </w:t>
      </w:r>
      <w:r w:rsidR="00AA2ECD">
        <w:rPr>
          <w:rFonts w:ascii="Calibri" w:hAnsi="Calibri" w:cs="Calibri"/>
          <w:lang w:val="es-GT"/>
        </w:rPr>
        <w:t xml:space="preserve">y </w:t>
      </w:r>
      <w:r w:rsidRPr="001A01AB">
        <w:rPr>
          <w:rFonts w:ascii="Calibri" w:hAnsi="Calibri" w:cs="Calibri"/>
          <w:lang w:val="es-GT"/>
        </w:rPr>
        <w:t>que privilegie enfoques de restauración y conse</w:t>
      </w:r>
      <w:r w:rsidR="00AA2ECD">
        <w:rPr>
          <w:rFonts w:ascii="Calibri" w:hAnsi="Calibri" w:cs="Calibri"/>
          <w:lang w:val="es-GT"/>
        </w:rPr>
        <w:t>rvación del territorio sobre</w:t>
      </w:r>
      <w:r w:rsidRPr="001A01AB">
        <w:rPr>
          <w:rFonts w:ascii="Calibri" w:hAnsi="Calibri" w:cs="Calibri"/>
          <w:lang w:val="es-GT"/>
        </w:rPr>
        <w:t xml:space="preserve"> enfoques de uso extractivo. Este liderazgo también deberá mejorar la capacidad de negociación para obtener financiamiento internacional complementario al nacional, reivindicando el enfoque de derechos y obligaciones diferenciados entre países, de acuerdo con su responsabilidad en el cambio climático global. También será necesario que las actividades económicas se transformen de acuerdo a las tecnologías modernas y limpias, para mejorar su desempeño ambiental en actividades de generación y distribución de energía, silvicultura, agricultura, ganadería, transporte e industria.</w:t>
      </w:r>
    </w:p>
    <w:p w:rsidR="001222D7" w:rsidRPr="001A01AB" w:rsidRDefault="001222D7" w:rsidP="00C470CE">
      <w:pPr>
        <w:ind w:left="720"/>
        <w:jc w:val="both"/>
        <w:rPr>
          <w:rFonts w:ascii="Calibri" w:hAnsi="Calibri" w:cs="Calibri"/>
          <w:lang w:val="es-GT"/>
        </w:rPr>
      </w:pPr>
    </w:p>
    <w:p w:rsidR="001222D7" w:rsidRPr="001A01AB" w:rsidRDefault="001222D7" w:rsidP="00C470CE">
      <w:pPr>
        <w:ind w:left="720"/>
        <w:jc w:val="both"/>
        <w:rPr>
          <w:rFonts w:ascii="Calibri" w:hAnsi="Calibri" w:cs="Calibri"/>
          <w:lang w:val="es-GT"/>
        </w:rPr>
      </w:pPr>
      <w:r w:rsidRPr="001A01AB">
        <w:rPr>
          <w:rFonts w:ascii="Calibri" w:hAnsi="Calibri" w:cs="Calibri"/>
          <w:lang w:val="es-GT"/>
        </w:rPr>
        <w:t>Las instituciones deberán diseñar y valerse de instrumentos económicos, normativos y de sensibilización, para limitar el uso de bienes y servicios naturales sobreutilizados en el subsistema económico, tales como las tierras y los bosques; regular eficientemente la descarga de residuos y emisiones; desincentivar actividades energéticas contaminantes y de deterioro territorial como la minería; y asegurar el uso de bienes y servicios naturales bajo el enfoque de la mejor opción social en el marco de límites de capacidad de carga natural. Todos los sectores de la sociedad deberán procurar el mejoramiento de la distribución social de los beneficios derivados del crecimiento económico, al tiempo que se hacen compromisos para modificar pautas de producción y consumo, privilegiando actividades de reutilización y reciclaje.</w:t>
      </w:r>
    </w:p>
    <w:p w:rsidR="001222D7" w:rsidRPr="001A01AB" w:rsidRDefault="001222D7" w:rsidP="00C470CE">
      <w:pPr>
        <w:ind w:left="720"/>
        <w:jc w:val="both"/>
        <w:rPr>
          <w:rFonts w:ascii="Calibri" w:hAnsi="Calibri" w:cs="Calibri"/>
          <w:lang w:val="es-GT"/>
        </w:rPr>
      </w:pPr>
    </w:p>
    <w:p w:rsidR="001222D7" w:rsidRPr="001A01AB" w:rsidRDefault="001222D7" w:rsidP="00C470CE">
      <w:pPr>
        <w:ind w:left="720"/>
        <w:jc w:val="both"/>
        <w:rPr>
          <w:rFonts w:ascii="Calibri" w:hAnsi="Calibri" w:cs="Calibri"/>
          <w:lang w:val="es-GT"/>
        </w:rPr>
      </w:pPr>
      <w:r w:rsidRPr="001A01AB">
        <w:rPr>
          <w:rFonts w:ascii="Calibri" w:hAnsi="Calibri" w:cs="Calibri"/>
          <w:lang w:val="es-GT"/>
        </w:rPr>
        <w:t>Integralmente, estas acciones deberán conducir a mantener y/o restaurar la viabilidad funcional de los ecosistemas como sumideros de gases de efecto invernadero y como amortiguadores de eventos climáticos extremos; fortalecer la administración del Sistema Guatemalt</w:t>
      </w:r>
      <w:r w:rsidR="00AA2ECD">
        <w:rPr>
          <w:rFonts w:ascii="Calibri" w:hAnsi="Calibri" w:cs="Calibri"/>
          <w:lang w:val="es-GT"/>
        </w:rPr>
        <w:t>eco de Áreas Protegidas (SIGAP);</w:t>
      </w:r>
      <w:r w:rsidRPr="001A01AB">
        <w:rPr>
          <w:rFonts w:ascii="Calibri" w:hAnsi="Calibri" w:cs="Calibri"/>
          <w:lang w:val="es-GT"/>
        </w:rPr>
        <w:t xml:space="preserve"> restaurar zona</w:t>
      </w:r>
      <w:r w:rsidR="00AA2ECD">
        <w:rPr>
          <w:rFonts w:ascii="Calibri" w:hAnsi="Calibri" w:cs="Calibri"/>
          <w:lang w:val="es-GT"/>
        </w:rPr>
        <w:t>s de recarga hídrica degradadas;</w:t>
      </w:r>
      <w:r w:rsidRPr="001A01AB">
        <w:rPr>
          <w:rFonts w:ascii="Calibri" w:hAnsi="Calibri" w:cs="Calibri"/>
          <w:lang w:val="es-GT"/>
        </w:rPr>
        <w:t xml:space="preserve"> evitar el cambio de uso de los bosques naturales (estabi</w:t>
      </w:r>
      <w:r w:rsidR="00AA2ECD">
        <w:rPr>
          <w:rFonts w:ascii="Calibri" w:hAnsi="Calibri" w:cs="Calibri"/>
          <w:lang w:val="es-GT"/>
        </w:rPr>
        <w:t>lizar frentes de deforestación);</w:t>
      </w:r>
      <w:r w:rsidRPr="001A01AB">
        <w:rPr>
          <w:rFonts w:ascii="Calibri" w:hAnsi="Calibri" w:cs="Calibri"/>
          <w:lang w:val="es-GT"/>
        </w:rPr>
        <w:t xml:space="preserve"> regular actividades productivas y urbaní</w:t>
      </w:r>
      <w:r w:rsidR="00AA2ECD">
        <w:rPr>
          <w:rFonts w:ascii="Calibri" w:hAnsi="Calibri" w:cs="Calibri"/>
          <w:lang w:val="es-GT"/>
        </w:rPr>
        <w:t>sticas en zonas marino costeras;</w:t>
      </w:r>
      <w:r w:rsidRPr="001A01AB">
        <w:rPr>
          <w:rFonts w:ascii="Calibri" w:hAnsi="Calibri" w:cs="Calibri"/>
          <w:lang w:val="es-GT"/>
        </w:rPr>
        <w:t xml:space="preserve"> mejorar los sistemas de producción agropecuaria para garantizar la producción de alimentos de ma</w:t>
      </w:r>
      <w:r w:rsidR="00AA2ECD">
        <w:rPr>
          <w:rFonts w:ascii="Calibri" w:hAnsi="Calibri" w:cs="Calibri"/>
          <w:lang w:val="es-GT"/>
        </w:rPr>
        <w:t>nera eficiente;</w:t>
      </w:r>
      <w:r w:rsidRPr="001A01AB">
        <w:rPr>
          <w:rFonts w:ascii="Calibri" w:hAnsi="Calibri" w:cs="Calibri"/>
          <w:lang w:val="es-GT"/>
        </w:rPr>
        <w:t xml:space="preserve"> impulsar el manejo adecuad</w:t>
      </w:r>
      <w:r w:rsidR="00775818">
        <w:rPr>
          <w:rFonts w:ascii="Calibri" w:hAnsi="Calibri" w:cs="Calibri"/>
          <w:lang w:val="es-GT"/>
        </w:rPr>
        <w:t>o de la tierra</w:t>
      </w:r>
      <w:r w:rsidR="00AA2ECD">
        <w:rPr>
          <w:rFonts w:ascii="Calibri" w:hAnsi="Calibri" w:cs="Calibri"/>
          <w:lang w:val="es-GT"/>
        </w:rPr>
        <w:t>;</w:t>
      </w:r>
      <w:r w:rsidR="00775818">
        <w:rPr>
          <w:rFonts w:ascii="Calibri" w:hAnsi="Calibri" w:cs="Calibri"/>
          <w:lang w:val="es-GT"/>
        </w:rPr>
        <w:t xml:space="preserve"> y adaptar las prá</w:t>
      </w:r>
      <w:r w:rsidRPr="001A01AB">
        <w:rPr>
          <w:rFonts w:ascii="Calibri" w:hAnsi="Calibri" w:cs="Calibri"/>
          <w:lang w:val="es-GT"/>
        </w:rPr>
        <w:t xml:space="preserve">cticas de manejo según las nuevas variables climáticas en cuencas </w:t>
      </w:r>
      <w:r w:rsidR="00AA2ECD">
        <w:rPr>
          <w:rFonts w:ascii="Calibri" w:hAnsi="Calibri" w:cs="Calibri"/>
          <w:lang w:val="es-GT"/>
        </w:rPr>
        <w:t>estratégicas para la producción;</w:t>
      </w:r>
      <w:r w:rsidRPr="001A01AB">
        <w:rPr>
          <w:rFonts w:ascii="Calibri" w:hAnsi="Calibri" w:cs="Calibri"/>
          <w:lang w:val="es-GT"/>
        </w:rPr>
        <w:t xml:space="preserve"> entre otros propósitos. </w:t>
      </w:r>
    </w:p>
    <w:p w:rsidR="001222D7" w:rsidRPr="001A01AB" w:rsidRDefault="001222D7" w:rsidP="00C470CE">
      <w:pPr>
        <w:ind w:left="720"/>
        <w:jc w:val="both"/>
        <w:rPr>
          <w:rFonts w:ascii="Calibri" w:hAnsi="Calibri" w:cs="Calibri"/>
          <w:lang w:val="es-GT"/>
        </w:rPr>
        <w:sectPr w:rsidR="001222D7" w:rsidRPr="001A01AB" w:rsidSect="00F92C0A">
          <w:pgSz w:w="12240" w:h="15840" w:code="1"/>
          <w:pgMar w:top="1440" w:right="1152" w:bottom="1440" w:left="1440" w:header="720" w:footer="720" w:gutter="0"/>
          <w:cols w:space="720"/>
          <w:docGrid w:linePitch="360"/>
        </w:sectPr>
      </w:pPr>
    </w:p>
    <w:p w:rsidR="007F6462" w:rsidRPr="00224B57" w:rsidRDefault="007F6462" w:rsidP="00224B57">
      <w:pPr>
        <w:spacing w:after="120"/>
        <w:jc w:val="center"/>
        <w:rPr>
          <w:rFonts w:ascii="Calibri" w:eastAsia="Calibri" w:hAnsi="Calibri" w:cs="Calibri"/>
          <w:b/>
          <w:color w:val="365F91"/>
          <w:sz w:val="22"/>
          <w:szCs w:val="22"/>
          <w:lang w:val="es-GT"/>
        </w:rPr>
      </w:pPr>
      <w:bookmarkStart w:id="67" w:name="_Toc347841239"/>
      <w:r w:rsidRPr="001A01AB">
        <w:rPr>
          <w:rFonts w:ascii="Calibri" w:eastAsia="Calibri" w:hAnsi="Calibri" w:cs="Calibri"/>
          <w:b/>
          <w:color w:val="365F91"/>
          <w:sz w:val="22"/>
          <w:szCs w:val="22"/>
          <w:lang w:val="es-GT"/>
        </w:rPr>
        <w:lastRenderedPageBreak/>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16</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Indicadores-señal de distinta</w:t>
      </w:r>
      <w:r w:rsidR="00DC4598">
        <w:rPr>
          <w:rFonts w:ascii="Calibri" w:eastAsia="Calibri" w:hAnsi="Calibri" w:cs="Calibri"/>
          <w:b/>
          <w:color w:val="365F91"/>
          <w:sz w:val="22"/>
          <w:szCs w:val="22"/>
          <w:lang w:val="es-GT"/>
        </w:rPr>
        <w:t>s</w:t>
      </w:r>
      <w:r w:rsidRPr="001A01AB">
        <w:rPr>
          <w:rFonts w:ascii="Calibri" w:eastAsia="Calibri" w:hAnsi="Calibri" w:cs="Calibri"/>
          <w:b/>
          <w:color w:val="365F91"/>
          <w:sz w:val="22"/>
          <w:szCs w:val="22"/>
          <w:lang w:val="es-GT"/>
        </w:rPr>
        <w:t xml:space="preserve"> acciones necesarias para enfrentar el cambio climático en Guatemala</w:t>
      </w:r>
      <w:bookmarkEnd w:id="67"/>
    </w:p>
    <w:p w:rsidR="007F6462" w:rsidRPr="001A01AB" w:rsidRDefault="00544A9F" w:rsidP="007F6462">
      <w:pPr>
        <w:jc w:val="center"/>
        <w:rPr>
          <w:rFonts w:ascii="Calibri" w:hAnsi="Calibri" w:cs="Calibri"/>
          <w:lang w:val="es-GT"/>
        </w:rPr>
      </w:pPr>
      <w:r>
        <w:rPr>
          <w:rFonts w:ascii="Calibri" w:hAnsi="Calibri" w:cs="Calibri"/>
          <w:noProof/>
          <w:lang w:val="es-GT" w:eastAsia="es-GT"/>
        </w:rPr>
        <w:drawing>
          <wp:inline distT="0" distB="0" distL="0" distR="0" wp14:anchorId="7894DA49" wp14:editId="0187238D">
            <wp:extent cx="7810500" cy="5124450"/>
            <wp:effectExtent l="0" t="0" r="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10500" cy="5124450"/>
                    </a:xfrm>
                    <a:prstGeom prst="rect">
                      <a:avLst/>
                    </a:prstGeom>
                    <a:noFill/>
                    <a:ln>
                      <a:noFill/>
                    </a:ln>
                  </pic:spPr>
                </pic:pic>
              </a:graphicData>
            </a:graphic>
          </wp:inline>
        </w:drawing>
      </w:r>
    </w:p>
    <w:p w:rsidR="007F6462" w:rsidRPr="001A01AB" w:rsidRDefault="00DC4598" w:rsidP="007F6462">
      <w:pPr>
        <w:ind w:left="360"/>
        <w:jc w:val="right"/>
        <w:rPr>
          <w:rFonts w:ascii="Calibri" w:hAnsi="Calibri" w:cs="Calibri"/>
          <w:lang w:val="es-GT"/>
        </w:rPr>
      </w:pPr>
      <w:r>
        <w:rPr>
          <w:rFonts w:ascii="Calibri" w:hAnsi="Calibri" w:cs="Calibri"/>
          <w:sz w:val="20"/>
          <w:lang w:val="es-GT"/>
        </w:rPr>
        <w:t>Fuente: IARNA-URL (</w:t>
      </w:r>
      <w:r w:rsidR="007F6462" w:rsidRPr="001A01AB">
        <w:rPr>
          <w:rFonts w:ascii="Calibri" w:hAnsi="Calibri" w:cs="Calibri"/>
          <w:sz w:val="20"/>
          <w:lang w:val="es-GT"/>
        </w:rPr>
        <w:t>2009</w:t>
      </w:r>
      <w:r>
        <w:rPr>
          <w:rFonts w:ascii="Calibri" w:hAnsi="Calibri" w:cs="Calibri"/>
          <w:sz w:val="20"/>
          <w:lang w:val="es-GT"/>
        </w:rPr>
        <w:t>)</w:t>
      </w:r>
      <w:r w:rsidR="007F6462" w:rsidRPr="001A01AB">
        <w:rPr>
          <w:rFonts w:ascii="Calibri" w:hAnsi="Calibri" w:cs="Calibri"/>
          <w:sz w:val="20"/>
          <w:lang w:val="es-GT"/>
        </w:rPr>
        <w:t>.</w:t>
      </w:r>
    </w:p>
    <w:p w:rsidR="007F6462" w:rsidRPr="001A01AB" w:rsidRDefault="007F6462" w:rsidP="007F6462">
      <w:pPr>
        <w:ind w:left="360"/>
        <w:jc w:val="both"/>
        <w:rPr>
          <w:rFonts w:ascii="Calibri" w:hAnsi="Calibri" w:cs="Calibri"/>
          <w:lang w:val="es-GT"/>
        </w:rPr>
        <w:sectPr w:rsidR="007F6462" w:rsidRPr="001A01AB" w:rsidSect="00F92C0A">
          <w:pgSz w:w="15840" w:h="12240" w:orient="landscape" w:code="1"/>
          <w:pgMar w:top="1440" w:right="1440" w:bottom="1152" w:left="1440" w:header="720" w:footer="720" w:gutter="0"/>
          <w:cols w:space="720"/>
          <w:docGrid w:linePitch="360"/>
        </w:sectPr>
      </w:pPr>
    </w:p>
    <w:p w:rsidR="007F6462" w:rsidRPr="001A01AB" w:rsidRDefault="007F6462" w:rsidP="007F6462">
      <w:pPr>
        <w:jc w:val="both"/>
        <w:rPr>
          <w:rFonts w:ascii="Calibri" w:hAnsi="Calibri" w:cs="Calibri"/>
          <w:b/>
          <w:sz w:val="2"/>
          <w:szCs w:val="2"/>
          <w:lang w:val="es-GT"/>
        </w:rPr>
      </w:pPr>
    </w:p>
    <w:p w:rsidR="00DC5730" w:rsidRDefault="006A0601" w:rsidP="00B45CCC">
      <w:pPr>
        <w:pStyle w:val="Prrafodelista"/>
        <w:numPr>
          <w:ilvl w:val="2"/>
          <w:numId w:val="51"/>
        </w:numPr>
        <w:spacing w:after="120"/>
        <w:rPr>
          <w:rFonts w:cs="Calibri"/>
          <w:b/>
          <w:i/>
          <w:color w:val="365F91"/>
          <w:sz w:val="24"/>
          <w:szCs w:val="24"/>
        </w:rPr>
      </w:pPr>
      <w:bookmarkStart w:id="68" w:name="_Toc336951318"/>
      <w:r w:rsidRPr="001A01AB">
        <w:rPr>
          <w:rFonts w:cs="Calibri"/>
          <w:b/>
          <w:i/>
          <w:color w:val="365F91"/>
          <w:sz w:val="24"/>
          <w:szCs w:val="24"/>
        </w:rPr>
        <w:t>Sub-</w:t>
      </w:r>
      <w:r w:rsidR="00220D4B" w:rsidRPr="001A01AB">
        <w:rPr>
          <w:rFonts w:cs="Calibri"/>
          <w:b/>
          <w:i/>
          <w:color w:val="365F91"/>
          <w:sz w:val="24"/>
          <w:szCs w:val="24"/>
        </w:rPr>
        <w:t>s</w:t>
      </w:r>
      <w:r w:rsidRPr="001A01AB">
        <w:rPr>
          <w:rFonts w:cs="Calibri"/>
          <w:b/>
          <w:i/>
          <w:color w:val="365F91"/>
          <w:sz w:val="24"/>
          <w:szCs w:val="24"/>
        </w:rPr>
        <w:t xml:space="preserve">istema </w:t>
      </w:r>
      <w:r w:rsidR="00DC4598">
        <w:rPr>
          <w:rFonts w:cs="Calibri"/>
          <w:b/>
          <w:i/>
          <w:color w:val="365F91"/>
          <w:sz w:val="24"/>
          <w:szCs w:val="24"/>
        </w:rPr>
        <w:t>s</w:t>
      </w:r>
      <w:r w:rsidRPr="001A01AB">
        <w:rPr>
          <w:rFonts w:cs="Calibri"/>
          <w:b/>
          <w:i/>
          <w:color w:val="365F91"/>
          <w:sz w:val="24"/>
          <w:szCs w:val="24"/>
        </w:rPr>
        <w:t>ocial</w:t>
      </w:r>
      <w:bookmarkEnd w:id="68"/>
    </w:p>
    <w:p w:rsidR="006A0601" w:rsidRPr="0093248E" w:rsidRDefault="006A0601" w:rsidP="00DC5730">
      <w:pPr>
        <w:ind w:left="360"/>
        <w:jc w:val="both"/>
        <w:rPr>
          <w:rFonts w:ascii="Calibri" w:hAnsi="Calibri" w:cs="Calibri"/>
          <w:sz w:val="20"/>
          <w:lang w:val="es-GT"/>
        </w:rPr>
      </w:pPr>
    </w:p>
    <w:p w:rsidR="007F6462" w:rsidRPr="001A01AB" w:rsidRDefault="00523BC1" w:rsidP="00B45CCC">
      <w:pPr>
        <w:pStyle w:val="Prrafodelista"/>
        <w:numPr>
          <w:ilvl w:val="3"/>
          <w:numId w:val="51"/>
        </w:numPr>
        <w:jc w:val="both"/>
        <w:rPr>
          <w:rFonts w:cs="Calibri"/>
          <w:b/>
          <w:color w:val="365F91"/>
        </w:rPr>
      </w:pPr>
      <w:r>
        <w:rPr>
          <w:rFonts w:cs="Calibri"/>
          <w:b/>
          <w:color w:val="365F91"/>
        </w:rPr>
        <w:t xml:space="preserve"> </w:t>
      </w:r>
      <w:r w:rsidR="00EF33A0" w:rsidRPr="001A01AB">
        <w:rPr>
          <w:rFonts w:cs="Calibri"/>
          <w:b/>
          <w:color w:val="365F91"/>
        </w:rPr>
        <w:t>Descripción general</w:t>
      </w:r>
    </w:p>
    <w:p w:rsidR="00B859ED" w:rsidRPr="00775818" w:rsidRDefault="00ED542B" w:rsidP="00DC4598">
      <w:pPr>
        <w:pStyle w:val="Sinespaciado"/>
        <w:ind w:left="360"/>
        <w:jc w:val="both"/>
        <w:rPr>
          <w:rFonts w:cs="Arial"/>
          <w:sz w:val="24"/>
          <w:szCs w:val="24"/>
        </w:rPr>
      </w:pPr>
      <w:r w:rsidRPr="00775818">
        <w:rPr>
          <w:rFonts w:cs="Arial"/>
          <w:sz w:val="24"/>
          <w:szCs w:val="24"/>
        </w:rPr>
        <w:t xml:space="preserve">El sub-sistema social </w:t>
      </w:r>
      <w:r w:rsidR="00B859ED" w:rsidRPr="00775818">
        <w:rPr>
          <w:rFonts w:cs="Arial"/>
          <w:sz w:val="24"/>
          <w:szCs w:val="24"/>
        </w:rPr>
        <w:t>definido en sentido</w:t>
      </w:r>
      <w:r w:rsidRPr="00775818">
        <w:rPr>
          <w:rFonts w:cs="Arial"/>
          <w:sz w:val="24"/>
          <w:szCs w:val="24"/>
        </w:rPr>
        <w:t xml:space="preserve"> </w:t>
      </w:r>
      <w:r w:rsidR="00DC4598">
        <w:rPr>
          <w:rFonts w:cs="Arial"/>
          <w:sz w:val="24"/>
          <w:szCs w:val="24"/>
        </w:rPr>
        <w:t xml:space="preserve">amplio, incluye variables de </w:t>
      </w:r>
      <w:r w:rsidR="00B859ED" w:rsidRPr="00775818">
        <w:rPr>
          <w:rFonts w:cs="Arial"/>
          <w:sz w:val="24"/>
          <w:szCs w:val="24"/>
        </w:rPr>
        <w:t>calidad de</w:t>
      </w:r>
      <w:r w:rsidR="00DC4598">
        <w:rPr>
          <w:rFonts w:cs="Arial"/>
          <w:sz w:val="24"/>
          <w:szCs w:val="24"/>
        </w:rPr>
        <w:t xml:space="preserve"> </w:t>
      </w:r>
      <w:r w:rsidR="00B859ED" w:rsidRPr="00775818">
        <w:rPr>
          <w:rFonts w:cs="Arial"/>
          <w:sz w:val="24"/>
          <w:szCs w:val="24"/>
        </w:rPr>
        <w:t>vida</w:t>
      </w:r>
      <w:r w:rsidRPr="00775818">
        <w:rPr>
          <w:rFonts w:cs="Arial"/>
          <w:sz w:val="24"/>
          <w:szCs w:val="24"/>
        </w:rPr>
        <w:t xml:space="preserve">, principalmente de </w:t>
      </w:r>
      <w:r w:rsidR="00B859ED" w:rsidRPr="00775818">
        <w:rPr>
          <w:rFonts w:cs="Arial"/>
          <w:sz w:val="24"/>
          <w:szCs w:val="24"/>
        </w:rPr>
        <w:t>satisfacción de las necesidades materiales</w:t>
      </w:r>
      <w:r w:rsidRPr="00775818">
        <w:rPr>
          <w:rFonts w:cs="Arial"/>
          <w:sz w:val="24"/>
          <w:szCs w:val="24"/>
        </w:rPr>
        <w:t xml:space="preserve"> </w:t>
      </w:r>
      <w:r w:rsidR="00B859ED" w:rsidRPr="00775818">
        <w:rPr>
          <w:rFonts w:cs="Arial"/>
          <w:sz w:val="24"/>
          <w:szCs w:val="24"/>
        </w:rPr>
        <w:t>y no materiales del ser humano, de</w:t>
      </w:r>
      <w:r w:rsidRPr="00775818">
        <w:rPr>
          <w:rFonts w:cs="Arial"/>
          <w:sz w:val="24"/>
          <w:szCs w:val="24"/>
        </w:rPr>
        <w:t xml:space="preserve"> </w:t>
      </w:r>
      <w:r w:rsidR="00B859ED" w:rsidRPr="00775818">
        <w:rPr>
          <w:rFonts w:cs="Arial"/>
          <w:sz w:val="24"/>
          <w:szCs w:val="24"/>
        </w:rPr>
        <w:t>la renta y su distribución, y de los aspectos</w:t>
      </w:r>
      <w:r w:rsidRPr="00775818">
        <w:rPr>
          <w:rFonts w:cs="Arial"/>
          <w:sz w:val="24"/>
          <w:szCs w:val="24"/>
        </w:rPr>
        <w:t xml:space="preserve"> </w:t>
      </w:r>
      <w:r w:rsidR="00DC4598">
        <w:rPr>
          <w:rFonts w:cs="Arial"/>
          <w:sz w:val="24"/>
          <w:szCs w:val="24"/>
        </w:rPr>
        <w:t>demográficos (</w:t>
      </w:r>
      <w:r w:rsidR="00B859ED" w:rsidRPr="00775818">
        <w:rPr>
          <w:rFonts w:cs="Arial"/>
          <w:sz w:val="24"/>
          <w:szCs w:val="24"/>
        </w:rPr>
        <w:t>IARNA</w:t>
      </w:r>
      <w:r w:rsidR="00DC4598">
        <w:rPr>
          <w:rFonts w:cs="Arial"/>
          <w:sz w:val="24"/>
          <w:szCs w:val="24"/>
        </w:rPr>
        <w:t>-URL</w:t>
      </w:r>
      <w:r w:rsidR="00B859ED" w:rsidRPr="00775818">
        <w:rPr>
          <w:rFonts w:cs="Arial"/>
          <w:sz w:val="24"/>
          <w:szCs w:val="24"/>
        </w:rPr>
        <w:t>, 2009</w:t>
      </w:r>
      <w:r w:rsidR="00B859ED" w:rsidRPr="00DC4598">
        <w:rPr>
          <w:rFonts w:cs="Arial"/>
          <w:sz w:val="24"/>
          <w:szCs w:val="24"/>
          <w:highlight w:val="magenta"/>
        </w:rPr>
        <w:t>a</w:t>
      </w:r>
      <w:r w:rsidR="00B859ED" w:rsidRPr="00775818">
        <w:rPr>
          <w:rFonts w:cs="Arial"/>
          <w:sz w:val="24"/>
          <w:szCs w:val="24"/>
        </w:rPr>
        <w:t>).</w:t>
      </w:r>
    </w:p>
    <w:p w:rsidR="00B859ED" w:rsidRPr="00775818" w:rsidRDefault="00B859ED" w:rsidP="00B859ED">
      <w:pPr>
        <w:pStyle w:val="Sinespaciado"/>
        <w:ind w:left="360"/>
        <w:jc w:val="both"/>
        <w:rPr>
          <w:rFonts w:cs="Arial"/>
          <w:sz w:val="24"/>
          <w:szCs w:val="24"/>
        </w:rPr>
      </w:pPr>
    </w:p>
    <w:p w:rsidR="00141A70" w:rsidRPr="001A01AB" w:rsidRDefault="00141A70" w:rsidP="00141A70">
      <w:pPr>
        <w:ind w:left="360"/>
        <w:jc w:val="both"/>
        <w:rPr>
          <w:rFonts w:ascii="Calibri" w:hAnsi="Calibri" w:cs="Calibri"/>
          <w:lang w:val="es-GT"/>
        </w:rPr>
      </w:pPr>
      <w:r w:rsidRPr="00775818">
        <w:rPr>
          <w:rFonts w:ascii="Calibri" w:hAnsi="Calibri" w:cs="Calibri"/>
          <w:lang w:val="es-GT"/>
        </w:rPr>
        <w:t>La población es una importante fuerza motriz que lleva al aumento de la demanda de alimentos, agua y energía y ejerce alta presión sobre los bienes naturales. Entre 1900 al año 2000 la población de Guatemala se incrementó 12.7 veces</w:t>
      </w:r>
      <w:r w:rsidR="00DC4598">
        <w:rPr>
          <w:rFonts w:ascii="Calibri" w:hAnsi="Calibri" w:cs="Calibri"/>
          <w:lang w:val="es-GT"/>
        </w:rPr>
        <w:t>. Pasó d</w:t>
      </w:r>
      <w:r w:rsidR="005079FC" w:rsidRPr="00775818">
        <w:rPr>
          <w:rFonts w:ascii="Calibri" w:hAnsi="Calibri" w:cs="Calibri"/>
          <w:lang w:val="es-GT"/>
        </w:rPr>
        <w:t>e</w:t>
      </w:r>
      <w:r w:rsidRPr="00775818">
        <w:rPr>
          <w:rFonts w:ascii="Calibri" w:hAnsi="Calibri" w:cs="Calibri"/>
          <w:lang w:val="es-GT"/>
        </w:rPr>
        <w:t xml:space="preserve"> una población estimada en 0.8 millones a inicios del siglo XX, a casi 2.8 millones de habitantes en 1950 y cerca de 13.5 millones de habitantes en 2008. Para julio del 2011, se calculan los 14 millones, con una</w:t>
      </w:r>
      <w:r w:rsidRPr="001A01AB">
        <w:rPr>
          <w:rFonts w:ascii="Calibri" w:hAnsi="Calibri" w:cs="Calibri"/>
          <w:lang w:val="es-GT"/>
        </w:rPr>
        <w:t xml:space="preserve"> distribución de 38.1% (0-14 años), 58% (15-64 años) y del 3.9% (65 años a más) (INE, 2012).</w:t>
      </w:r>
    </w:p>
    <w:p w:rsidR="00141A70" w:rsidRDefault="00141A70" w:rsidP="00141A70">
      <w:pPr>
        <w:ind w:left="360"/>
        <w:jc w:val="both"/>
        <w:rPr>
          <w:rFonts w:ascii="Calibri" w:hAnsi="Calibri" w:cs="Calibri"/>
          <w:lang w:val="es-GT"/>
        </w:rPr>
      </w:pPr>
    </w:p>
    <w:p w:rsidR="00141A70" w:rsidRPr="001A01AB" w:rsidRDefault="00DC4598" w:rsidP="00141A70">
      <w:pPr>
        <w:ind w:left="360"/>
        <w:jc w:val="both"/>
        <w:rPr>
          <w:rFonts w:ascii="Calibri" w:hAnsi="Calibri" w:cs="Calibri"/>
          <w:lang w:val="es-GT"/>
        </w:rPr>
      </w:pPr>
      <w:r>
        <w:rPr>
          <w:rFonts w:ascii="Calibri" w:hAnsi="Calibri" w:cs="Calibri"/>
          <w:lang w:val="es-GT"/>
        </w:rPr>
        <w:t>E</w:t>
      </w:r>
      <w:r w:rsidR="00141A70" w:rsidRPr="001A01AB">
        <w:rPr>
          <w:rFonts w:ascii="Calibri" w:hAnsi="Calibri" w:cs="Calibri"/>
          <w:lang w:val="es-GT"/>
        </w:rPr>
        <w:t xml:space="preserve">l </w:t>
      </w:r>
      <w:r w:rsidR="00141A70" w:rsidRPr="00DC4598">
        <w:rPr>
          <w:rFonts w:ascii="Calibri" w:hAnsi="Calibri" w:cs="Calibri"/>
          <w:i/>
          <w:lang w:val="es-GT"/>
        </w:rPr>
        <w:t>Informe Ambiental del Estado - GEO Guatemala</w:t>
      </w:r>
      <w:r w:rsidR="00141A70" w:rsidRPr="001A01AB">
        <w:rPr>
          <w:rFonts w:ascii="Calibri" w:hAnsi="Calibri" w:cs="Calibri"/>
          <w:lang w:val="es-GT"/>
        </w:rPr>
        <w:t xml:space="preserve"> (</w:t>
      </w:r>
      <w:r>
        <w:rPr>
          <w:rFonts w:ascii="Calibri" w:hAnsi="Calibri" w:cs="Calibri"/>
          <w:lang w:val="es-GT"/>
        </w:rPr>
        <w:t>MARN, IARNA-URL y PNUMA, 2009)</w:t>
      </w:r>
      <w:r w:rsidR="00141A70" w:rsidRPr="001A01AB">
        <w:rPr>
          <w:rFonts w:ascii="Calibri" w:hAnsi="Calibri" w:cs="Calibri"/>
          <w:lang w:val="es-GT"/>
        </w:rPr>
        <w:t xml:space="preserve"> reporta que Guatemala tiene una densidad poblacional de 103 hab/km</w:t>
      </w:r>
      <w:r w:rsidR="00141A70" w:rsidRPr="001A01AB">
        <w:rPr>
          <w:rFonts w:ascii="Calibri" w:hAnsi="Calibri" w:cs="Calibri"/>
          <w:vertAlign w:val="superscript"/>
          <w:lang w:val="es-GT"/>
        </w:rPr>
        <w:t>2</w:t>
      </w:r>
      <w:r w:rsidR="00141A70" w:rsidRPr="001A01AB">
        <w:rPr>
          <w:rFonts w:ascii="Calibri" w:hAnsi="Calibri" w:cs="Calibri"/>
          <w:lang w:val="es-GT"/>
        </w:rPr>
        <w:t xml:space="preserve"> </w:t>
      </w:r>
      <w:r w:rsidR="000C27D7">
        <w:rPr>
          <w:rFonts w:ascii="Calibri" w:hAnsi="Calibri" w:cs="Calibri"/>
          <w:lang w:val="es-GT"/>
        </w:rPr>
        <w:t xml:space="preserve">(Figura 17). </w:t>
      </w:r>
      <w:r w:rsidR="00141A70" w:rsidRPr="001A01AB">
        <w:rPr>
          <w:rFonts w:ascii="Calibri" w:hAnsi="Calibri" w:cs="Calibri"/>
          <w:lang w:val="es-GT"/>
        </w:rPr>
        <w:t xml:space="preserve">Se estima una tasa de crecimiento de 1.95%. La distribución por sexo es aproximadamente del 50% para hombres y 50% para mujeres. Con base </w:t>
      </w:r>
      <w:r>
        <w:rPr>
          <w:rFonts w:ascii="Calibri" w:hAnsi="Calibri" w:cs="Calibri"/>
          <w:lang w:val="es-GT"/>
        </w:rPr>
        <w:t>en</w:t>
      </w:r>
      <w:r w:rsidR="00141A70" w:rsidRPr="001A01AB">
        <w:rPr>
          <w:rFonts w:ascii="Calibri" w:hAnsi="Calibri" w:cs="Calibri"/>
          <w:lang w:val="es-GT"/>
        </w:rPr>
        <w:t xml:space="preserve"> la dinámica </w:t>
      </w:r>
      <w:r>
        <w:rPr>
          <w:rFonts w:ascii="Calibri" w:hAnsi="Calibri" w:cs="Calibri"/>
          <w:lang w:val="es-GT"/>
        </w:rPr>
        <w:t>de</w:t>
      </w:r>
      <w:r w:rsidRPr="001A01AB">
        <w:rPr>
          <w:rFonts w:ascii="Calibri" w:hAnsi="Calibri" w:cs="Calibri"/>
          <w:lang w:val="es-GT"/>
        </w:rPr>
        <w:t xml:space="preserve"> las últimas décadas</w:t>
      </w:r>
      <w:r>
        <w:rPr>
          <w:rFonts w:ascii="Calibri" w:hAnsi="Calibri" w:cs="Calibri"/>
          <w:lang w:val="es-GT"/>
        </w:rPr>
        <w:t>,</w:t>
      </w:r>
      <w:r w:rsidR="00141A70" w:rsidRPr="001A01AB">
        <w:rPr>
          <w:rFonts w:ascii="Calibri" w:hAnsi="Calibri" w:cs="Calibri"/>
          <w:lang w:val="es-GT"/>
        </w:rPr>
        <w:t xml:space="preserve"> la población ha mostrado una tendencia creciente a la urbanización, </w:t>
      </w:r>
      <w:r>
        <w:rPr>
          <w:rFonts w:ascii="Calibri" w:hAnsi="Calibri" w:cs="Calibri"/>
          <w:lang w:val="es-GT"/>
        </w:rPr>
        <w:t>por lo que l</w:t>
      </w:r>
      <w:r w:rsidR="00141A70" w:rsidRPr="001A01AB">
        <w:rPr>
          <w:rFonts w:ascii="Calibri" w:hAnsi="Calibri" w:cs="Calibri"/>
          <w:lang w:val="es-GT"/>
        </w:rPr>
        <w:t>a Comisión Económica para América Latina y el Caribe (CEPAL) estima que en los próximos 40 años la población del país duplicará la población actual, llegando a 28 millones de habitantes en el 2050 (MARN, IARNA-URL y PNUMA, 2009).</w:t>
      </w:r>
    </w:p>
    <w:p w:rsidR="00141A70" w:rsidRPr="001A01AB" w:rsidRDefault="00141A70" w:rsidP="00141A70">
      <w:pPr>
        <w:ind w:left="360"/>
        <w:jc w:val="both"/>
        <w:rPr>
          <w:rFonts w:ascii="Calibri" w:hAnsi="Calibri" w:cs="Calibri"/>
          <w:lang w:val="es-GT"/>
        </w:rPr>
      </w:pPr>
    </w:p>
    <w:p w:rsidR="00141A70" w:rsidRPr="001A01AB" w:rsidRDefault="00141A70" w:rsidP="00141A70">
      <w:pPr>
        <w:ind w:left="360"/>
        <w:jc w:val="both"/>
        <w:rPr>
          <w:rFonts w:ascii="Calibri" w:hAnsi="Calibri" w:cs="Calibri"/>
          <w:lang w:val="es-GT"/>
        </w:rPr>
      </w:pPr>
      <w:r w:rsidRPr="001A01AB">
        <w:rPr>
          <w:rFonts w:ascii="Calibri" w:hAnsi="Calibri" w:cs="Calibri"/>
          <w:lang w:val="es-GT"/>
        </w:rPr>
        <w:t>Según el Consejo Indígena de Centroamérica (CICA), Guatemala contiene más del 75% de la población originaria en la región. En 2002, el 41% de la población guatemalteca se auto identificó como indígena (maya, garífuna o xinka) y el 59% restante se identificó como ladina o mestiza, proporción estable en las últimas décadas.</w:t>
      </w:r>
    </w:p>
    <w:p w:rsidR="00141A70" w:rsidRPr="001A01AB" w:rsidRDefault="00141A70" w:rsidP="00141A70">
      <w:pPr>
        <w:ind w:left="360"/>
        <w:jc w:val="both"/>
        <w:rPr>
          <w:rFonts w:ascii="Calibri" w:hAnsi="Calibri" w:cs="Calibri"/>
          <w:lang w:val="es-GT"/>
        </w:rPr>
      </w:pPr>
    </w:p>
    <w:p w:rsidR="00141A70" w:rsidRPr="001A01AB" w:rsidRDefault="00141A70" w:rsidP="00141A70">
      <w:pPr>
        <w:ind w:left="360"/>
        <w:jc w:val="both"/>
        <w:rPr>
          <w:rFonts w:ascii="Calibri" w:hAnsi="Calibri" w:cs="Calibri"/>
          <w:lang w:val="es-GT"/>
        </w:rPr>
      </w:pPr>
      <w:r w:rsidRPr="001A01AB">
        <w:rPr>
          <w:rFonts w:ascii="Calibri" w:hAnsi="Calibri" w:cs="Calibri"/>
          <w:lang w:val="es-GT"/>
        </w:rPr>
        <w:t>En lo relacionado a la pobreza y calidad de vida, la situación de falta de acceso a tierras agrícolas de calidad para la gran mayoría de la población más pobre del país, limita las posibilidades de intensificación del uso de las tierras y favorece un uso extensivo y especulativo de la misma. Se considera que valores mayores de 0.5 del coeficiente de Gini, aplicado a la distribución de la tierra, reflejan altos niveles de concentración y están asociados con bajos crecimientos del PIB.</w:t>
      </w:r>
    </w:p>
    <w:p w:rsidR="00141A70" w:rsidRPr="001A01AB" w:rsidRDefault="00141A70" w:rsidP="00141A70">
      <w:pPr>
        <w:ind w:left="360"/>
        <w:jc w:val="both"/>
        <w:rPr>
          <w:rFonts w:ascii="Calibri" w:hAnsi="Calibri" w:cs="Calibri"/>
          <w:lang w:val="es-GT"/>
        </w:rPr>
      </w:pPr>
    </w:p>
    <w:p w:rsidR="00141A70" w:rsidRDefault="00141A70" w:rsidP="00141A70">
      <w:pPr>
        <w:ind w:left="360"/>
        <w:jc w:val="both"/>
        <w:rPr>
          <w:rFonts w:ascii="Calibri" w:hAnsi="Calibri" w:cs="Calibri"/>
          <w:lang w:val="es-GT"/>
        </w:rPr>
      </w:pPr>
      <w:r w:rsidRPr="001A01AB">
        <w:rPr>
          <w:rFonts w:ascii="Calibri" w:hAnsi="Calibri" w:cs="Calibri"/>
          <w:lang w:val="es-GT"/>
        </w:rPr>
        <w:t xml:space="preserve">En el tema de salud, la expectativa o esperanza de vida al nacer es de 71.17 años para la población total. En el caso de los hombres es de 69.29 años y para mujeres </w:t>
      </w:r>
      <w:r w:rsidR="00DC4598">
        <w:rPr>
          <w:rFonts w:ascii="Calibri" w:hAnsi="Calibri" w:cs="Calibri"/>
          <w:lang w:val="es-GT"/>
        </w:rPr>
        <w:t>de 73.14 años.</w:t>
      </w:r>
      <w:r w:rsidRPr="001A01AB">
        <w:rPr>
          <w:rFonts w:ascii="Calibri" w:hAnsi="Calibri" w:cs="Calibri"/>
          <w:lang w:val="es-GT"/>
        </w:rPr>
        <w:t xml:space="preserve"> </w:t>
      </w:r>
      <w:r w:rsidR="00DC4598">
        <w:rPr>
          <w:rFonts w:ascii="Calibri" w:hAnsi="Calibri" w:cs="Calibri"/>
          <w:lang w:val="es-GT"/>
        </w:rPr>
        <w:t>L</w:t>
      </w:r>
      <w:r w:rsidRPr="001A01AB">
        <w:rPr>
          <w:rFonts w:ascii="Calibri" w:hAnsi="Calibri" w:cs="Calibri"/>
          <w:lang w:val="es-GT"/>
        </w:rPr>
        <w:t xml:space="preserve">a tasa de natalidad </w:t>
      </w:r>
      <w:r w:rsidR="00DC4598">
        <w:rPr>
          <w:rFonts w:ascii="Calibri" w:hAnsi="Calibri" w:cs="Calibri"/>
          <w:lang w:val="es-GT"/>
        </w:rPr>
        <w:t xml:space="preserve">es </w:t>
      </w:r>
      <w:r w:rsidRPr="001A01AB">
        <w:rPr>
          <w:rFonts w:ascii="Calibri" w:hAnsi="Calibri" w:cs="Calibri"/>
          <w:lang w:val="es-GT"/>
        </w:rPr>
        <w:t xml:space="preserve">de 26.48 nacimientos/1000 habitantes, </w:t>
      </w:r>
      <w:r w:rsidR="00DC4598">
        <w:rPr>
          <w:rFonts w:ascii="Calibri" w:hAnsi="Calibri" w:cs="Calibri"/>
          <w:lang w:val="es-GT"/>
        </w:rPr>
        <w:t>l</w:t>
      </w:r>
      <w:r w:rsidRPr="001A01AB">
        <w:rPr>
          <w:rFonts w:ascii="Calibri" w:hAnsi="Calibri" w:cs="Calibri"/>
          <w:lang w:val="es-GT"/>
        </w:rPr>
        <w:t>a tasa de mortalidad de 4</w:t>
      </w:r>
      <w:r w:rsidR="00DC4598">
        <w:rPr>
          <w:rFonts w:ascii="Calibri" w:hAnsi="Calibri" w:cs="Calibri"/>
          <w:lang w:val="es-GT"/>
        </w:rPr>
        <w:t>.92 muertes/1000 habitantes, l</w:t>
      </w:r>
      <w:r w:rsidRPr="001A01AB">
        <w:rPr>
          <w:rFonts w:ascii="Calibri" w:hAnsi="Calibri" w:cs="Calibri"/>
          <w:lang w:val="es-GT"/>
        </w:rPr>
        <w:t>a tasa de mortali</w:t>
      </w:r>
      <w:r w:rsidR="00DC4598">
        <w:rPr>
          <w:rFonts w:ascii="Calibri" w:hAnsi="Calibri" w:cs="Calibri"/>
          <w:lang w:val="es-GT"/>
        </w:rPr>
        <w:t>dad infantil de 25.16 muertes/1</w:t>
      </w:r>
      <w:r w:rsidRPr="001A01AB">
        <w:rPr>
          <w:rFonts w:ascii="Calibri" w:hAnsi="Calibri" w:cs="Calibri"/>
          <w:lang w:val="es-GT"/>
        </w:rPr>
        <w:t xml:space="preserve">000 nacimientos, </w:t>
      </w:r>
      <w:r w:rsidR="00DC4598">
        <w:rPr>
          <w:rFonts w:ascii="Calibri" w:hAnsi="Calibri" w:cs="Calibri"/>
          <w:lang w:val="es-GT"/>
        </w:rPr>
        <w:t>l</w:t>
      </w:r>
      <w:r w:rsidRPr="001A01AB">
        <w:rPr>
          <w:rFonts w:ascii="Calibri" w:hAnsi="Calibri" w:cs="Calibri"/>
          <w:lang w:val="es-GT"/>
        </w:rPr>
        <w:t>a tasa de mortalidad materna de 110 muertes</w:t>
      </w:r>
      <w:r w:rsidR="00AC1FAC">
        <w:rPr>
          <w:rFonts w:ascii="Calibri" w:hAnsi="Calibri" w:cs="Calibri"/>
          <w:lang w:val="es-GT"/>
        </w:rPr>
        <w:t>/100,000 niños vivos (2008) y l</w:t>
      </w:r>
      <w:r w:rsidRPr="001A01AB">
        <w:rPr>
          <w:rFonts w:ascii="Calibri" w:hAnsi="Calibri" w:cs="Calibri"/>
          <w:lang w:val="es-GT"/>
        </w:rPr>
        <w:t xml:space="preserve">a tasa de migración neta de </w:t>
      </w:r>
      <w:r w:rsidR="00AC1FAC">
        <w:rPr>
          <w:rFonts w:ascii="Calibri" w:hAnsi="Calibri" w:cs="Calibri"/>
          <w:lang w:val="es-GT"/>
        </w:rPr>
        <w:t xml:space="preserve">es de </w:t>
      </w:r>
      <w:r w:rsidRPr="001A01AB">
        <w:rPr>
          <w:rFonts w:ascii="Calibri" w:hAnsi="Calibri" w:cs="Calibri"/>
          <w:lang w:val="es-GT"/>
        </w:rPr>
        <w:t>(-2.08)/1,000 habitantes. Asimismo, se presenta una tasa de incidencia de VIH/SIDA en la población adulta de 0.8% (2009), con un número de 62,000 habitantes infectados y un total de 2,6</w:t>
      </w:r>
      <w:r w:rsidR="00DC4598">
        <w:rPr>
          <w:rFonts w:ascii="Calibri" w:hAnsi="Calibri" w:cs="Calibri"/>
          <w:lang w:val="es-GT"/>
        </w:rPr>
        <w:t>00 muertes reportadas</w:t>
      </w:r>
      <w:r w:rsidRPr="001A01AB">
        <w:rPr>
          <w:rFonts w:ascii="Calibri" w:hAnsi="Calibri" w:cs="Calibri"/>
          <w:lang w:val="es-GT"/>
        </w:rPr>
        <w:t xml:space="preserve"> (Index</w:t>
      </w:r>
      <w:r w:rsidR="00775818">
        <w:rPr>
          <w:rFonts w:ascii="Calibri" w:hAnsi="Calibri" w:cs="Calibri"/>
          <w:lang w:val="es-GT"/>
        </w:rPr>
        <w:t xml:space="preserve"> </w:t>
      </w:r>
      <w:r w:rsidRPr="001A01AB">
        <w:rPr>
          <w:rFonts w:ascii="Calibri" w:hAnsi="Calibri" w:cs="Calibri"/>
          <w:lang w:val="es-GT"/>
        </w:rPr>
        <w:t>Mundi, 2012).</w:t>
      </w:r>
    </w:p>
    <w:p w:rsidR="0093248E" w:rsidRPr="00224B57" w:rsidRDefault="0093248E" w:rsidP="00224B57">
      <w:pPr>
        <w:spacing w:after="120"/>
        <w:jc w:val="center"/>
        <w:rPr>
          <w:rFonts w:ascii="Calibri" w:eastAsia="Calibri" w:hAnsi="Calibri" w:cs="Calibri"/>
          <w:b/>
          <w:color w:val="365F91"/>
          <w:sz w:val="22"/>
          <w:szCs w:val="22"/>
          <w:lang w:val="es-GT"/>
        </w:rPr>
      </w:pPr>
      <w:bookmarkStart w:id="69" w:name="_Toc347841240"/>
      <w:r w:rsidRPr="001A01AB">
        <w:rPr>
          <w:rFonts w:ascii="Calibri" w:eastAsia="Calibri" w:hAnsi="Calibri" w:cs="Calibri"/>
          <w:b/>
          <w:color w:val="365F91"/>
          <w:sz w:val="22"/>
          <w:szCs w:val="22"/>
          <w:lang w:val="es-GT"/>
        </w:rPr>
        <w:lastRenderedPageBreak/>
        <w:t xml:space="preserve">Figura </w:t>
      </w:r>
      <w:r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17</w:t>
      </w:r>
      <w:r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xml:space="preserve">. </w:t>
      </w:r>
      <w:r>
        <w:rPr>
          <w:rFonts w:ascii="Calibri" w:eastAsia="Calibri" w:hAnsi="Calibri" w:cs="Calibri"/>
          <w:b/>
          <w:color w:val="365F91"/>
          <w:sz w:val="22"/>
          <w:szCs w:val="22"/>
          <w:lang w:val="es-GT"/>
        </w:rPr>
        <w:t xml:space="preserve">Mapa de </w:t>
      </w:r>
      <w:r w:rsidR="00AC1FAC">
        <w:rPr>
          <w:rFonts w:ascii="Calibri" w:eastAsia="Calibri" w:hAnsi="Calibri" w:cs="Calibri"/>
          <w:b/>
          <w:color w:val="365F91"/>
          <w:sz w:val="22"/>
          <w:szCs w:val="22"/>
          <w:lang w:val="es-GT"/>
        </w:rPr>
        <w:t>densidad poblacional</w:t>
      </w:r>
      <w:r w:rsidR="00AC1FAC" w:rsidRPr="001A01AB">
        <w:rPr>
          <w:rFonts w:ascii="Calibri" w:eastAsia="Calibri" w:hAnsi="Calibri" w:cs="Calibri"/>
          <w:b/>
          <w:color w:val="365F91"/>
          <w:sz w:val="22"/>
          <w:szCs w:val="22"/>
          <w:lang w:val="es-GT"/>
        </w:rPr>
        <w:t xml:space="preserve"> </w:t>
      </w:r>
      <w:r w:rsidRPr="001A01AB">
        <w:rPr>
          <w:rFonts w:ascii="Calibri" w:eastAsia="Calibri" w:hAnsi="Calibri" w:cs="Calibri"/>
          <w:b/>
          <w:color w:val="365F91"/>
          <w:sz w:val="22"/>
          <w:szCs w:val="22"/>
          <w:lang w:val="es-GT"/>
        </w:rPr>
        <w:t>en Guatemala</w:t>
      </w:r>
      <w:bookmarkEnd w:id="69"/>
    </w:p>
    <w:p w:rsidR="00141A70" w:rsidRPr="00C60755" w:rsidRDefault="00544A9F" w:rsidP="00B859ED">
      <w:pPr>
        <w:pStyle w:val="Sinespaciado"/>
        <w:ind w:left="360"/>
        <w:jc w:val="both"/>
        <w:rPr>
          <w:rFonts w:cs="Arial"/>
          <w:color w:val="FF0000"/>
          <w:sz w:val="24"/>
          <w:szCs w:val="24"/>
        </w:rPr>
      </w:pPr>
      <w:r>
        <w:rPr>
          <w:rFonts w:cs="Arial"/>
          <w:noProof/>
          <w:color w:val="FF0000"/>
          <w:sz w:val="24"/>
          <w:szCs w:val="24"/>
          <w:lang w:eastAsia="es-GT"/>
        </w:rPr>
        <w:drawing>
          <wp:inline distT="0" distB="0" distL="0" distR="0" wp14:anchorId="386B8375" wp14:editId="0F9EF1EE">
            <wp:extent cx="5762625" cy="7400925"/>
            <wp:effectExtent l="0" t="0" r="9525" b="9525"/>
            <wp:docPr id="22" name="Imagen 22" descr="MAPA DENSIDAD POBLACIONAL CENSO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PA DENSIDAD POBLACIONAL CENSO 2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2625" cy="7400925"/>
                    </a:xfrm>
                    <a:prstGeom prst="rect">
                      <a:avLst/>
                    </a:prstGeom>
                    <a:noFill/>
                    <a:ln>
                      <a:noFill/>
                    </a:ln>
                  </pic:spPr>
                </pic:pic>
              </a:graphicData>
            </a:graphic>
          </wp:inline>
        </w:drawing>
      </w:r>
    </w:p>
    <w:p w:rsidR="0093248E" w:rsidRPr="00775818" w:rsidRDefault="0093248E" w:rsidP="0093248E">
      <w:pPr>
        <w:autoSpaceDE w:val="0"/>
        <w:autoSpaceDN w:val="0"/>
        <w:adjustRightInd w:val="0"/>
        <w:ind w:right="468"/>
        <w:jc w:val="right"/>
        <w:rPr>
          <w:rFonts w:ascii="Calibri" w:hAnsi="Calibri" w:cs="Calibri"/>
          <w:sz w:val="20"/>
          <w:szCs w:val="20"/>
          <w:lang w:val="es-GT"/>
        </w:rPr>
      </w:pPr>
      <w:r w:rsidRPr="00775818">
        <w:rPr>
          <w:rFonts w:ascii="Calibri" w:hAnsi="Calibri" w:cs="Calibri"/>
          <w:sz w:val="20"/>
          <w:szCs w:val="20"/>
          <w:lang w:val="es-GT"/>
        </w:rPr>
        <w:t>Fuente: MARN</w:t>
      </w:r>
      <w:r w:rsidR="00AC1FAC">
        <w:rPr>
          <w:rFonts w:ascii="Calibri" w:hAnsi="Calibri" w:cs="Calibri"/>
          <w:sz w:val="20"/>
          <w:szCs w:val="20"/>
          <w:lang w:val="es-GT"/>
        </w:rPr>
        <w:t>, IARNA-URL y PNUD</w:t>
      </w:r>
      <w:r w:rsidRPr="00775818">
        <w:rPr>
          <w:rFonts w:ascii="Calibri" w:hAnsi="Calibri" w:cs="Calibri"/>
          <w:sz w:val="20"/>
          <w:szCs w:val="20"/>
          <w:lang w:val="es-GT"/>
        </w:rPr>
        <w:t xml:space="preserve"> </w:t>
      </w:r>
      <w:r w:rsidR="00AC1FAC">
        <w:rPr>
          <w:rFonts w:ascii="Calibri" w:hAnsi="Calibri" w:cs="Calibri"/>
          <w:sz w:val="20"/>
          <w:szCs w:val="20"/>
          <w:lang w:val="es-GT"/>
        </w:rPr>
        <w:t>(</w:t>
      </w:r>
      <w:r w:rsidRPr="00775818">
        <w:rPr>
          <w:rFonts w:ascii="Calibri" w:hAnsi="Calibri" w:cs="Calibri"/>
          <w:sz w:val="20"/>
          <w:szCs w:val="20"/>
          <w:lang w:val="es-GT"/>
        </w:rPr>
        <w:t>2009).</w:t>
      </w:r>
    </w:p>
    <w:p w:rsidR="0093248E" w:rsidRDefault="0093248E" w:rsidP="00B859ED">
      <w:pPr>
        <w:pStyle w:val="Sinespaciado"/>
        <w:ind w:left="360"/>
        <w:jc w:val="both"/>
        <w:rPr>
          <w:rFonts w:cs="Arial"/>
          <w:color w:val="FF0000"/>
          <w:sz w:val="24"/>
          <w:szCs w:val="24"/>
        </w:rPr>
      </w:pPr>
    </w:p>
    <w:p w:rsidR="0093248E" w:rsidRDefault="0093248E" w:rsidP="00B859ED">
      <w:pPr>
        <w:pStyle w:val="Sinespaciado"/>
        <w:ind w:left="360"/>
        <w:jc w:val="both"/>
        <w:rPr>
          <w:rFonts w:cs="Arial"/>
          <w:color w:val="FF0000"/>
          <w:sz w:val="24"/>
          <w:szCs w:val="24"/>
        </w:rPr>
      </w:pPr>
    </w:p>
    <w:p w:rsidR="00C60755" w:rsidRDefault="00C60755" w:rsidP="00B859ED">
      <w:pPr>
        <w:pStyle w:val="Sinespaciado"/>
        <w:ind w:left="360"/>
        <w:jc w:val="both"/>
        <w:rPr>
          <w:rFonts w:cs="Arial"/>
          <w:color w:val="FF0000"/>
          <w:sz w:val="24"/>
          <w:szCs w:val="24"/>
        </w:rPr>
      </w:pPr>
      <w:r w:rsidRPr="00775818">
        <w:rPr>
          <w:rFonts w:cs="Arial"/>
          <w:sz w:val="24"/>
          <w:szCs w:val="24"/>
        </w:rPr>
        <w:lastRenderedPageBreak/>
        <w:t>Para evaluar la condición actual y cómo ha evolucionado recientem</w:t>
      </w:r>
      <w:r w:rsidR="00AC1FAC">
        <w:rPr>
          <w:rFonts w:cs="Arial"/>
          <w:sz w:val="24"/>
          <w:szCs w:val="24"/>
        </w:rPr>
        <w:t>ente, se ha</w:t>
      </w:r>
      <w:r w:rsidRPr="00775818">
        <w:rPr>
          <w:rFonts w:cs="Arial"/>
          <w:sz w:val="24"/>
          <w:szCs w:val="24"/>
        </w:rPr>
        <w:t xml:space="preserve"> desarrollado una serie de </w:t>
      </w:r>
      <w:r w:rsidR="00B859ED" w:rsidRPr="00775818">
        <w:rPr>
          <w:rFonts w:cs="Arial"/>
          <w:sz w:val="24"/>
          <w:szCs w:val="24"/>
        </w:rPr>
        <w:t xml:space="preserve">indicadores, </w:t>
      </w:r>
      <w:r w:rsidRPr="00775818">
        <w:rPr>
          <w:rFonts w:cs="Arial"/>
          <w:sz w:val="24"/>
          <w:szCs w:val="24"/>
        </w:rPr>
        <w:t xml:space="preserve">siete de </w:t>
      </w:r>
      <w:r w:rsidR="00AC1FAC">
        <w:rPr>
          <w:rFonts w:cs="Arial"/>
          <w:sz w:val="24"/>
          <w:szCs w:val="24"/>
        </w:rPr>
        <w:t>los cuales</w:t>
      </w:r>
      <w:r w:rsidRPr="00775818">
        <w:rPr>
          <w:rFonts w:cs="Arial"/>
          <w:sz w:val="24"/>
          <w:szCs w:val="24"/>
        </w:rPr>
        <w:t xml:space="preserve"> se consideran </w:t>
      </w:r>
      <w:r w:rsidR="00B859ED" w:rsidRPr="00775818">
        <w:rPr>
          <w:rFonts w:cs="Arial"/>
          <w:sz w:val="24"/>
          <w:szCs w:val="24"/>
        </w:rPr>
        <w:t xml:space="preserve">indicadores de desarrollo </w:t>
      </w:r>
      <w:r w:rsidRPr="00775818">
        <w:rPr>
          <w:rFonts w:cs="Arial"/>
          <w:sz w:val="24"/>
          <w:szCs w:val="24"/>
        </w:rPr>
        <w:t xml:space="preserve">y uno de sostenibilidad. </w:t>
      </w:r>
      <w:r w:rsidR="00775818" w:rsidRPr="00775818">
        <w:rPr>
          <w:rFonts w:cs="Arial"/>
          <w:sz w:val="24"/>
          <w:szCs w:val="24"/>
        </w:rPr>
        <w:t>Se agrupan</w:t>
      </w:r>
      <w:r w:rsidRPr="00775818">
        <w:rPr>
          <w:rFonts w:cs="Arial"/>
          <w:sz w:val="24"/>
          <w:szCs w:val="24"/>
        </w:rPr>
        <w:t xml:space="preserve"> </w:t>
      </w:r>
      <w:r w:rsidR="0006749C">
        <w:rPr>
          <w:rFonts w:cs="Arial"/>
          <w:sz w:val="24"/>
          <w:szCs w:val="24"/>
        </w:rPr>
        <w:t xml:space="preserve">tal como lo indica el Cuadro 4. </w:t>
      </w:r>
    </w:p>
    <w:p w:rsidR="0006749C" w:rsidRDefault="0006749C" w:rsidP="0006749C">
      <w:pPr>
        <w:jc w:val="center"/>
        <w:rPr>
          <w:rFonts w:ascii="Calibri" w:eastAsia="Calibri" w:hAnsi="Calibri" w:cs="Calibri"/>
          <w:b/>
          <w:color w:val="365F91"/>
          <w:sz w:val="22"/>
          <w:szCs w:val="22"/>
          <w:lang w:val="es-GT"/>
        </w:rPr>
      </w:pPr>
    </w:p>
    <w:p w:rsidR="00C60755" w:rsidRDefault="00C54ACC" w:rsidP="00C54ACC">
      <w:pPr>
        <w:pStyle w:val="Epgrafe"/>
        <w:jc w:val="center"/>
        <w:rPr>
          <w:rFonts w:asciiTheme="minorHAnsi" w:hAnsiTheme="minorHAnsi" w:cstheme="minorHAnsi"/>
          <w:color w:val="365F91" w:themeColor="accent1" w:themeShade="BF"/>
          <w:sz w:val="22"/>
          <w:szCs w:val="22"/>
          <w:lang w:val="es-GT"/>
        </w:rPr>
      </w:pPr>
      <w:bookmarkStart w:id="70" w:name="_Toc347841186"/>
      <w:r w:rsidRPr="00B16F0F">
        <w:rPr>
          <w:rFonts w:asciiTheme="minorHAnsi" w:hAnsiTheme="minorHAnsi" w:cstheme="minorHAnsi"/>
          <w:color w:val="365F91" w:themeColor="accent1" w:themeShade="BF"/>
          <w:sz w:val="22"/>
          <w:szCs w:val="22"/>
          <w:lang w:val="es-GT"/>
        </w:rPr>
        <w:t xml:space="preserve">Cuadro </w:t>
      </w:r>
      <w:r w:rsidRPr="00B16F0F">
        <w:rPr>
          <w:rFonts w:asciiTheme="minorHAnsi" w:hAnsiTheme="minorHAnsi" w:cstheme="minorHAnsi"/>
          <w:color w:val="365F91" w:themeColor="accent1" w:themeShade="BF"/>
          <w:sz w:val="22"/>
          <w:szCs w:val="22"/>
          <w:lang w:val="es-GT"/>
        </w:rPr>
        <w:fldChar w:fldCharType="begin"/>
      </w:r>
      <w:r w:rsidRPr="00B16F0F">
        <w:rPr>
          <w:rFonts w:asciiTheme="minorHAnsi" w:hAnsiTheme="minorHAnsi" w:cstheme="minorHAnsi"/>
          <w:color w:val="365F91" w:themeColor="accent1" w:themeShade="BF"/>
          <w:sz w:val="22"/>
          <w:szCs w:val="22"/>
          <w:lang w:val="es-GT"/>
        </w:rPr>
        <w:instrText xml:space="preserve"> SEQ Cuadro \* ARABIC </w:instrText>
      </w:r>
      <w:r w:rsidRPr="00B16F0F">
        <w:rPr>
          <w:rFonts w:asciiTheme="minorHAnsi" w:hAnsiTheme="minorHAnsi" w:cstheme="minorHAnsi"/>
          <w:color w:val="365F91" w:themeColor="accent1" w:themeShade="BF"/>
          <w:sz w:val="22"/>
          <w:szCs w:val="22"/>
          <w:lang w:val="es-GT"/>
        </w:rPr>
        <w:fldChar w:fldCharType="separate"/>
      </w:r>
      <w:r w:rsidRPr="00B16F0F">
        <w:rPr>
          <w:rFonts w:asciiTheme="minorHAnsi" w:hAnsiTheme="minorHAnsi" w:cstheme="minorHAnsi"/>
          <w:color w:val="365F91" w:themeColor="accent1" w:themeShade="BF"/>
          <w:sz w:val="22"/>
          <w:szCs w:val="22"/>
          <w:lang w:val="es-GT"/>
        </w:rPr>
        <w:t>4</w:t>
      </w:r>
      <w:r w:rsidRPr="00B16F0F">
        <w:rPr>
          <w:rFonts w:asciiTheme="minorHAnsi" w:hAnsiTheme="minorHAnsi" w:cstheme="minorHAnsi"/>
          <w:color w:val="365F91" w:themeColor="accent1" w:themeShade="BF"/>
          <w:sz w:val="22"/>
          <w:szCs w:val="22"/>
          <w:lang w:val="es-GT"/>
        </w:rPr>
        <w:fldChar w:fldCharType="end"/>
      </w:r>
      <w:r w:rsidRPr="00B16F0F">
        <w:rPr>
          <w:rFonts w:asciiTheme="minorHAnsi" w:hAnsiTheme="minorHAnsi" w:cstheme="minorHAnsi"/>
          <w:color w:val="365F91" w:themeColor="accent1" w:themeShade="BF"/>
          <w:sz w:val="22"/>
          <w:szCs w:val="22"/>
          <w:lang w:val="es-GT"/>
        </w:rPr>
        <w:t>. Indicadores del sub-sistema social</w:t>
      </w:r>
      <w:bookmarkEnd w:id="70"/>
    </w:p>
    <w:p w:rsidR="00B16F0F" w:rsidRPr="00B16F0F" w:rsidRDefault="00B16F0F" w:rsidP="00B16F0F">
      <w:pPr>
        <w:rPr>
          <w:lang w:val="es-GT"/>
        </w:rPr>
      </w:pPr>
    </w:p>
    <w:tbl>
      <w:tblPr>
        <w:tblW w:w="9134"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0"/>
        <w:gridCol w:w="6934"/>
      </w:tblGrid>
      <w:tr w:rsidR="00C60755" w:rsidRPr="00C54ACC" w:rsidTr="00C60755">
        <w:trPr>
          <w:tblHeader/>
        </w:trPr>
        <w:tc>
          <w:tcPr>
            <w:tcW w:w="2200" w:type="dxa"/>
            <w:shd w:val="clear" w:color="auto" w:fill="17365D"/>
            <w:vAlign w:val="center"/>
          </w:tcPr>
          <w:p w:rsidR="00C60755" w:rsidRPr="001A01AB" w:rsidRDefault="00C60755" w:rsidP="00C60755">
            <w:pPr>
              <w:spacing w:before="20" w:after="20"/>
              <w:jc w:val="center"/>
              <w:rPr>
                <w:rFonts w:ascii="Calibri" w:hAnsi="Calibri" w:cs="Calibri"/>
                <w:b/>
                <w:color w:val="FFFFFF"/>
                <w:lang w:val="es-GT"/>
              </w:rPr>
            </w:pPr>
            <w:r>
              <w:rPr>
                <w:rFonts w:ascii="Calibri" w:hAnsi="Calibri" w:cs="Calibri"/>
                <w:b/>
                <w:color w:val="FFFFFF"/>
                <w:lang w:val="es-GT"/>
              </w:rPr>
              <w:t>Tipo</w:t>
            </w:r>
          </w:p>
        </w:tc>
        <w:tc>
          <w:tcPr>
            <w:tcW w:w="6934" w:type="dxa"/>
            <w:shd w:val="clear" w:color="auto" w:fill="17365D"/>
            <w:vAlign w:val="center"/>
          </w:tcPr>
          <w:p w:rsidR="00C60755" w:rsidRPr="001A01AB" w:rsidRDefault="00C60755" w:rsidP="00C60755">
            <w:pPr>
              <w:spacing w:before="20" w:after="20"/>
              <w:jc w:val="center"/>
              <w:rPr>
                <w:rFonts w:ascii="Calibri" w:hAnsi="Calibri" w:cs="Calibri"/>
                <w:b/>
                <w:color w:val="FFFFFF"/>
                <w:lang w:val="es-GT"/>
              </w:rPr>
            </w:pPr>
            <w:r>
              <w:rPr>
                <w:rFonts w:ascii="Calibri" w:hAnsi="Calibri" w:cs="Calibri"/>
                <w:b/>
                <w:color w:val="FFFFFF"/>
                <w:lang w:val="es-GT"/>
              </w:rPr>
              <w:t>Indicador</w:t>
            </w:r>
          </w:p>
        </w:tc>
      </w:tr>
      <w:tr w:rsidR="00C60755" w:rsidRPr="000364C9" w:rsidTr="00C60755">
        <w:tc>
          <w:tcPr>
            <w:tcW w:w="2200" w:type="dxa"/>
            <w:vMerge w:val="restart"/>
          </w:tcPr>
          <w:p w:rsidR="00C60755" w:rsidRPr="00775818" w:rsidRDefault="00C60755" w:rsidP="00C60755">
            <w:pPr>
              <w:spacing w:before="20" w:after="20"/>
              <w:jc w:val="both"/>
              <w:rPr>
                <w:rFonts w:ascii="Calibri" w:hAnsi="Calibri" w:cs="Calibri"/>
                <w:lang w:val="es-GT"/>
              </w:rPr>
            </w:pPr>
            <w:r w:rsidRPr="00775818">
              <w:rPr>
                <w:rFonts w:ascii="Calibri" w:hAnsi="Calibri" w:cs="Arial"/>
                <w:lang w:val="es-GT" w:eastAsia="es-GT"/>
              </w:rPr>
              <w:t>De desarrollo</w:t>
            </w:r>
          </w:p>
        </w:tc>
        <w:tc>
          <w:tcPr>
            <w:tcW w:w="6934" w:type="dxa"/>
            <w:vAlign w:val="center"/>
          </w:tcPr>
          <w:p w:rsidR="00C60755" w:rsidRPr="00775818" w:rsidRDefault="00C60755" w:rsidP="00C60755">
            <w:pPr>
              <w:spacing w:before="20" w:after="20"/>
              <w:rPr>
                <w:rFonts w:ascii="Calibri" w:hAnsi="Calibri" w:cs="Arial"/>
                <w:lang w:val="es-GT" w:eastAsia="es-GT"/>
              </w:rPr>
            </w:pPr>
            <w:r w:rsidRPr="00775818">
              <w:rPr>
                <w:rFonts w:ascii="Calibri" w:hAnsi="Calibri" w:cs="Arial"/>
                <w:lang w:val="es-GT" w:eastAsia="es-GT"/>
              </w:rPr>
              <w:t>Nivel de logro de la educación secundaria en adultos</w:t>
            </w:r>
          </w:p>
        </w:tc>
      </w:tr>
      <w:tr w:rsidR="00C60755" w:rsidRPr="000364C9" w:rsidTr="00C60755">
        <w:tc>
          <w:tcPr>
            <w:tcW w:w="2200" w:type="dxa"/>
            <w:vMerge/>
          </w:tcPr>
          <w:p w:rsidR="00C60755" w:rsidRPr="00775818" w:rsidRDefault="00C60755" w:rsidP="00C60755">
            <w:pPr>
              <w:spacing w:before="20" w:after="20"/>
              <w:jc w:val="both"/>
              <w:rPr>
                <w:rFonts w:ascii="Calibri" w:hAnsi="Calibri" w:cs="Calibri"/>
                <w:lang w:val="es-GT"/>
              </w:rPr>
            </w:pPr>
          </w:p>
        </w:tc>
        <w:tc>
          <w:tcPr>
            <w:tcW w:w="6934" w:type="dxa"/>
            <w:vAlign w:val="center"/>
          </w:tcPr>
          <w:p w:rsidR="00C60755" w:rsidRPr="00775818" w:rsidRDefault="00C60755" w:rsidP="00C60755">
            <w:pPr>
              <w:spacing w:before="20" w:after="20"/>
              <w:rPr>
                <w:rFonts w:ascii="Calibri" w:hAnsi="Calibri" w:cs="Arial"/>
                <w:lang w:val="es-GT" w:eastAsia="es-GT"/>
              </w:rPr>
            </w:pPr>
            <w:r w:rsidRPr="00775818">
              <w:rPr>
                <w:rFonts w:ascii="Calibri" w:hAnsi="Calibri" w:cs="Arial"/>
                <w:lang w:val="es-GT" w:eastAsia="es-GT"/>
              </w:rPr>
              <w:t>Tasa de alfabetismo en adultos</w:t>
            </w:r>
          </w:p>
        </w:tc>
      </w:tr>
      <w:tr w:rsidR="00C60755" w:rsidRPr="000364C9" w:rsidTr="00C60755">
        <w:tc>
          <w:tcPr>
            <w:tcW w:w="2200" w:type="dxa"/>
            <w:vMerge/>
          </w:tcPr>
          <w:p w:rsidR="00C60755" w:rsidRPr="00775818" w:rsidRDefault="00C60755" w:rsidP="00C60755">
            <w:pPr>
              <w:spacing w:before="20" w:after="20"/>
              <w:jc w:val="both"/>
              <w:rPr>
                <w:rFonts w:ascii="Calibri" w:hAnsi="Calibri" w:cs="Calibri"/>
                <w:lang w:val="es-GT"/>
              </w:rPr>
            </w:pPr>
          </w:p>
        </w:tc>
        <w:tc>
          <w:tcPr>
            <w:tcW w:w="6934" w:type="dxa"/>
            <w:vAlign w:val="center"/>
          </w:tcPr>
          <w:p w:rsidR="00C60755" w:rsidRPr="00775818" w:rsidRDefault="00C60755" w:rsidP="00C60755">
            <w:pPr>
              <w:spacing w:before="20" w:after="20"/>
              <w:rPr>
                <w:rFonts w:ascii="Calibri" w:hAnsi="Calibri" w:cs="Arial"/>
                <w:lang w:val="es-GT" w:eastAsia="es-GT"/>
              </w:rPr>
            </w:pPr>
            <w:r w:rsidRPr="00775818">
              <w:rPr>
                <w:rFonts w:ascii="Calibri" w:hAnsi="Calibri" w:cs="Arial"/>
                <w:lang w:val="es-GT" w:eastAsia="es-GT"/>
              </w:rPr>
              <w:t>Tasa de logro de educación primaria</w:t>
            </w:r>
          </w:p>
        </w:tc>
      </w:tr>
      <w:tr w:rsidR="00C60755" w:rsidRPr="000364C9" w:rsidTr="00C60755">
        <w:tc>
          <w:tcPr>
            <w:tcW w:w="2200" w:type="dxa"/>
            <w:vMerge/>
          </w:tcPr>
          <w:p w:rsidR="00C60755" w:rsidRPr="00775818" w:rsidRDefault="00C60755" w:rsidP="00C60755">
            <w:pPr>
              <w:spacing w:before="20" w:after="20"/>
              <w:jc w:val="both"/>
              <w:rPr>
                <w:rFonts w:ascii="Calibri" w:hAnsi="Calibri" w:cs="Calibri"/>
                <w:lang w:val="es-GT"/>
              </w:rPr>
            </w:pPr>
          </w:p>
        </w:tc>
        <w:tc>
          <w:tcPr>
            <w:tcW w:w="6934" w:type="dxa"/>
            <w:vAlign w:val="center"/>
          </w:tcPr>
          <w:p w:rsidR="00C60755" w:rsidRPr="00775818" w:rsidRDefault="00C60755" w:rsidP="00C60755">
            <w:pPr>
              <w:spacing w:before="20" w:after="20"/>
              <w:rPr>
                <w:rFonts w:ascii="Calibri" w:hAnsi="Calibri" w:cs="Arial"/>
                <w:lang w:val="es-GT" w:eastAsia="es-GT"/>
              </w:rPr>
            </w:pPr>
            <w:r w:rsidRPr="00775818">
              <w:rPr>
                <w:rFonts w:ascii="Calibri" w:hAnsi="Calibri" w:cs="Arial"/>
                <w:lang w:val="es-GT" w:eastAsia="es-GT"/>
              </w:rPr>
              <w:t>Esperanza de vida al nacer</w:t>
            </w:r>
          </w:p>
        </w:tc>
      </w:tr>
      <w:tr w:rsidR="00C60755" w:rsidRPr="000364C9" w:rsidTr="00C60755">
        <w:tc>
          <w:tcPr>
            <w:tcW w:w="2200" w:type="dxa"/>
            <w:vMerge/>
          </w:tcPr>
          <w:p w:rsidR="00C60755" w:rsidRPr="00775818" w:rsidRDefault="00C60755" w:rsidP="00C60755">
            <w:pPr>
              <w:spacing w:before="20" w:after="20"/>
              <w:jc w:val="both"/>
              <w:rPr>
                <w:rFonts w:ascii="Calibri" w:hAnsi="Calibri" w:cs="Calibri"/>
                <w:lang w:val="es-GT"/>
              </w:rPr>
            </w:pPr>
          </w:p>
        </w:tc>
        <w:tc>
          <w:tcPr>
            <w:tcW w:w="6934" w:type="dxa"/>
            <w:vAlign w:val="center"/>
          </w:tcPr>
          <w:p w:rsidR="00C60755" w:rsidRPr="00775818" w:rsidRDefault="00C60755" w:rsidP="00C60755">
            <w:pPr>
              <w:spacing w:before="20" w:after="20"/>
              <w:rPr>
                <w:rFonts w:ascii="Calibri" w:hAnsi="Calibri" w:cs="Arial"/>
                <w:lang w:val="es-GT" w:eastAsia="es-GT"/>
              </w:rPr>
            </w:pPr>
            <w:r w:rsidRPr="00775818">
              <w:rPr>
                <w:rFonts w:ascii="Calibri" w:hAnsi="Calibri" w:cs="Arial"/>
                <w:lang w:val="es-GT" w:eastAsia="es-GT"/>
              </w:rPr>
              <w:t>Tasa de mortalidad en menores de 5 años por cada mil niños</w:t>
            </w:r>
          </w:p>
        </w:tc>
      </w:tr>
      <w:tr w:rsidR="00C60755" w:rsidRPr="000364C9" w:rsidTr="00C60755">
        <w:tc>
          <w:tcPr>
            <w:tcW w:w="2200" w:type="dxa"/>
            <w:vMerge/>
          </w:tcPr>
          <w:p w:rsidR="00C60755" w:rsidRPr="00775818" w:rsidRDefault="00C60755" w:rsidP="00C60755">
            <w:pPr>
              <w:spacing w:before="20" w:after="20"/>
              <w:jc w:val="both"/>
              <w:rPr>
                <w:rFonts w:ascii="Calibri" w:hAnsi="Calibri" w:cs="Calibri"/>
                <w:lang w:val="es-GT"/>
              </w:rPr>
            </w:pPr>
          </w:p>
        </w:tc>
        <w:tc>
          <w:tcPr>
            <w:tcW w:w="6934" w:type="dxa"/>
            <w:vAlign w:val="center"/>
          </w:tcPr>
          <w:p w:rsidR="00C60755" w:rsidRPr="00775818" w:rsidRDefault="00C60755" w:rsidP="00C60755">
            <w:pPr>
              <w:spacing w:before="20" w:after="20"/>
              <w:rPr>
                <w:rFonts w:ascii="Calibri" w:hAnsi="Calibri" w:cs="Arial"/>
                <w:lang w:val="es-GT" w:eastAsia="es-GT"/>
              </w:rPr>
            </w:pPr>
            <w:r w:rsidRPr="00775818">
              <w:rPr>
                <w:rFonts w:ascii="Calibri" w:hAnsi="Calibri" w:cs="Arial"/>
                <w:lang w:val="es-GT" w:eastAsia="es-GT"/>
              </w:rPr>
              <w:t>Población con acceso a fuentes seguras de agua para el consumo</w:t>
            </w:r>
          </w:p>
        </w:tc>
      </w:tr>
      <w:tr w:rsidR="00C60755" w:rsidRPr="000364C9" w:rsidTr="00C60755">
        <w:tc>
          <w:tcPr>
            <w:tcW w:w="2200" w:type="dxa"/>
            <w:vMerge/>
          </w:tcPr>
          <w:p w:rsidR="00C60755" w:rsidRPr="00775818" w:rsidRDefault="00C60755" w:rsidP="00C60755">
            <w:pPr>
              <w:spacing w:before="20" w:after="20"/>
              <w:jc w:val="both"/>
              <w:rPr>
                <w:rFonts w:ascii="Calibri" w:hAnsi="Calibri" w:cs="Calibri"/>
                <w:lang w:val="es-GT"/>
              </w:rPr>
            </w:pPr>
          </w:p>
        </w:tc>
        <w:tc>
          <w:tcPr>
            <w:tcW w:w="6934" w:type="dxa"/>
            <w:vAlign w:val="center"/>
          </w:tcPr>
          <w:p w:rsidR="00C60755" w:rsidRPr="00775818" w:rsidRDefault="00C60755" w:rsidP="00C60755">
            <w:pPr>
              <w:spacing w:before="20" w:after="20"/>
              <w:rPr>
                <w:rFonts w:ascii="Calibri" w:hAnsi="Calibri" w:cs="Arial"/>
                <w:lang w:val="es-GT" w:eastAsia="es-GT"/>
              </w:rPr>
            </w:pPr>
            <w:r w:rsidRPr="00775818">
              <w:rPr>
                <w:rFonts w:ascii="Calibri" w:hAnsi="Calibri" w:cs="Arial"/>
                <w:lang w:val="es-GT" w:eastAsia="es-GT"/>
              </w:rPr>
              <w:t>Porcentaje de la población que vive bajo la línea de pobreza</w:t>
            </w:r>
          </w:p>
        </w:tc>
      </w:tr>
      <w:tr w:rsidR="00C60755" w:rsidRPr="000364C9" w:rsidTr="00C60755">
        <w:tc>
          <w:tcPr>
            <w:tcW w:w="2200" w:type="dxa"/>
            <w:vAlign w:val="center"/>
          </w:tcPr>
          <w:p w:rsidR="00C60755" w:rsidRPr="00775818" w:rsidRDefault="00C60755" w:rsidP="00C60755">
            <w:pPr>
              <w:spacing w:before="20" w:after="20"/>
              <w:rPr>
                <w:rFonts w:ascii="Calibri" w:hAnsi="Calibri" w:cs="Arial"/>
                <w:lang w:val="es-GT" w:eastAsia="es-GT"/>
              </w:rPr>
            </w:pPr>
            <w:r w:rsidRPr="00775818">
              <w:rPr>
                <w:rFonts w:ascii="Calibri" w:hAnsi="Calibri" w:cs="Arial"/>
                <w:lang w:val="es-GT" w:eastAsia="es-GT"/>
              </w:rPr>
              <w:t>De sostenibilidad</w:t>
            </w:r>
          </w:p>
        </w:tc>
        <w:tc>
          <w:tcPr>
            <w:tcW w:w="6934" w:type="dxa"/>
            <w:vAlign w:val="center"/>
          </w:tcPr>
          <w:p w:rsidR="00C60755" w:rsidRPr="00775818" w:rsidRDefault="00C60755" w:rsidP="00C60755">
            <w:pPr>
              <w:spacing w:before="20" w:after="20"/>
              <w:rPr>
                <w:rFonts w:ascii="Calibri" w:hAnsi="Calibri" w:cs="Arial"/>
                <w:lang w:val="es-GT" w:eastAsia="es-GT"/>
              </w:rPr>
            </w:pPr>
            <w:r w:rsidRPr="00775818">
              <w:rPr>
                <w:rFonts w:ascii="Calibri" w:hAnsi="Calibri" w:cs="Arial"/>
                <w:lang w:val="es-GT" w:eastAsia="es-GT"/>
              </w:rPr>
              <w:t>Índice de Gini de la concentración del ingreso</w:t>
            </w:r>
          </w:p>
        </w:tc>
      </w:tr>
    </w:tbl>
    <w:p w:rsidR="00C60755" w:rsidRPr="00775818" w:rsidRDefault="005079FC" w:rsidP="005079FC">
      <w:pPr>
        <w:pStyle w:val="Sinespaciado"/>
        <w:ind w:left="360" w:right="108"/>
        <w:jc w:val="right"/>
        <w:rPr>
          <w:rFonts w:cs="Arial"/>
          <w:sz w:val="20"/>
          <w:szCs w:val="20"/>
        </w:rPr>
      </w:pPr>
      <w:r w:rsidRPr="00775818">
        <w:rPr>
          <w:rFonts w:cs="Arial"/>
          <w:sz w:val="20"/>
          <w:szCs w:val="20"/>
        </w:rPr>
        <w:t xml:space="preserve">Fuente: </w:t>
      </w:r>
      <w:r w:rsidR="00AC1FAC">
        <w:rPr>
          <w:rFonts w:cs="Calibri"/>
          <w:sz w:val="20"/>
          <w:szCs w:val="20"/>
          <w:lang w:val="es-MX"/>
        </w:rPr>
        <w:t>IARNA-URL y SEGEPLAN</w:t>
      </w:r>
      <w:r w:rsidRPr="00775818">
        <w:rPr>
          <w:rFonts w:cs="Calibri"/>
          <w:sz w:val="20"/>
          <w:szCs w:val="20"/>
          <w:lang w:val="es-MX"/>
        </w:rPr>
        <w:t xml:space="preserve"> </w:t>
      </w:r>
      <w:r w:rsidR="00AC1FAC">
        <w:rPr>
          <w:rFonts w:cs="Calibri"/>
          <w:sz w:val="20"/>
          <w:szCs w:val="20"/>
          <w:lang w:val="es-MX"/>
        </w:rPr>
        <w:t>(</w:t>
      </w:r>
      <w:r w:rsidRPr="00775818">
        <w:rPr>
          <w:rFonts w:cs="Calibri"/>
          <w:sz w:val="20"/>
          <w:szCs w:val="20"/>
          <w:lang w:val="es-MX"/>
        </w:rPr>
        <w:t>2012)</w:t>
      </w:r>
      <w:r w:rsidRPr="00775818">
        <w:rPr>
          <w:rFonts w:cs="Arial"/>
          <w:sz w:val="20"/>
          <w:szCs w:val="20"/>
        </w:rPr>
        <w:t>.</w:t>
      </w:r>
    </w:p>
    <w:p w:rsidR="00092856" w:rsidRPr="00C60755" w:rsidRDefault="00092856" w:rsidP="00B859ED">
      <w:pPr>
        <w:pStyle w:val="Sinespaciado"/>
        <w:ind w:left="360"/>
        <w:jc w:val="both"/>
        <w:rPr>
          <w:rFonts w:cs="Arial"/>
          <w:color w:val="FF0000"/>
          <w:sz w:val="24"/>
          <w:szCs w:val="24"/>
        </w:rPr>
      </w:pPr>
    </w:p>
    <w:p w:rsidR="00B03029" w:rsidRPr="00092856" w:rsidRDefault="00B03029" w:rsidP="00092856">
      <w:pPr>
        <w:pStyle w:val="Prrafodelista"/>
        <w:numPr>
          <w:ilvl w:val="0"/>
          <w:numId w:val="66"/>
        </w:numPr>
        <w:autoSpaceDE w:val="0"/>
        <w:autoSpaceDN w:val="0"/>
        <w:adjustRightInd w:val="0"/>
        <w:jc w:val="both"/>
        <w:rPr>
          <w:rFonts w:cs="Calibri"/>
          <w:b/>
          <w:color w:val="365F91"/>
          <w:lang w:eastAsia="es-GT"/>
        </w:rPr>
      </w:pPr>
      <w:bookmarkStart w:id="71" w:name="_Toc331535183"/>
      <w:r w:rsidRPr="00092856">
        <w:rPr>
          <w:rFonts w:cs="Calibri"/>
          <w:b/>
          <w:color w:val="365F91"/>
          <w:lang w:eastAsia="es-GT"/>
        </w:rPr>
        <w:t>Nivel de logro de la educación secundaria en adultos</w:t>
      </w:r>
      <w:bookmarkEnd w:id="71"/>
    </w:p>
    <w:p w:rsidR="00B03029" w:rsidRPr="00775818" w:rsidRDefault="00200CF1" w:rsidP="00C470CE">
      <w:pPr>
        <w:pStyle w:val="Sinespaciado"/>
        <w:ind w:left="720"/>
        <w:jc w:val="both"/>
        <w:rPr>
          <w:rFonts w:cs="Arial"/>
          <w:sz w:val="24"/>
          <w:szCs w:val="24"/>
        </w:rPr>
      </w:pPr>
      <w:r w:rsidRPr="00775818">
        <w:rPr>
          <w:rFonts w:cs="Arial"/>
          <w:sz w:val="24"/>
          <w:szCs w:val="24"/>
        </w:rPr>
        <w:t>La educación es una herramienta esencial par</w:t>
      </w:r>
      <w:r w:rsidR="00AC1FAC">
        <w:rPr>
          <w:rFonts w:cs="Arial"/>
          <w:sz w:val="24"/>
          <w:szCs w:val="24"/>
        </w:rPr>
        <w:t>a el logro de la sostenibilidad;</w:t>
      </w:r>
      <w:r w:rsidRPr="00775818">
        <w:rPr>
          <w:rFonts w:cs="Arial"/>
          <w:sz w:val="24"/>
          <w:szCs w:val="24"/>
        </w:rPr>
        <w:t xml:space="preserve"> por lo tanto</w:t>
      </w:r>
      <w:r w:rsidR="00AC1FAC">
        <w:rPr>
          <w:rFonts w:cs="Arial"/>
          <w:sz w:val="24"/>
          <w:szCs w:val="24"/>
        </w:rPr>
        <w:t>,</w:t>
      </w:r>
      <w:r w:rsidRPr="00775818">
        <w:rPr>
          <w:rFonts w:cs="Arial"/>
          <w:sz w:val="24"/>
          <w:szCs w:val="24"/>
        </w:rPr>
        <w:t xml:space="preserve"> la conciencia pública, la educación y la capacitación son claves para el desarrollo de un país. </w:t>
      </w:r>
      <w:r w:rsidR="00517C1B" w:rsidRPr="00775818">
        <w:rPr>
          <w:rFonts w:cs="Arial"/>
          <w:sz w:val="24"/>
          <w:szCs w:val="24"/>
        </w:rPr>
        <w:t>Este</w:t>
      </w:r>
      <w:r w:rsidR="00B03029" w:rsidRPr="00775818">
        <w:rPr>
          <w:rFonts w:cs="Arial"/>
          <w:sz w:val="24"/>
          <w:szCs w:val="24"/>
        </w:rPr>
        <w:t xml:space="preserve"> es un indicador que mide el porcentaje de adultos que finalizaron su educación secundaria, es decir, el número de personas que se matriculan y finalizan un ciclo educativo.</w:t>
      </w:r>
      <w:r w:rsidR="00141A70" w:rsidRPr="00775818">
        <w:rPr>
          <w:rFonts w:cs="Arial"/>
          <w:sz w:val="24"/>
          <w:szCs w:val="24"/>
        </w:rPr>
        <w:t xml:space="preserve"> </w:t>
      </w:r>
      <w:r w:rsidR="00B03029" w:rsidRPr="00775818">
        <w:rPr>
          <w:rFonts w:cs="Arial"/>
          <w:sz w:val="24"/>
          <w:szCs w:val="24"/>
        </w:rPr>
        <w:t xml:space="preserve">Este indicador provee una medida de la calidad de capital humano en la población laboral adulta, debido </w:t>
      </w:r>
      <w:r w:rsidR="00BC3FE6">
        <w:rPr>
          <w:rFonts w:cs="Arial"/>
          <w:sz w:val="24"/>
          <w:szCs w:val="24"/>
        </w:rPr>
        <w:t xml:space="preserve">a </w:t>
      </w:r>
      <w:r w:rsidR="00B03029" w:rsidRPr="00775818">
        <w:rPr>
          <w:rFonts w:cs="Arial"/>
          <w:sz w:val="24"/>
          <w:szCs w:val="24"/>
        </w:rPr>
        <w:t>que el nivel educativo de la población determina la adquisición de competencias básicas para generar mejores oportunidades y así mejorar sus ingresos, elevando el grado de desarrollo y reduciendo la pobreza.</w:t>
      </w:r>
    </w:p>
    <w:p w:rsidR="00B03029" w:rsidRPr="00775818" w:rsidRDefault="00B03029" w:rsidP="00C470CE">
      <w:pPr>
        <w:pStyle w:val="Sinespaciado"/>
        <w:ind w:left="720"/>
        <w:jc w:val="both"/>
        <w:rPr>
          <w:rFonts w:cs="Arial"/>
          <w:sz w:val="24"/>
          <w:szCs w:val="24"/>
        </w:rPr>
      </w:pPr>
    </w:p>
    <w:p w:rsidR="00200CF1" w:rsidRPr="00775818" w:rsidRDefault="00B03029" w:rsidP="00C470CE">
      <w:pPr>
        <w:pStyle w:val="Sinespaciado"/>
        <w:ind w:left="720"/>
        <w:jc w:val="both"/>
        <w:rPr>
          <w:rFonts w:cs="Arial"/>
          <w:sz w:val="24"/>
          <w:szCs w:val="24"/>
        </w:rPr>
      </w:pPr>
      <w:r w:rsidRPr="00775818">
        <w:rPr>
          <w:rFonts w:cs="Arial"/>
          <w:sz w:val="24"/>
          <w:szCs w:val="24"/>
        </w:rPr>
        <w:t xml:space="preserve">Según </w:t>
      </w:r>
      <w:r w:rsidR="00BC3FE6">
        <w:rPr>
          <w:rFonts w:cs="Arial"/>
          <w:sz w:val="24"/>
          <w:szCs w:val="24"/>
        </w:rPr>
        <w:t>el</w:t>
      </w:r>
      <w:r w:rsidRPr="00775818">
        <w:rPr>
          <w:rFonts w:cs="Arial"/>
          <w:sz w:val="24"/>
          <w:szCs w:val="24"/>
        </w:rPr>
        <w:t xml:space="preserve"> Ministerio de </w:t>
      </w:r>
      <w:r w:rsidR="00713EDD" w:rsidRPr="00775818">
        <w:rPr>
          <w:rFonts w:cs="Arial"/>
          <w:sz w:val="24"/>
          <w:szCs w:val="24"/>
        </w:rPr>
        <w:t>E</w:t>
      </w:r>
      <w:r w:rsidRPr="00775818">
        <w:rPr>
          <w:rFonts w:cs="Arial"/>
          <w:sz w:val="24"/>
          <w:szCs w:val="24"/>
        </w:rPr>
        <w:t>ducación</w:t>
      </w:r>
      <w:r w:rsidR="00A01381" w:rsidRPr="00775818">
        <w:rPr>
          <w:rFonts w:cs="Arial"/>
          <w:sz w:val="24"/>
          <w:szCs w:val="24"/>
        </w:rPr>
        <w:t xml:space="preserve"> (MINEDUC)</w:t>
      </w:r>
      <w:r w:rsidRPr="00775818">
        <w:rPr>
          <w:rFonts w:cs="Arial"/>
          <w:sz w:val="24"/>
          <w:szCs w:val="24"/>
        </w:rPr>
        <w:t>, la calidad educativa</w:t>
      </w:r>
      <w:r w:rsidR="00713EDD" w:rsidRPr="00775818">
        <w:rPr>
          <w:rFonts w:cs="Arial"/>
          <w:sz w:val="24"/>
          <w:szCs w:val="24"/>
        </w:rPr>
        <w:t xml:space="preserve"> ha mejorado</w:t>
      </w:r>
      <w:r w:rsidR="00BC3FE6">
        <w:rPr>
          <w:rFonts w:cs="Arial"/>
          <w:sz w:val="24"/>
          <w:szCs w:val="24"/>
        </w:rPr>
        <w:t>,</w:t>
      </w:r>
      <w:r w:rsidRPr="00775818">
        <w:rPr>
          <w:rFonts w:cs="Arial"/>
          <w:sz w:val="24"/>
          <w:szCs w:val="24"/>
        </w:rPr>
        <w:t xml:space="preserve"> pasando de 22% para el año 2001 a 33% para el año 2009, mostrando un incremento medio anual del 4.17%</w:t>
      </w:r>
      <w:r w:rsidR="00200CF1" w:rsidRPr="00775818">
        <w:rPr>
          <w:rFonts w:cs="Arial"/>
          <w:sz w:val="24"/>
          <w:szCs w:val="24"/>
        </w:rPr>
        <w:t xml:space="preserve"> (</w:t>
      </w:r>
      <w:r w:rsidR="00BC3FE6">
        <w:rPr>
          <w:rFonts w:cs="Calibri"/>
          <w:sz w:val="24"/>
          <w:szCs w:val="24"/>
          <w:lang w:val="es-MX"/>
        </w:rPr>
        <w:t xml:space="preserve">IARNA-URL y </w:t>
      </w:r>
      <w:r w:rsidR="00200CF1" w:rsidRPr="00775818">
        <w:rPr>
          <w:rFonts w:cs="Calibri"/>
          <w:sz w:val="24"/>
          <w:szCs w:val="24"/>
          <w:lang w:val="es-MX"/>
        </w:rPr>
        <w:t>SEGEPLAN, 2012)</w:t>
      </w:r>
      <w:r w:rsidR="00713EDD" w:rsidRPr="00775818">
        <w:rPr>
          <w:rFonts w:cs="Arial"/>
          <w:sz w:val="24"/>
          <w:szCs w:val="24"/>
        </w:rPr>
        <w:t>.</w:t>
      </w:r>
    </w:p>
    <w:p w:rsidR="00200CF1" w:rsidRDefault="00200CF1" w:rsidP="00200CF1">
      <w:pPr>
        <w:pStyle w:val="Sinespaciado"/>
        <w:ind w:left="360"/>
        <w:jc w:val="both"/>
        <w:rPr>
          <w:rFonts w:cs="Arial"/>
          <w:color w:val="FF0000"/>
          <w:sz w:val="24"/>
          <w:szCs w:val="24"/>
        </w:rPr>
      </w:pPr>
    </w:p>
    <w:p w:rsidR="00B03029" w:rsidRPr="00200CF1" w:rsidRDefault="00B03029" w:rsidP="00200CF1">
      <w:pPr>
        <w:pStyle w:val="Prrafodelista"/>
        <w:numPr>
          <w:ilvl w:val="0"/>
          <w:numId w:val="66"/>
        </w:numPr>
        <w:autoSpaceDE w:val="0"/>
        <w:autoSpaceDN w:val="0"/>
        <w:adjustRightInd w:val="0"/>
        <w:jc w:val="both"/>
        <w:rPr>
          <w:rFonts w:cs="Calibri"/>
          <w:b/>
          <w:color w:val="365F91"/>
          <w:lang w:eastAsia="es-GT"/>
        </w:rPr>
      </w:pPr>
      <w:bookmarkStart w:id="72" w:name="_Toc331535184"/>
      <w:r w:rsidRPr="00200CF1">
        <w:rPr>
          <w:rFonts w:cs="Calibri"/>
          <w:b/>
          <w:color w:val="365F91"/>
          <w:lang w:eastAsia="es-GT"/>
        </w:rPr>
        <w:t>Tasa de alfabetismo en adultos</w:t>
      </w:r>
      <w:bookmarkEnd w:id="72"/>
    </w:p>
    <w:p w:rsidR="00B03029" w:rsidRPr="00BC44FA" w:rsidRDefault="00A01381" w:rsidP="00C470CE">
      <w:pPr>
        <w:pStyle w:val="Sinespaciado"/>
        <w:ind w:left="720"/>
        <w:jc w:val="both"/>
        <w:rPr>
          <w:rFonts w:cs="Arial"/>
          <w:sz w:val="24"/>
          <w:szCs w:val="24"/>
        </w:rPr>
      </w:pPr>
      <w:r w:rsidRPr="00BC44FA">
        <w:rPr>
          <w:rFonts w:cs="Arial"/>
          <w:sz w:val="24"/>
          <w:szCs w:val="24"/>
        </w:rPr>
        <w:t xml:space="preserve">Este indicador muestra el grado de funcionamiento del sistema de educación. </w:t>
      </w:r>
      <w:r w:rsidR="00B03029" w:rsidRPr="00BC44FA">
        <w:rPr>
          <w:rFonts w:cs="Arial"/>
          <w:sz w:val="24"/>
          <w:szCs w:val="24"/>
        </w:rPr>
        <w:t>La alfabetización se define como “la habilidad para identificar, comprender interpretar, crear, comunicarse y calcular, usando materiales impresos y escritos asociados con diversos contextos.</w:t>
      </w:r>
      <w:r w:rsidRPr="00BC44FA">
        <w:rPr>
          <w:rFonts w:cs="Arial"/>
          <w:sz w:val="24"/>
          <w:szCs w:val="24"/>
        </w:rPr>
        <w:t>.</w:t>
      </w:r>
      <w:r w:rsidR="00B03029" w:rsidRPr="00BC44FA">
        <w:rPr>
          <w:rFonts w:cs="Arial"/>
          <w:sz w:val="24"/>
          <w:szCs w:val="24"/>
        </w:rPr>
        <w:t>.” (</w:t>
      </w:r>
      <w:r w:rsidR="00B03029" w:rsidRPr="00BC3FE6">
        <w:rPr>
          <w:rFonts w:cs="Arial"/>
          <w:sz w:val="24"/>
          <w:szCs w:val="24"/>
          <w:highlight w:val="magenta"/>
        </w:rPr>
        <w:t>UNESCO, 2008)</w:t>
      </w:r>
      <w:r w:rsidR="00200CF1" w:rsidRPr="00BC44FA">
        <w:rPr>
          <w:rFonts w:cs="Arial"/>
          <w:sz w:val="24"/>
          <w:szCs w:val="24"/>
        </w:rPr>
        <w:t>,</w:t>
      </w:r>
      <w:r w:rsidR="00B03029" w:rsidRPr="00BC44FA">
        <w:rPr>
          <w:rFonts w:cs="Arial"/>
          <w:sz w:val="24"/>
          <w:szCs w:val="24"/>
        </w:rPr>
        <w:t xml:space="preserve"> la cual se mide a partir de los 15 años de edad (</w:t>
      </w:r>
      <w:r w:rsidR="00B03029" w:rsidRPr="00BC3FE6">
        <w:rPr>
          <w:rFonts w:cs="Arial"/>
          <w:sz w:val="24"/>
          <w:szCs w:val="24"/>
          <w:highlight w:val="magenta"/>
        </w:rPr>
        <w:t>INE, 2011a)</w:t>
      </w:r>
      <w:r w:rsidRPr="00BC3FE6">
        <w:rPr>
          <w:rFonts w:cs="Arial"/>
          <w:sz w:val="24"/>
          <w:szCs w:val="24"/>
          <w:highlight w:val="magenta"/>
        </w:rPr>
        <w:t>.</w:t>
      </w:r>
    </w:p>
    <w:p w:rsidR="00B03029" w:rsidRPr="00BC44FA" w:rsidRDefault="00B03029" w:rsidP="00C470CE">
      <w:pPr>
        <w:pStyle w:val="Sinespaciado"/>
        <w:ind w:left="720"/>
        <w:rPr>
          <w:rFonts w:cs="Arial"/>
          <w:sz w:val="24"/>
          <w:szCs w:val="24"/>
        </w:rPr>
      </w:pPr>
    </w:p>
    <w:p w:rsidR="00B03029" w:rsidRPr="00BC44FA" w:rsidRDefault="00B03029" w:rsidP="00C470CE">
      <w:pPr>
        <w:pStyle w:val="Sinespaciado"/>
        <w:ind w:left="720"/>
        <w:jc w:val="both"/>
        <w:rPr>
          <w:rFonts w:cs="Arial"/>
          <w:sz w:val="24"/>
          <w:szCs w:val="24"/>
        </w:rPr>
      </w:pPr>
      <w:r w:rsidRPr="00BC44FA">
        <w:rPr>
          <w:rFonts w:cs="Arial"/>
          <w:sz w:val="24"/>
          <w:szCs w:val="24"/>
        </w:rPr>
        <w:t xml:space="preserve">De acuerdo con el Comité Nacional de Alfabetización </w:t>
      </w:r>
      <w:r w:rsidR="00A01381" w:rsidRPr="00BC44FA">
        <w:rPr>
          <w:rFonts w:cs="Arial"/>
          <w:sz w:val="24"/>
          <w:szCs w:val="24"/>
        </w:rPr>
        <w:t>(</w:t>
      </w:r>
      <w:r w:rsidRPr="00BC44FA">
        <w:rPr>
          <w:rFonts w:cs="Arial"/>
          <w:sz w:val="24"/>
          <w:szCs w:val="24"/>
        </w:rPr>
        <w:t>CONALFA</w:t>
      </w:r>
      <w:r w:rsidR="00A01381" w:rsidRPr="00BC44FA">
        <w:rPr>
          <w:rFonts w:cs="Arial"/>
          <w:sz w:val="24"/>
          <w:szCs w:val="24"/>
        </w:rPr>
        <w:t>),</w:t>
      </w:r>
      <w:r w:rsidRPr="00BC44FA">
        <w:rPr>
          <w:rFonts w:cs="Arial"/>
          <w:sz w:val="24"/>
          <w:szCs w:val="24"/>
        </w:rPr>
        <w:t xml:space="preserve"> para 1994 </w:t>
      </w:r>
      <w:r w:rsidR="00A01381" w:rsidRPr="00BC44FA">
        <w:rPr>
          <w:rFonts w:cs="Arial"/>
          <w:sz w:val="24"/>
          <w:szCs w:val="24"/>
        </w:rPr>
        <w:t>el</w:t>
      </w:r>
      <w:r w:rsidRPr="00BC44FA">
        <w:rPr>
          <w:rFonts w:cs="Arial"/>
          <w:sz w:val="24"/>
          <w:szCs w:val="24"/>
        </w:rPr>
        <w:t xml:space="preserve"> 61% de la población guatemalteca tenía capacidades de lectura y escritura, mientras que para el 2011 este valor se ubicó en 82.5%, es decir que en 17 años, la población analfabeta se redujo un 14.21%, lo cual es positivo para el país</w:t>
      </w:r>
      <w:r w:rsidR="00A01381" w:rsidRPr="00BC44FA">
        <w:rPr>
          <w:rFonts w:cs="Arial"/>
          <w:sz w:val="24"/>
          <w:szCs w:val="24"/>
        </w:rPr>
        <w:t xml:space="preserve"> (</w:t>
      </w:r>
      <w:r w:rsidR="00BC3FE6">
        <w:rPr>
          <w:rFonts w:cs="Calibri"/>
          <w:sz w:val="24"/>
          <w:szCs w:val="24"/>
          <w:lang w:val="es-MX"/>
        </w:rPr>
        <w:t xml:space="preserve">IARNA-URL y </w:t>
      </w:r>
      <w:r w:rsidR="00A01381" w:rsidRPr="00BC44FA">
        <w:rPr>
          <w:rFonts w:cs="Calibri"/>
          <w:sz w:val="24"/>
          <w:szCs w:val="24"/>
          <w:lang w:val="es-MX"/>
        </w:rPr>
        <w:t>SEGEPLAN, 2012</w:t>
      </w:r>
      <w:r w:rsidR="00A01381" w:rsidRPr="00BC44FA">
        <w:rPr>
          <w:rFonts w:cs="Arial"/>
          <w:sz w:val="24"/>
          <w:szCs w:val="24"/>
        </w:rPr>
        <w:t>)</w:t>
      </w:r>
      <w:r w:rsidRPr="00BC44FA">
        <w:rPr>
          <w:rFonts w:cs="Arial"/>
          <w:sz w:val="24"/>
          <w:szCs w:val="24"/>
        </w:rPr>
        <w:t>.</w:t>
      </w:r>
    </w:p>
    <w:p w:rsidR="00B03029" w:rsidRPr="00A01381" w:rsidRDefault="00B03029" w:rsidP="00A01381">
      <w:pPr>
        <w:pStyle w:val="Prrafodelista"/>
        <w:numPr>
          <w:ilvl w:val="0"/>
          <w:numId w:val="66"/>
        </w:numPr>
        <w:autoSpaceDE w:val="0"/>
        <w:autoSpaceDN w:val="0"/>
        <w:adjustRightInd w:val="0"/>
        <w:jc w:val="both"/>
        <w:rPr>
          <w:rFonts w:cs="Calibri"/>
          <w:b/>
          <w:color w:val="365F91"/>
          <w:lang w:eastAsia="es-GT"/>
        </w:rPr>
      </w:pPr>
      <w:bookmarkStart w:id="73" w:name="_Toc331535185"/>
      <w:r w:rsidRPr="00A01381">
        <w:rPr>
          <w:rFonts w:cs="Calibri"/>
          <w:b/>
          <w:color w:val="365F91"/>
          <w:lang w:eastAsia="es-GT"/>
        </w:rPr>
        <w:lastRenderedPageBreak/>
        <w:t>Tasa de logro de la educación primaria</w:t>
      </w:r>
      <w:bookmarkEnd w:id="73"/>
    </w:p>
    <w:p w:rsidR="00B03029" w:rsidRPr="00BC44FA" w:rsidRDefault="001E0F49" w:rsidP="00C470CE">
      <w:pPr>
        <w:pStyle w:val="Sinespaciado"/>
        <w:ind w:left="720"/>
        <w:jc w:val="both"/>
        <w:rPr>
          <w:rFonts w:cs="Arial"/>
          <w:sz w:val="24"/>
          <w:szCs w:val="24"/>
        </w:rPr>
      </w:pPr>
      <w:r w:rsidRPr="00BC44FA">
        <w:rPr>
          <w:rFonts w:cs="Arial"/>
          <w:sz w:val="24"/>
          <w:szCs w:val="24"/>
        </w:rPr>
        <w:t>E</w:t>
      </w:r>
      <w:r w:rsidR="00517C1B" w:rsidRPr="00BC44FA">
        <w:rPr>
          <w:rFonts w:cs="Arial"/>
          <w:sz w:val="24"/>
          <w:szCs w:val="24"/>
        </w:rPr>
        <w:t>s solo un factor de crecimiento económico</w:t>
      </w:r>
      <w:r w:rsidRPr="00BC44FA">
        <w:rPr>
          <w:rFonts w:cs="Arial"/>
          <w:sz w:val="24"/>
          <w:szCs w:val="24"/>
        </w:rPr>
        <w:t>, así como</w:t>
      </w:r>
      <w:r w:rsidR="00517C1B" w:rsidRPr="00BC44FA">
        <w:rPr>
          <w:rFonts w:cs="Arial"/>
          <w:sz w:val="24"/>
          <w:szCs w:val="24"/>
        </w:rPr>
        <w:t xml:space="preserve"> un ingrediente fundamental para el desarrollo social, incluida la formación de buenos ciudadanos. </w:t>
      </w:r>
      <w:r w:rsidR="00B03029" w:rsidRPr="00BC44FA">
        <w:rPr>
          <w:rFonts w:cs="Arial"/>
          <w:sz w:val="24"/>
          <w:szCs w:val="24"/>
        </w:rPr>
        <w:t>Expresa la tasa de estudiantes de ambos sexos que finalizan con éxito el último grado de educación primaria en un año dado, considerando el total de la población de niños que se encuentran en edad oficial de egresar de ese grado y nivel.</w:t>
      </w:r>
      <w:r w:rsidR="00141A70" w:rsidRPr="00BC44FA">
        <w:rPr>
          <w:rFonts w:cs="Arial"/>
          <w:sz w:val="24"/>
          <w:szCs w:val="24"/>
        </w:rPr>
        <w:t xml:space="preserve"> </w:t>
      </w:r>
      <w:r w:rsidR="00B03029" w:rsidRPr="00BC44FA">
        <w:rPr>
          <w:rFonts w:cs="Arial"/>
          <w:sz w:val="24"/>
          <w:szCs w:val="24"/>
        </w:rPr>
        <w:t>La medición de este indicador es útil para señalar la eficiencia y habilidad del sistema educativo para alfabetizar a la población.</w:t>
      </w:r>
      <w:r w:rsidR="00517C1B" w:rsidRPr="00BC44FA">
        <w:rPr>
          <w:rFonts w:cs="Arial"/>
          <w:sz w:val="24"/>
          <w:szCs w:val="24"/>
        </w:rPr>
        <w:t xml:space="preserve"> </w:t>
      </w:r>
      <w:r w:rsidR="00B03029" w:rsidRPr="00BC44FA">
        <w:rPr>
          <w:rFonts w:cs="Arial"/>
          <w:sz w:val="24"/>
          <w:szCs w:val="24"/>
        </w:rPr>
        <w:t>De acuerdo con los datos del MINEDUC, para 1996 el indicador se ubicó en 74.47% de alumnos promovidos, mientras que para el 2009 este valor se ubicó en 81.65%</w:t>
      </w:r>
      <w:r w:rsidR="00517C1B" w:rsidRPr="00BC44FA">
        <w:rPr>
          <w:rFonts w:cs="Arial"/>
          <w:sz w:val="24"/>
          <w:szCs w:val="24"/>
        </w:rPr>
        <w:t xml:space="preserve"> (</w:t>
      </w:r>
      <w:r w:rsidR="00BC3FE6">
        <w:rPr>
          <w:rFonts w:cs="Calibri"/>
          <w:sz w:val="24"/>
          <w:szCs w:val="24"/>
          <w:lang w:val="es-MX"/>
        </w:rPr>
        <w:t xml:space="preserve">IARNA-URL y </w:t>
      </w:r>
      <w:r w:rsidR="00517C1B" w:rsidRPr="00BC44FA">
        <w:rPr>
          <w:rFonts w:cs="Calibri"/>
          <w:sz w:val="24"/>
          <w:szCs w:val="24"/>
          <w:lang w:val="es-MX"/>
        </w:rPr>
        <w:t>SEGEPLAN, 2012</w:t>
      </w:r>
      <w:r w:rsidR="00517C1B" w:rsidRPr="00BC44FA">
        <w:rPr>
          <w:rFonts w:cs="Arial"/>
          <w:sz w:val="24"/>
          <w:szCs w:val="24"/>
        </w:rPr>
        <w:t>)</w:t>
      </w:r>
      <w:r w:rsidR="00B03029" w:rsidRPr="00BC44FA">
        <w:rPr>
          <w:rFonts w:cs="Arial"/>
          <w:sz w:val="24"/>
          <w:szCs w:val="24"/>
        </w:rPr>
        <w:t>.</w:t>
      </w:r>
    </w:p>
    <w:p w:rsidR="00B03029" w:rsidRPr="00854540" w:rsidRDefault="00B03029" w:rsidP="00200CF1">
      <w:pPr>
        <w:pStyle w:val="Sinespaciado"/>
        <w:ind w:left="360"/>
        <w:rPr>
          <w:rFonts w:cs="Arial"/>
          <w:color w:val="FF0000"/>
          <w:sz w:val="24"/>
          <w:szCs w:val="24"/>
        </w:rPr>
      </w:pPr>
    </w:p>
    <w:p w:rsidR="00B03029" w:rsidRPr="00517C1B" w:rsidRDefault="00B03029" w:rsidP="00517C1B">
      <w:pPr>
        <w:pStyle w:val="Prrafodelista"/>
        <w:numPr>
          <w:ilvl w:val="0"/>
          <w:numId w:val="66"/>
        </w:numPr>
        <w:autoSpaceDE w:val="0"/>
        <w:autoSpaceDN w:val="0"/>
        <w:adjustRightInd w:val="0"/>
        <w:jc w:val="both"/>
        <w:rPr>
          <w:rFonts w:cs="Calibri"/>
          <w:b/>
          <w:color w:val="365F91"/>
          <w:lang w:eastAsia="es-GT"/>
        </w:rPr>
      </w:pPr>
      <w:bookmarkStart w:id="74" w:name="_Toc331535186"/>
      <w:r w:rsidRPr="00517C1B">
        <w:rPr>
          <w:rFonts w:cs="Calibri"/>
          <w:b/>
          <w:color w:val="365F91"/>
          <w:lang w:eastAsia="es-GT"/>
        </w:rPr>
        <w:t>Esperanza de vida al nacer</w:t>
      </w:r>
      <w:bookmarkEnd w:id="74"/>
    </w:p>
    <w:p w:rsidR="00B03029" w:rsidRPr="00BC44FA" w:rsidRDefault="00B03029" w:rsidP="00C470CE">
      <w:pPr>
        <w:pStyle w:val="Sinespaciado"/>
        <w:ind w:left="720"/>
        <w:jc w:val="both"/>
        <w:rPr>
          <w:rFonts w:cs="Arial"/>
          <w:sz w:val="24"/>
          <w:szCs w:val="24"/>
        </w:rPr>
      </w:pPr>
      <w:r w:rsidRPr="00BC44FA">
        <w:rPr>
          <w:rFonts w:cs="Arial"/>
          <w:sz w:val="24"/>
          <w:szCs w:val="24"/>
        </w:rPr>
        <w:t>La esperanza de vida al nacer es un indicador de desarrollo del subsistema social, y se define como el número promedio de años que viviría un grupo de personas nacidas el mismo año, si la tasa de mortalidad se mantiene constante. Se dice que la esperanza de vida es una medida de la calidad de vida de un país, además de estar estrechamente relacionad</w:t>
      </w:r>
      <w:r w:rsidR="00BC3FE6">
        <w:rPr>
          <w:rFonts w:cs="Arial"/>
          <w:sz w:val="24"/>
          <w:szCs w:val="24"/>
        </w:rPr>
        <w:t>a</w:t>
      </w:r>
      <w:r w:rsidRPr="00BC44FA">
        <w:rPr>
          <w:rFonts w:cs="Arial"/>
          <w:sz w:val="24"/>
          <w:szCs w:val="24"/>
        </w:rPr>
        <w:t xml:space="preserve"> con las condiciones sanitarias.</w:t>
      </w:r>
      <w:r w:rsidR="00BA46F2" w:rsidRPr="00BC44FA">
        <w:rPr>
          <w:rFonts w:cs="Arial"/>
          <w:sz w:val="24"/>
          <w:szCs w:val="24"/>
        </w:rPr>
        <w:t xml:space="preserve"> </w:t>
      </w:r>
      <w:r w:rsidR="00BC3FE6">
        <w:rPr>
          <w:rFonts w:cs="Arial"/>
          <w:sz w:val="24"/>
          <w:szCs w:val="24"/>
        </w:rPr>
        <w:t xml:space="preserve">Según el INE, la esperanza de vida en el país </w:t>
      </w:r>
      <w:r w:rsidRPr="00BC44FA">
        <w:rPr>
          <w:rFonts w:cs="Arial"/>
          <w:sz w:val="24"/>
          <w:szCs w:val="24"/>
        </w:rPr>
        <w:t>ha evolucionado favorablemente pasando de 63 años para 1990 a 71.4 años en 2010</w:t>
      </w:r>
      <w:r w:rsidR="00BA46F2" w:rsidRPr="00BC44FA">
        <w:rPr>
          <w:rFonts w:cs="Arial"/>
          <w:sz w:val="24"/>
          <w:szCs w:val="24"/>
        </w:rPr>
        <w:t>.</w:t>
      </w:r>
      <w:r w:rsidRPr="00BC44FA">
        <w:rPr>
          <w:rFonts w:cs="Arial"/>
          <w:sz w:val="24"/>
          <w:szCs w:val="24"/>
        </w:rPr>
        <w:t xml:space="preserve"> </w:t>
      </w:r>
      <w:r w:rsidR="00BA46F2" w:rsidRPr="00BC44FA">
        <w:rPr>
          <w:rFonts w:cs="Arial"/>
          <w:sz w:val="24"/>
          <w:szCs w:val="24"/>
        </w:rPr>
        <w:t xml:space="preserve">Sin </w:t>
      </w:r>
      <w:r w:rsidRPr="00BC44FA">
        <w:rPr>
          <w:rFonts w:cs="Arial"/>
          <w:sz w:val="24"/>
          <w:szCs w:val="24"/>
        </w:rPr>
        <w:t>embargo, a pesar de la tendencia positiva que ha mostrado el indicador, posee una tasa de variación menor de 0.65%.</w:t>
      </w:r>
      <w:r w:rsidR="00BA46F2" w:rsidRPr="00BC44FA">
        <w:rPr>
          <w:rFonts w:cs="Arial"/>
          <w:sz w:val="24"/>
          <w:szCs w:val="24"/>
        </w:rPr>
        <w:t xml:space="preserve"> </w:t>
      </w:r>
      <w:r w:rsidRPr="00BC44FA">
        <w:rPr>
          <w:rFonts w:cs="Arial"/>
          <w:sz w:val="24"/>
          <w:szCs w:val="24"/>
        </w:rPr>
        <w:t xml:space="preserve">Guatemala presenta </w:t>
      </w:r>
      <w:r w:rsidR="00BA46F2" w:rsidRPr="00BC44FA">
        <w:rPr>
          <w:rFonts w:cs="Arial"/>
          <w:sz w:val="24"/>
          <w:szCs w:val="24"/>
        </w:rPr>
        <w:t xml:space="preserve">una de las </w:t>
      </w:r>
      <w:r w:rsidRPr="00BC44FA">
        <w:rPr>
          <w:rFonts w:cs="Arial"/>
          <w:sz w:val="24"/>
          <w:szCs w:val="24"/>
        </w:rPr>
        <w:t>esperanza</w:t>
      </w:r>
      <w:r w:rsidR="00BA46F2" w:rsidRPr="00BC44FA">
        <w:rPr>
          <w:rFonts w:cs="Arial"/>
          <w:sz w:val="24"/>
          <w:szCs w:val="24"/>
        </w:rPr>
        <w:t>s</w:t>
      </w:r>
      <w:r w:rsidRPr="00BC44FA">
        <w:rPr>
          <w:rFonts w:cs="Arial"/>
          <w:sz w:val="24"/>
          <w:szCs w:val="24"/>
        </w:rPr>
        <w:t xml:space="preserve"> de vida </w:t>
      </w:r>
      <w:r w:rsidR="00BA46F2" w:rsidRPr="00BC44FA">
        <w:rPr>
          <w:rFonts w:cs="Arial"/>
          <w:sz w:val="24"/>
          <w:szCs w:val="24"/>
        </w:rPr>
        <w:t>más</w:t>
      </w:r>
      <w:r w:rsidRPr="00BC44FA">
        <w:rPr>
          <w:rFonts w:cs="Arial"/>
          <w:sz w:val="24"/>
          <w:szCs w:val="24"/>
        </w:rPr>
        <w:t xml:space="preserve"> bajas</w:t>
      </w:r>
      <w:r w:rsidR="00BA46F2" w:rsidRPr="00BC44FA">
        <w:rPr>
          <w:rFonts w:cs="Arial"/>
          <w:sz w:val="24"/>
          <w:szCs w:val="24"/>
        </w:rPr>
        <w:t xml:space="preserve"> a nivel latinoamericano</w:t>
      </w:r>
      <w:r w:rsidR="004E09C4" w:rsidRPr="00BC44FA">
        <w:rPr>
          <w:rFonts w:cs="Arial"/>
          <w:sz w:val="24"/>
          <w:szCs w:val="24"/>
        </w:rPr>
        <w:t xml:space="preserve"> </w:t>
      </w:r>
      <w:r w:rsidR="00BC3FE6" w:rsidRPr="00BC44FA">
        <w:rPr>
          <w:rFonts w:cs="Arial"/>
          <w:sz w:val="24"/>
          <w:szCs w:val="24"/>
        </w:rPr>
        <w:t>(</w:t>
      </w:r>
      <w:r w:rsidR="00BC3FE6">
        <w:rPr>
          <w:rFonts w:cs="Calibri"/>
          <w:sz w:val="24"/>
          <w:szCs w:val="24"/>
          <w:lang w:val="es-MX"/>
        </w:rPr>
        <w:t xml:space="preserve">IARNA-URL y </w:t>
      </w:r>
      <w:r w:rsidR="00BC3FE6" w:rsidRPr="00BC44FA">
        <w:rPr>
          <w:rFonts w:cs="Calibri"/>
          <w:sz w:val="24"/>
          <w:szCs w:val="24"/>
          <w:lang w:val="es-MX"/>
        </w:rPr>
        <w:t>SEGEPLAN, 2012</w:t>
      </w:r>
      <w:r w:rsidR="00BC3FE6" w:rsidRPr="00BC44FA">
        <w:rPr>
          <w:rFonts w:cs="Arial"/>
          <w:sz w:val="24"/>
          <w:szCs w:val="24"/>
        </w:rPr>
        <w:t>).</w:t>
      </w:r>
      <w:r w:rsidR="00BC3FE6">
        <w:rPr>
          <w:rFonts w:cs="Arial"/>
          <w:sz w:val="24"/>
          <w:szCs w:val="24"/>
        </w:rPr>
        <w:t xml:space="preserve"> </w:t>
      </w:r>
    </w:p>
    <w:p w:rsidR="00BA46F2" w:rsidRPr="00854540" w:rsidRDefault="00BA46F2" w:rsidP="00200CF1">
      <w:pPr>
        <w:pStyle w:val="Sinespaciado"/>
        <w:ind w:left="360"/>
        <w:jc w:val="both"/>
        <w:rPr>
          <w:rFonts w:cs="Arial"/>
          <w:color w:val="FF0000"/>
          <w:sz w:val="24"/>
          <w:szCs w:val="24"/>
        </w:rPr>
      </w:pPr>
    </w:p>
    <w:p w:rsidR="00B03029" w:rsidRPr="00BA46F2" w:rsidRDefault="00B03029" w:rsidP="00BA46F2">
      <w:pPr>
        <w:pStyle w:val="Prrafodelista"/>
        <w:numPr>
          <w:ilvl w:val="0"/>
          <w:numId w:val="66"/>
        </w:numPr>
        <w:autoSpaceDE w:val="0"/>
        <w:autoSpaceDN w:val="0"/>
        <w:adjustRightInd w:val="0"/>
        <w:jc w:val="both"/>
        <w:rPr>
          <w:rFonts w:cs="Calibri"/>
          <w:b/>
          <w:color w:val="365F91"/>
          <w:lang w:eastAsia="es-GT"/>
        </w:rPr>
      </w:pPr>
      <w:bookmarkStart w:id="75" w:name="_Toc331535187"/>
      <w:r w:rsidRPr="00BA46F2">
        <w:rPr>
          <w:rFonts w:cs="Calibri"/>
          <w:b/>
          <w:color w:val="365F91"/>
          <w:lang w:eastAsia="es-GT"/>
        </w:rPr>
        <w:t xml:space="preserve">Tasa de mortalidad en menores de </w:t>
      </w:r>
      <w:r w:rsidR="00BC3FE6">
        <w:rPr>
          <w:rFonts w:cs="Calibri"/>
          <w:b/>
          <w:color w:val="365F91"/>
          <w:lang w:eastAsia="es-GT"/>
        </w:rPr>
        <w:t>cinco</w:t>
      </w:r>
      <w:r w:rsidRPr="00BA46F2">
        <w:rPr>
          <w:rFonts w:cs="Calibri"/>
          <w:b/>
          <w:color w:val="365F91"/>
          <w:lang w:eastAsia="es-GT"/>
        </w:rPr>
        <w:t xml:space="preserve"> años por cada mil niños</w:t>
      </w:r>
      <w:bookmarkEnd w:id="75"/>
    </w:p>
    <w:p w:rsidR="00B03029" w:rsidRPr="00BC44FA" w:rsidRDefault="00B03029" w:rsidP="00C470CE">
      <w:pPr>
        <w:pStyle w:val="Sinespaciado"/>
        <w:ind w:left="720"/>
        <w:jc w:val="both"/>
        <w:rPr>
          <w:rFonts w:cs="Arial"/>
          <w:sz w:val="24"/>
          <w:szCs w:val="24"/>
        </w:rPr>
      </w:pPr>
      <w:r w:rsidRPr="00BC44FA">
        <w:rPr>
          <w:rFonts w:cs="Arial"/>
          <w:sz w:val="24"/>
          <w:szCs w:val="24"/>
        </w:rPr>
        <w:t xml:space="preserve">La tasa de mortalidad en </w:t>
      </w:r>
      <w:r w:rsidR="00BA46F2" w:rsidRPr="00BC44FA">
        <w:rPr>
          <w:rFonts w:cs="Arial"/>
          <w:sz w:val="24"/>
          <w:szCs w:val="24"/>
        </w:rPr>
        <w:t xml:space="preserve">niños </w:t>
      </w:r>
      <w:r w:rsidRPr="00BC44FA">
        <w:rPr>
          <w:rFonts w:cs="Arial"/>
          <w:sz w:val="24"/>
          <w:szCs w:val="24"/>
        </w:rPr>
        <w:t xml:space="preserve">menores de </w:t>
      </w:r>
      <w:r w:rsidR="00BC3FE6">
        <w:rPr>
          <w:rFonts w:cs="Arial"/>
          <w:sz w:val="24"/>
          <w:szCs w:val="24"/>
        </w:rPr>
        <w:t>cinco</w:t>
      </w:r>
      <w:r w:rsidRPr="00BC44FA">
        <w:rPr>
          <w:rFonts w:cs="Arial"/>
          <w:sz w:val="24"/>
          <w:szCs w:val="24"/>
        </w:rPr>
        <w:t xml:space="preserve"> años</w:t>
      </w:r>
      <w:r w:rsidR="00BA46F2" w:rsidRPr="00BC44FA">
        <w:rPr>
          <w:rFonts w:cs="Arial"/>
          <w:sz w:val="24"/>
          <w:szCs w:val="24"/>
        </w:rPr>
        <w:t>,</w:t>
      </w:r>
      <w:r w:rsidRPr="00BC44FA">
        <w:rPr>
          <w:rFonts w:cs="Arial"/>
          <w:sz w:val="24"/>
          <w:szCs w:val="24"/>
        </w:rPr>
        <w:t xml:space="preserve"> también conocid</w:t>
      </w:r>
      <w:r w:rsidR="00BC3FE6">
        <w:rPr>
          <w:rFonts w:cs="Arial"/>
          <w:sz w:val="24"/>
          <w:szCs w:val="24"/>
        </w:rPr>
        <w:t>a</w:t>
      </w:r>
      <w:r w:rsidRPr="00BC44FA">
        <w:rPr>
          <w:rFonts w:cs="Arial"/>
          <w:sz w:val="24"/>
          <w:szCs w:val="24"/>
        </w:rPr>
        <w:t xml:space="preserve"> como tasa de mortalidad en la niñez, expresa la probabilidad de </w:t>
      </w:r>
      <w:r w:rsidR="00BC3FE6">
        <w:rPr>
          <w:rFonts w:cs="Arial"/>
          <w:sz w:val="24"/>
          <w:szCs w:val="24"/>
        </w:rPr>
        <w:t>muerte</w:t>
      </w:r>
      <w:r w:rsidRPr="00BC44FA">
        <w:rPr>
          <w:rFonts w:cs="Arial"/>
          <w:sz w:val="24"/>
          <w:szCs w:val="24"/>
        </w:rPr>
        <w:t xml:space="preserve"> de un recién nacido antes de cumplir los </w:t>
      </w:r>
      <w:r w:rsidR="00BC3FE6">
        <w:rPr>
          <w:rFonts w:cs="Arial"/>
          <w:sz w:val="24"/>
          <w:szCs w:val="24"/>
        </w:rPr>
        <w:t>cinco</w:t>
      </w:r>
      <w:r w:rsidRPr="00BC44FA">
        <w:rPr>
          <w:rFonts w:cs="Arial"/>
          <w:sz w:val="24"/>
          <w:szCs w:val="24"/>
        </w:rPr>
        <w:t xml:space="preserve"> años de vida. Este indicador </w:t>
      </w:r>
      <w:r w:rsidR="00BA46F2" w:rsidRPr="00BC44FA">
        <w:rPr>
          <w:rFonts w:cs="Arial"/>
          <w:sz w:val="24"/>
          <w:szCs w:val="24"/>
        </w:rPr>
        <w:t>está</w:t>
      </w:r>
      <w:r w:rsidRPr="00BC44FA">
        <w:rPr>
          <w:rFonts w:cs="Arial"/>
          <w:sz w:val="24"/>
          <w:szCs w:val="24"/>
        </w:rPr>
        <w:t xml:space="preserve"> asociado </w:t>
      </w:r>
      <w:r w:rsidR="00817D58">
        <w:rPr>
          <w:rFonts w:cs="Arial"/>
          <w:sz w:val="24"/>
          <w:szCs w:val="24"/>
        </w:rPr>
        <w:t>a</w:t>
      </w:r>
      <w:r w:rsidRPr="00BC44FA">
        <w:rPr>
          <w:rFonts w:cs="Arial"/>
          <w:sz w:val="24"/>
          <w:szCs w:val="24"/>
        </w:rPr>
        <w:t xml:space="preserve">l aumento de los niveles de educación de las madres, al nivel de urbanización y al acceso a los servicios </w:t>
      </w:r>
      <w:r w:rsidR="00BA46F2" w:rsidRPr="00BC44FA">
        <w:rPr>
          <w:rFonts w:cs="Arial"/>
          <w:sz w:val="24"/>
          <w:szCs w:val="24"/>
        </w:rPr>
        <w:t>de salud</w:t>
      </w:r>
      <w:r w:rsidR="00780BE5" w:rsidRPr="00BC44FA">
        <w:rPr>
          <w:rFonts w:cs="Arial"/>
          <w:sz w:val="24"/>
          <w:szCs w:val="24"/>
        </w:rPr>
        <w:t>,</w:t>
      </w:r>
      <w:r w:rsidRPr="00BC44FA">
        <w:rPr>
          <w:rFonts w:cs="Arial"/>
          <w:sz w:val="24"/>
          <w:szCs w:val="24"/>
        </w:rPr>
        <w:t xml:space="preserve"> por lo que forma parte del objetivo 4 “</w:t>
      </w:r>
      <w:r w:rsidR="00BA46F2" w:rsidRPr="00BC44FA">
        <w:rPr>
          <w:rFonts w:cs="Arial"/>
          <w:sz w:val="24"/>
          <w:szCs w:val="24"/>
        </w:rPr>
        <w:t>R</w:t>
      </w:r>
      <w:r w:rsidRPr="00BC44FA">
        <w:rPr>
          <w:rFonts w:cs="Arial"/>
          <w:sz w:val="24"/>
          <w:szCs w:val="24"/>
        </w:rPr>
        <w:t>educir la mortalidad de los niños menores de cinco años” de los Objetivos</w:t>
      </w:r>
      <w:r w:rsidR="00BA46F2" w:rsidRPr="00BC44FA">
        <w:rPr>
          <w:rFonts w:cs="Arial"/>
          <w:sz w:val="24"/>
          <w:szCs w:val="24"/>
        </w:rPr>
        <w:t xml:space="preserve"> de Desarrollo del Milenio</w:t>
      </w:r>
      <w:r w:rsidRPr="00BC44FA">
        <w:rPr>
          <w:rFonts w:cs="Arial"/>
          <w:sz w:val="24"/>
          <w:szCs w:val="24"/>
        </w:rPr>
        <w:t>.</w:t>
      </w:r>
    </w:p>
    <w:p w:rsidR="00B03029" w:rsidRPr="00BC44FA" w:rsidRDefault="00B03029" w:rsidP="00C470CE">
      <w:pPr>
        <w:pStyle w:val="Sinespaciado"/>
        <w:ind w:left="720"/>
        <w:jc w:val="both"/>
        <w:rPr>
          <w:rFonts w:cs="Arial"/>
          <w:sz w:val="24"/>
          <w:szCs w:val="24"/>
        </w:rPr>
      </w:pPr>
    </w:p>
    <w:p w:rsidR="00B03029" w:rsidRPr="00BC44FA" w:rsidRDefault="00BC44FA" w:rsidP="00C470CE">
      <w:pPr>
        <w:pStyle w:val="Sinespaciado"/>
        <w:ind w:left="720"/>
        <w:jc w:val="both"/>
        <w:rPr>
          <w:rFonts w:cs="Arial"/>
          <w:sz w:val="24"/>
          <w:szCs w:val="24"/>
        </w:rPr>
      </w:pPr>
      <w:r>
        <w:rPr>
          <w:rFonts w:cs="Arial"/>
          <w:sz w:val="24"/>
          <w:szCs w:val="24"/>
        </w:rPr>
        <w:t>De acuerdo con</w:t>
      </w:r>
      <w:r w:rsidR="00B03029" w:rsidRPr="00BC44FA">
        <w:rPr>
          <w:rFonts w:cs="Arial"/>
          <w:sz w:val="24"/>
          <w:szCs w:val="24"/>
        </w:rPr>
        <w:t xml:space="preserve"> los datos presentados en el informe de avances </w:t>
      </w:r>
      <w:r w:rsidR="00817D58">
        <w:rPr>
          <w:rFonts w:cs="Arial"/>
          <w:sz w:val="24"/>
          <w:szCs w:val="24"/>
        </w:rPr>
        <w:t>d</w:t>
      </w:r>
      <w:r w:rsidR="00B03029" w:rsidRPr="00BC44FA">
        <w:rPr>
          <w:rFonts w:cs="Arial"/>
          <w:sz w:val="24"/>
          <w:szCs w:val="24"/>
        </w:rPr>
        <w:t>el cumplimiento de los objetivos de desarrollo del milenio, Guatemala ha mostrado un importante descenso, pasando de 110 muertes por cada mil nacidos vivos para el año 1987 a 40</w:t>
      </w:r>
      <w:r w:rsidR="00B03029" w:rsidRPr="00BC44FA">
        <w:rPr>
          <w:rStyle w:val="Refdenotaalpie"/>
          <w:rFonts w:cs="Arial"/>
          <w:sz w:val="24"/>
          <w:szCs w:val="24"/>
        </w:rPr>
        <w:footnoteReference w:id="3"/>
      </w:r>
      <w:r w:rsidR="00B03029" w:rsidRPr="00BC44FA">
        <w:rPr>
          <w:rFonts w:cs="Arial"/>
          <w:sz w:val="24"/>
          <w:szCs w:val="24"/>
        </w:rPr>
        <w:t xml:space="preserve"> muertes por cada mil nacidos vivos para el año 2010 (SEGEPLAN, 2010</w:t>
      </w:r>
      <w:r w:rsidR="004E09C4" w:rsidRPr="00BC44FA">
        <w:rPr>
          <w:rFonts w:cs="Arial"/>
          <w:sz w:val="24"/>
          <w:szCs w:val="24"/>
        </w:rPr>
        <w:t xml:space="preserve">, citado por </w:t>
      </w:r>
      <w:r w:rsidR="00817D58">
        <w:rPr>
          <w:rFonts w:cs="Calibri"/>
          <w:sz w:val="24"/>
          <w:szCs w:val="24"/>
          <w:lang w:val="es-MX"/>
        </w:rPr>
        <w:t xml:space="preserve">IARNA-URL y </w:t>
      </w:r>
      <w:r w:rsidR="004E09C4" w:rsidRPr="00BC44FA">
        <w:rPr>
          <w:rFonts w:cs="Calibri"/>
          <w:sz w:val="24"/>
          <w:szCs w:val="24"/>
          <w:lang w:val="es-MX"/>
        </w:rPr>
        <w:t>SEGEPLAN, 2012</w:t>
      </w:r>
      <w:r w:rsidR="004E09C4" w:rsidRPr="00BC44FA">
        <w:rPr>
          <w:rFonts w:cs="Arial"/>
          <w:sz w:val="24"/>
          <w:szCs w:val="24"/>
        </w:rPr>
        <w:t>)</w:t>
      </w:r>
      <w:r w:rsidR="00B03029" w:rsidRPr="00BC44FA">
        <w:rPr>
          <w:rFonts w:cs="Arial"/>
          <w:sz w:val="24"/>
          <w:szCs w:val="24"/>
        </w:rPr>
        <w:t xml:space="preserve">. </w:t>
      </w:r>
    </w:p>
    <w:p w:rsidR="00B03029" w:rsidRPr="00854540" w:rsidRDefault="00B03029" w:rsidP="00200CF1">
      <w:pPr>
        <w:pStyle w:val="Sinespaciado"/>
        <w:ind w:left="360"/>
        <w:rPr>
          <w:rFonts w:cs="Arial"/>
          <w:color w:val="FF0000"/>
          <w:sz w:val="24"/>
          <w:szCs w:val="24"/>
        </w:rPr>
      </w:pPr>
    </w:p>
    <w:p w:rsidR="00B03029" w:rsidRPr="00BA46F2" w:rsidRDefault="00B03029" w:rsidP="00BA46F2">
      <w:pPr>
        <w:pStyle w:val="Prrafodelista"/>
        <w:numPr>
          <w:ilvl w:val="0"/>
          <w:numId w:val="66"/>
        </w:numPr>
        <w:autoSpaceDE w:val="0"/>
        <w:autoSpaceDN w:val="0"/>
        <w:adjustRightInd w:val="0"/>
        <w:jc w:val="both"/>
        <w:rPr>
          <w:rFonts w:cs="Calibri"/>
          <w:b/>
          <w:color w:val="365F91"/>
          <w:lang w:eastAsia="es-GT"/>
        </w:rPr>
      </w:pPr>
      <w:bookmarkStart w:id="76" w:name="_Toc331535188"/>
      <w:r w:rsidRPr="00BA46F2">
        <w:rPr>
          <w:rFonts w:cs="Calibri"/>
          <w:b/>
          <w:color w:val="365F91"/>
          <w:lang w:eastAsia="es-GT"/>
        </w:rPr>
        <w:t>Población con acceso a fuentes seguras de agua para el consumo</w:t>
      </w:r>
      <w:bookmarkEnd w:id="76"/>
    </w:p>
    <w:p w:rsidR="0010201A" w:rsidRPr="00BC44FA" w:rsidRDefault="0010201A" w:rsidP="00C470CE">
      <w:pPr>
        <w:pStyle w:val="Sinespaciado"/>
        <w:ind w:left="720"/>
        <w:jc w:val="both"/>
        <w:rPr>
          <w:rFonts w:cs="Arial"/>
          <w:sz w:val="24"/>
          <w:szCs w:val="24"/>
        </w:rPr>
      </w:pPr>
      <w:r w:rsidRPr="00BC44FA">
        <w:rPr>
          <w:rFonts w:cs="Arial"/>
          <w:sz w:val="24"/>
          <w:szCs w:val="24"/>
        </w:rPr>
        <w:t xml:space="preserve">Es considerado </w:t>
      </w:r>
      <w:r w:rsidR="001D5199">
        <w:rPr>
          <w:rFonts w:cs="Arial"/>
          <w:sz w:val="24"/>
          <w:szCs w:val="24"/>
        </w:rPr>
        <w:t xml:space="preserve">como </w:t>
      </w:r>
      <w:r w:rsidRPr="00BC44FA">
        <w:rPr>
          <w:rFonts w:cs="Arial"/>
          <w:sz w:val="24"/>
          <w:szCs w:val="24"/>
        </w:rPr>
        <w:t>un indicador de la salud de la población y de la capacidad del país de captar,</w:t>
      </w:r>
      <w:r w:rsidR="001D5199">
        <w:rPr>
          <w:rFonts w:cs="Arial"/>
          <w:sz w:val="24"/>
          <w:szCs w:val="24"/>
        </w:rPr>
        <w:t xml:space="preserve"> purificar y distribuir el agua. U</w:t>
      </w:r>
      <w:r w:rsidRPr="00BC44FA">
        <w:rPr>
          <w:rFonts w:cs="Arial"/>
          <w:sz w:val="24"/>
          <w:szCs w:val="24"/>
        </w:rPr>
        <w:t xml:space="preserve">na mejora en los servicios de abastecimiento y </w:t>
      </w:r>
      <w:r w:rsidRPr="00BC44FA">
        <w:rPr>
          <w:rFonts w:cs="Arial"/>
          <w:sz w:val="24"/>
          <w:szCs w:val="24"/>
        </w:rPr>
        <w:lastRenderedPageBreak/>
        <w:t>saneamiento s</w:t>
      </w:r>
      <w:r w:rsidR="001D5199">
        <w:rPr>
          <w:rFonts w:cs="Arial"/>
          <w:sz w:val="24"/>
          <w:szCs w:val="24"/>
        </w:rPr>
        <w:t>e ve reflejada</w:t>
      </w:r>
      <w:r w:rsidRPr="00BC44FA">
        <w:rPr>
          <w:rFonts w:cs="Arial"/>
          <w:sz w:val="24"/>
          <w:szCs w:val="24"/>
        </w:rPr>
        <w:t xml:space="preserve"> en mejoras en la salud y en la calidad de vida de la población, por lo que afecta directamente las perspectivas a largo plazo del desarrollo sostenible. </w:t>
      </w:r>
    </w:p>
    <w:p w:rsidR="003035EF" w:rsidRDefault="00B03029" w:rsidP="00C470CE">
      <w:pPr>
        <w:pStyle w:val="Sinespaciado"/>
        <w:ind w:left="720"/>
        <w:jc w:val="both"/>
        <w:rPr>
          <w:rFonts w:cs="Arial"/>
          <w:sz w:val="24"/>
          <w:szCs w:val="24"/>
        </w:rPr>
      </w:pPr>
      <w:r w:rsidRPr="00BC44FA">
        <w:rPr>
          <w:rFonts w:cs="Arial"/>
          <w:sz w:val="24"/>
          <w:szCs w:val="24"/>
        </w:rPr>
        <w:t>Se define como el porcentaje de la población que utiliza alguno de los siguientes tip</w:t>
      </w:r>
      <w:r w:rsidR="004E09C4" w:rsidRPr="00BC44FA">
        <w:rPr>
          <w:rFonts w:cs="Arial"/>
          <w:sz w:val="24"/>
          <w:szCs w:val="24"/>
        </w:rPr>
        <w:t>os</w:t>
      </w:r>
      <w:r w:rsidRPr="00BC44FA">
        <w:rPr>
          <w:rFonts w:cs="Arial"/>
          <w:sz w:val="24"/>
          <w:szCs w:val="24"/>
        </w:rPr>
        <w:t xml:space="preserve"> de abastecimiento de agua potable</w:t>
      </w:r>
      <w:r w:rsidRPr="00BC44FA">
        <w:rPr>
          <w:rStyle w:val="Refdenotaalpie"/>
          <w:rFonts w:cs="Arial"/>
          <w:sz w:val="24"/>
          <w:szCs w:val="24"/>
        </w:rPr>
        <w:footnoteReference w:id="4"/>
      </w:r>
      <w:r w:rsidRPr="00BC44FA">
        <w:rPr>
          <w:rFonts w:cs="Arial"/>
          <w:sz w:val="24"/>
          <w:szCs w:val="24"/>
        </w:rPr>
        <w:t xml:space="preserve">: tubería dentro de la vivienda, tubería fuera de la vivienda pero dentro del terreno y chorro público, bajo el supuesto que </w:t>
      </w:r>
      <w:r w:rsidR="004E09C4" w:rsidRPr="00BC44FA">
        <w:rPr>
          <w:rFonts w:cs="Arial"/>
          <w:sz w:val="24"/>
          <w:szCs w:val="24"/>
        </w:rPr>
        <w:t xml:space="preserve">estos </w:t>
      </w:r>
      <w:r w:rsidRPr="00BC44FA">
        <w:rPr>
          <w:rFonts w:cs="Arial"/>
          <w:sz w:val="24"/>
          <w:szCs w:val="24"/>
        </w:rPr>
        <w:t>reciben un tratamiento en la cloración del agua</w:t>
      </w:r>
      <w:r w:rsidR="004E09C4" w:rsidRPr="00BC44FA">
        <w:rPr>
          <w:rFonts w:cs="Arial"/>
          <w:sz w:val="24"/>
          <w:szCs w:val="24"/>
        </w:rPr>
        <w:t>. No</w:t>
      </w:r>
      <w:r w:rsidRPr="00BC44FA">
        <w:rPr>
          <w:rFonts w:cs="Arial"/>
          <w:sz w:val="24"/>
          <w:szCs w:val="24"/>
        </w:rPr>
        <w:t xml:space="preserve"> se incluyen como fuentes seguras: pozo perforado, río, lago, manantial, </w:t>
      </w:r>
      <w:r w:rsidR="003035EF">
        <w:rPr>
          <w:rFonts w:cs="Arial"/>
          <w:sz w:val="24"/>
          <w:szCs w:val="24"/>
        </w:rPr>
        <w:t>camión cisterna, agua de lluvia u</w:t>
      </w:r>
      <w:r w:rsidRPr="00BC44FA">
        <w:rPr>
          <w:rFonts w:cs="Arial"/>
          <w:sz w:val="24"/>
          <w:szCs w:val="24"/>
        </w:rPr>
        <w:t xml:space="preserve"> otro. </w:t>
      </w:r>
    </w:p>
    <w:p w:rsidR="003035EF" w:rsidRDefault="003035EF" w:rsidP="00C470CE">
      <w:pPr>
        <w:pStyle w:val="Sinespaciado"/>
        <w:ind w:left="720"/>
        <w:jc w:val="both"/>
        <w:rPr>
          <w:rFonts w:cs="Arial"/>
          <w:sz w:val="24"/>
          <w:szCs w:val="24"/>
        </w:rPr>
      </w:pPr>
    </w:p>
    <w:p w:rsidR="00B03029" w:rsidRPr="00BC44FA" w:rsidRDefault="003035EF" w:rsidP="00C470CE">
      <w:pPr>
        <w:pStyle w:val="Sinespaciado"/>
        <w:ind w:left="720"/>
        <w:jc w:val="both"/>
        <w:rPr>
          <w:rFonts w:cs="Arial"/>
          <w:sz w:val="24"/>
          <w:szCs w:val="24"/>
        </w:rPr>
      </w:pPr>
      <w:r>
        <w:rPr>
          <w:rFonts w:cs="Arial"/>
          <w:sz w:val="24"/>
          <w:szCs w:val="24"/>
        </w:rPr>
        <w:t>E</w:t>
      </w:r>
      <w:r w:rsidR="004E09C4" w:rsidRPr="00BC44FA">
        <w:rPr>
          <w:rFonts w:cs="Arial"/>
          <w:sz w:val="24"/>
          <w:szCs w:val="24"/>
        </w:rPr>
        <w:t xml:space="preserve">ste </w:t>
      </w:r>
      <w:r w:rsidR="00B03029" w:rsidRPr="00BC44FA">
        <w:rPr>
          <w:rFonts w:cs="Arial"/>
          <w:sz w:val="24"/>
          <w:szCs w:val="24"/>
        </w:rPr>
        <w:t>indicador evolucionó positivamente del 2000 al 2006</w:t>
      </w:r>
      <w:r>
        <w:rPr>
          <w:rFonts w:cs="Arial"/>
          <w:sz w:val="24"/>
          <w:szCs w:val="24"/>
        </w:rPr>
        <w:t>, pues pasó</w:t>
      </w:r>
      <w:r w:rsidR="00B03029" w:rsidRPr="00BC44FA">
        <w:rPr>
          <w:rFonts w:cs="Arial"/>
          <w:sz w:val="24"/>
          <w:szCs w:val="24"/>
        </w:rPr>
        <w:t xml:space="preserve"> de 72.7 % a 78.6%</w:t>
      </w:r>
      <w:r>
        <w:rPr>
          <w:rFonts w:cs="Arial"/>
          <w:sz w:val="24"/>
          <w:szCs w:val="24"/>
        </w:rPr>
        <w:t>;</w:t>
      </w:r>
      <w:r w:rsidR="004E09C4" w:rsidRPr="00BC44FA">
        <w:rPr>
          <w:rFonts w:cs="Arial"/>
          <w:sz w:val="24"/>
          <w:szCs w:val="24"/>
        </w:rPr>
        <w:t xml:space="preserve"> sin</w:t>
      </w:r>
      <w:r w:rsidR="00B03029" w:rsidRPr="00BC44FA">
        <w:rPr>
          <w:rFonts w:cs="Arial"/>
          <w:sz w:val="24"/>
          <w:szCs w:val="24"/>
        </w:rPr>
        <w:t xml:space="preserve"> embargo, esta cifra disminuyó para el año 2011 a 75.3%</w:t>
      </w:r>
      <w:r>
        <w:rPr>
          <w:rFonts w:cs="Arial"/>
          <w:sz w:val="24"/>
          <w:szCs w:val="24"/>
        </w:rPr>
        <w:t>,</w:t>
      </w:r>
      <w:r w:rsidR="00B03029" w:rsidRPr="00BC44FA">
        <w:rPr>
          <w:rFonts w:cs="Arial"/>
          <w:sz w:val="24"/>
          <w:szCs w:val="24"/>
        </w:rPr>
        <w:t xml:space="preserve"> decreciendo a un ritmo de 0.84%. Esta tendencia se explica por el incremento de </w:t>
      </w:r>
      <w:r>
        <w:rPr>
          <w:rFonts w:cs="Arial"/>
          <w:sz w:val="24"/>
          <w:szCs w:val="24"/>
        </w:rPr>
        <w:t>la población y por la pérdida de</w:t>
      </w:r>
      <w:r w:rsidR="00B03029" w:rsidRPr="00BC44FA">
        <w:rPr>
          <w:rFonts w:cs="Arial"/>
          <w:sz w:val="24"/>
          <w:szCs w:val="24"/>
        </w:rPr>
        <w:t xml:space="preserve"> infraestructura causada por desastres naturales </w:t>
      </w:r>
      <w:r w:rsidRPr="00BC44FA">
        <w:rPr>
          <w:rFonts w:cs="Arial"/>
          <w:sz w:val="24"/>
          <w:szCs w:val="24"/>
        </w:rPr>
        <w:t xml:space="preserve">en el país </w:t>
      </w:r>
      <w:r w:rsidR="00B03029" w:rsidRPr="00BC44FA">
        <w:rPr>
          <w:rFonts w:cs="Arial"/>
          <w:sz w:val="24"/>
          <w:szCs w:val="24"/>
        </w:rPr>
        <w:t xml:space="preserve">(erupción del volcán Pacaya, tormenta Agatha y la depresión tropical 12e) </w:t>
      </w:r>
      <w:r w:rsidR="0010201A" w:rsidRPr="00BC44FA">
        <w:rPr>
          <w:rFonts w:cs="Arial"/>
          <w:sz w:val="24"/>
          <w:szCs w:val="24"/>
        </w:rPr>
        <w:t>(</w:t>
      </w:r>
      <w:r w:rsidR="001D5199">
        <w:rPr>
          <w:rFonts w:cs="Calibri"/>
          <w:sz w:val="24"/>
          <w:szCs w:val="24"/>
          <w:lang w:val="es-MX"/>
        </w:rPr>
        <w:t xml:space="preserve">IARNA-URL y </w:t>
      </w:r>
      <w:r w:rsidR="0010201A" w:rsidRPr="00BC44FA">
        <w:rPr>
          <w:rFonts w:cs="Calibri"/>
          <w:sz w:val="24"/>
          <w:szCs w:val="24"/>
          <w:lang w:val="es-MX"/>
        </w:rPr>
        <w:t>SEGEPLAN, 2012</w:t>
      </w:r>
      <w:r w:rsidR="0010201A" w:rsidRPr="00BC44FA">
        <w:rPr>
          <w:rFonts w:cs="Arial"/>
          <w:sz w:val="24"/>
          <w:szCs w:val="24"/>
        </w:rPr>
        <w:t>)</w:t>
      </w:r>
      <w:r w:rsidR="00B03029" w:rsidRPr="00BC44FA">
        <w:rPr>
          <w:rFonts w:cs="Arial"/>
          <w:sz w:val="24"/>
          <w:szCs w:val="24"/>
        </w:rPr>
        <w:t xml:space="preserve">. </w:t>
      </w:r>
    </w:p>
    <w:p w:rsidR="00B03029" w:rsidRPr="00854540" w:rsidRDefault="003035EF" w:rsidP="00200CF1">
      <w:pPr>
        <w:pStyle w:val="Sinespaciado"/>
        <w:ind w:left="360"/>
        <w:jc w:val="both"/>
        <w:rPr>
          <w:rFonts w:cs="Arial"/>
          <w:color w:val="FF0000"/>
          <w:sz w:val="24"/>
          <w:szCs w:val="24"/>
        </w:rPr>
      </w:pPr>
      <w:r>
        <w:rPr>
          <w:rFonts w:cs="Arial"/>
          <w:color w:val="FF0000"/>
          <w:sz w:val="24"/>
          <w:szCs w:val="24"/>
        </w:rPr>
        <w:t xml:space="preserve"> </w:t>
      </w:r>
    </w:p>
    <w:p w:rsidR="00B03029" w:rsidRPr="0010201A" w:rsidRDefault="00B03029" w:rsidP="0010201A">
      <w:pPr>
        <w:pStyle w:val="Prrafodelista"/>
        <w:numPr>
          <w:ilvl w:val="0"/>
          <w:numId w:val="66"/>
        </w:numPr>
        <w:autoSpaceDE w:val="0"/>
        <w:autoSpaceDN w:val="0"/>
        <w:adjustRightInd w:val="0"/>
        <w:jc w:val="both"/>
        <w:rPr>
          <w:rFonts w:cs="Calibri"/>
          <w:b/>
          <w:color w:val="365F91"/>
          <w:lang w:eastAsia="es-GT"/>
        </w:rPr>
      </w:pPr>
      <w:bookmarkStart w:id="77" w:name="_Toc331535189"/>
      <w:r w:rsidRPr="0010201A">
        <w:rPr>
          <w:rFonts w:cs="Calibri"/>
          <w:b/>
          <w:color w:val="365F91"/>
          <w:lang w:eastAsia="es-GT"/>
        </w:rPr>
        <w:t>Porcentaje de la población que vive bajo la línea de pobreza</w:t>
      </w:r>
      <w:bookmarkEnd w:id="77"/>
    </w:p>
    <w:p w:rsidR="00B03029" w:rsidRPr="00BC44FA" w:rsidRDefault="00B03029" w:rsidP="00C470CE">
      <w:pPr>
        <w:pStyle w:val="Sinespaciado"/>
        <w:ind w:left="720"/>
        <w:jc w:val="both"/>
        <w:rPr>
          <w:rFonts w:cs="Arial"/>
          <w:sz w:val="24"/>
          <w:szCs w:val="24"/>
        </w:rPr>
      </w:pPr>
      <w:r w:rsidRPr="00BC44FA">
        <w:rPr>
          <w:rFonts w:cs="Arial"/>
          <w:sz w:val="24"/>
          <w:szCs w:val="24"/>
        </w:rPr>
        <w:t>Es el porcentaje de la población</w:t>
      </w:r>
      <w:r w:rsidR="0010201A" w:rsidRPr="00BC44FA">
        <w:rPr>
          <w:rFonts w:cs="Arial"/>
          <w:sz w:val="24"/>
          <w:szCs w:val="24"/>
        </w:rPr>
        <w:t xml:space="preserve"> que</w:t>
      </w:r>
      <w:r w:rsidRPr="00BC44FA">
        <w:rPr>
          <w:rFonts w:cs="Arial"/>
          <w:sz w:val="24"/>
          <w:szCs w:val="24"/>
        </w:rPr>
        <w:t xml:space="preserve"> se encuentra por debajo de la</w:t>
      </w:r>
      <w:r w:rsidR="00141A70" w:rsidRPr="00BC44FA">
        <w:rPr>
          <w:rFonts w:cs="Arial"/>
          <w:sz w:val="24"/>
          <w:szCs w:val="24"/>
        </w:rPr>
        <w:t xml:space="preserve"> </w:t>
      </w:r>
      <w:r w:rsidRPr="00BC44FA">
        <w:rPr>
          <w:rFonts w:cs="Arial"/>
          <w:sz w:val="24"/>
          <w:szCs w:val="24"/>
        </w:rPr>
        <w:t>línea de pobreza extrema más la población pobre no extrema.</w:t>
      </w:r>
      <w:r w:rsidR="00141A70" w:rsidRPr="00BC44FA">
        <w:rPr>
          <w:rFonts w:cs="Arial"/>
          <w:sz w:val="24"/>
          <w:szCs w:val="24"/>
        </w:rPr>
        <w:t xml:space="preserve"> </w:t>
      </w:r>
      <w:r w:rsidRPr="00BC44FA">
        <w:rPr>
          <w:rFonts w:cs="Arial"/>
          <w:sz w:val="24"/>
          <w:szCs w:val="24"/>
        </w:rPr>
        <w:t>Los pobres no extremos son aquellos que logran cubrir sus necesidades básicas alimentarias</w:t>
      </w:r>
      <w:r w:rsidR="003035EF">
        <w:rPr>
          <w:rFonts w:cs="Arial"/>
          <w:sz w:val="24"/>
          <w:szCs w:val="24"/>
        </w:rPr>
        <w:t>,</w:t>
      </w:r>
      <w:r w:rsidRPr="00BC44FA">
        <w:rPr>
          <w:rFonts w:cs="Arial"/>
          <w:sz w:val="24"/>
          <w:szCs w:val="24"/>
        </w:rPr>
        <w:t xml:space="preserve"> pero no satisfacen sus necesidades no alimentarias como educación, salud, vivienda, gastos personales y servicios del hogar.</w:t>
      </w:r>
    </w:p>
    <w:p w:rsidR="00B03029" w:rsidRPr="00BC44FA" w:rsidRDefault="00B03029" w:rsidP="00C470CE">
      <w:pPr>
        <w:pStyle w:val="Sinespaciado"/>
        <w:ind w:left="720"/>
        <w:jc w:val="both"/>
        <w:rPr>
          <w:rFonts w:cs="Arial"/>
          <w:sz w:val="24"/>
          <w:szCs w:val="24"/>
        </w:rPr>
      </w:pPr>
    </w:p>
    <w:p w:rsidR="00B03029" w:rsidRPr="00BC44FA" w:rsidRDefault="003035EF" w:rsidP="00C470CE">
      <w:pPr>
        <w:pStyle w:val="Sinespaciado"/>
        <w:ind w:left="720"/>
        <w:jc w:val="both"/>
        <w:rPr>
          <w:rFonts w:cs="Arial"/>
          <w:sz w:val="24"/>
          <w:szCs w:val="24"/>
        </w:rPr>
      </w:pPr>
      <w:r>
        <w:rPr>
          <w:rFonts w:cs="Arial"/>
          <w:sz w:val="24"/>
          <w:szCs w:val="24"/>
        </w:rPr>
        <w:t>De acuerdo con</w:t>
      </w:r>
      <w:r w:rsidR="00B03029" w:rsidRPr="00BC44FA">
        <w:rPr>
          <w:rFonts w:cs="Arial"/>
          <w:sz w:val="24"/>
          <w:szCs w:val="24"/>
        </w:rPr>
        <w:t xml:space="preserve"> l</w:t>
      </w:r>
      <w:r w:rsidR="00141A70" w:rsidRPr="00BC44FA">
        <w:rPr>
          <w:rFonts w:cs="Arial"/>
          <w:sz w:val="24"/>
          <w:szCs w:val="24"/>
        </w:rPr>
        <w:t xml:space="preserve">a información </w:t>
      </w:r>
      <w:r w:rsidR="00B03029" w:rsidRPr="00BC44FA">
        <w:rPr>
          <w:rFonts w:cs="Arial"/>
          <w:sz w:val="24"/>
          <w:szCs w:val="24"/>
        </w:rPr>
        <w:t>del INE, la población que vive bajo la línea de la pobreza disminuyó del 2002 al 2006, pasando del 56.2% de</w:t>
      </w:r>
      <w:r>
        <w:rPr>
          <w:rFonts w:cs="Arial"/>
          <w:sz w:val="24"/>
          <w:szCs w:val="24"/>
        </w:rPr>
        <w:t xml:space="preserve"> la población al 51.02%;</w:t>
      </w:r>
      <w:r w:rsidR="00B03029" w:rsidRPr="00BC44FA">
        <w:rPr>
          <w:rFonts w:cs="Arial"/>
          <w:sz w:val="24"/>
          <w:szCs w:val="24"/>
        </w:rPr>
        <w:t xml:space="preserve"> sin embargo, para el 2011 este valor aumentó en 2.69 puntos porcentuales, lleg</w:t>
      </w:r>
      <w:r>
        <w:rPr>
          <w:rFonts w:cs="Arial"/>
          <w:sz w:val="24"/>
          <w:szCs w:val="24"/>
        </w:rPr>
        <w:t>ando a 53.71% de la población. El</w:t>
      </w:r>
      <w:r w:rsidR="00B03029" w:rsidRPr="00BC44FA">
        <w:rPr>
          <w:rFonts w:cs="Arial"/>
          <w:sz w:val="24"/>
          <w:szCs w:val="24"/>
        </w:rPr>
        <w:t xml:space="preserve"> aumento en este indicador está relacionado con la crisis que sufrió el país (2008-2009), los desastres naturales y la caída de las remesas familiares</w:t>
      </w:r>
      <w:r w:rsidR="001E0F49" w:rsidRPr="00BC44FA">
        <w:rPr>
          <w:rFonts w:cs="Arial"/>
          <w:sz w:val="24"/>
          <w:szCs w:val="24"/>
        </w:rPr>
        <w:t xml:space="preserve"> (</w:t>
      </w:r>
      <w:r>
        <w:rPr>
          <w:rFonts w:cs="Calibri"/>
          <w:sz w:val="24"/>
          <w:szCs w:val="24"/>
          <w:lang w:val="es-MX"/>
        </w:rPr>
        <w:t xml:space="preserve">IARNA-URL y </w:t>
      </w:r>
      <w:r w:rsidR="001E0F49" w:rsidRPr="00BC44FA">
        <w:rPr>
          <w:rFonts w:cs="Calibri"/>
          <w:sz w:val="24"/>
          <w:szCs w:val="24"/>
          <w:lang w:val="es-MX"/>
        </w:rPr>
        <w:t>SEGEPLAN, 2012</w:t>
      </w:r>
      <w:r w:rsidR="001E0F49" w:rsidRPr="00BC44FA">
        <w:rPr>
          <w:rFonts w:cs="Arial"/>
          <w:sz w:val="24"/>
          <w:szCs w:val="24"/>
        </w:rPr>
        <w:t>)</w:t>
      </w:r>
      <w:r w:rsidR="00B03029" w:rsidRPr="00BC44FA">
        <w:rPr>
          <w:rFonts w:cs="Arial"/>
          <w:sz w:val="24"/>
          <w:szCs w:val="24"/>
        </w:rPr>
        <w:t xml:space="preserve">. </w:t>
      </w:r>
    </w:p>
    <w:p w:rsidR="003B3A2D" w:rsidRPr="003B3A2D" w:rsidRDefault="003B3A2D" w:rsidP="00C470CE">
      <w:pPr>
        <w:pStyle w:val="Sinespaciado"/>
        <w:ind w:left="720"/>
        <w:jc w:val="both"/>
        <w:rPr>
          <w:rFonts w:cs="Calibri"/>
          <w:sz w:val="24"/>
          <w:szCs w:val="24"/>
        </w:rPr>
      </w:pPr>
    </w:p>
    <w:p w:rsidR="00B03029" w:rsidRPr="003B3A2D" w:rsidRDefault="003B3A2D" w:rsidP="00C470CE">
      <w:pPr>
        <w:pStyle w:val="Sinespaciado"/>
        <w:ind w:left="720"/>
        <w:jc w:val="both"/>
        <w:rPr>
          <w:rFonts w:cs="Arial"/>
          <w:color w:val="FF0000"/>
          <w:sz w:val="24"/>
          <w:szCs w:val="24"/>
        </w:rPr>
      </w:pPr>
      <w:r w:rsidRPr="003B3A2D">
        <w:rPr>
          <w:rFonts w:cs="Calibri"/>
          <w:sz w:val="24"/>
          <w:szCs w:val="24"/>
        </w:rPr>
        <w:t>En 2006 la pobreza fue mayor entre los pobladores del área rural (70.5%) que entre los pobladores del área urbana (29.5%)</w:t>
      </w:r>
      <w:r w:rsidR="003035EF">
        <w:rPr>
          <w:rFonts w:cs="Calibri"/>
          <w:sz w:val="24"/>
          <w:szCs w:val="24"/>
        </w:rPr>
        <w:t>;</w:t>
      </w:r>
      <w:r w:rsidRPr="003B3A2D">
        <w:rPr>
          <w:rFonts w:cs="Calibri"/>
          <w:sz w:val="24"/>
          <w:szCs w:val="24"/>
        </w:rPr>
        <w:t xml:space="preserve"> y entre las mujeres (53.3%) que entre los hombres (40.7%). De igual manera, para el mismo año la pobreza fue más del doble entre la población indígena (73%) que entre la no indígena (35.5%)</w:t>
      </w:r>
      <w:r w:rsidR="003035EF">
        <w:rPr>
          <w:rFonts w:cs="Calibri"/>
          <w:sz w:val="24"/>
          <w:szCs w:val="24"/>
        </w:rPr>
        <w:t>;</w:t>
      </w:r>
      <w:r w:rsidRPr="003B3A2D">
        <w:rPr>
          <w:rFonts w:cs="Calibri"/>
          <w:sz w:val="24"/>
          <w:szCs w:val="24"/>
        </w:rPr>
        <w:t xml:space="preserve"> y además, la pobreza extrema es más evidente en departamentos con población mayoritariamente indígena.</w:t>
      </w:r>
    </w:p>
    <w:p w:rsidR="003B3A2D" w:rsidRPr="003B3A2D" w:rsidRDefault="003B3A2D" w:rsidP="003B3A2D">
      <w:pPr>
        <w:pStyle w:val="Sinespaciado"/>
        <w:ind w:left="360"/>
        <w:jc w:val="both"/>
        <w:rPr>
          <w:rFonts w:cs="Arial"/>
          <w:color w:val="FF0000"/>
          <w:sz w:val="24"/>
          <w:szCs w:val="24"/>
        </w:rPr>
      </w:pPr>
    </w:p>
    <w:p w:rsidR="00B03029" w:rsidRPr="0010201A" w:rsidRDefault="00B03029" w:rsidP="0010201A">
      <w:pPr>
        <w:pStyle w:val="Prrafodelista"/>
        <w:numPr>
          <w:ilvl w:val="0"/>
          <w:numId w:val="66"/>
        </w:numPr>
        <w:autoSpaceDE w:val="0"/>
        <w:autoSpaceDN w:val="0"/>
        <w:adjustRightInd w:val="0"/>
        <w:jc w:val="both"/>
        <w:rPr>
          <w:rFonts w:cs="Calibri"/>
          <w:b/>
          <w:color w:val="365F91"/>
          <w:lang w:eastAsia="es-GT"/>
        </w:rPr>
      </w:pPr>
      <w:bookmarkStart w:id="78" w:name="_Toc331535190"/>
      <w:r w:rsidRPr="0010201A">
        <w:rPr>
          <w:rFonts w:cs="Calibri"/>
          <w:b/>
          <w:color w:val="365F91"/>
          <w:lang w:eastAsia="es-GT"/>
        </w:rPr>
        <w:t>Índice de Gini de la concentración del ingreso</w:t>
      </w:r>
      <w:bookmarkEnd w:id="78"/>
    </w:p>
    <w:p w:rsidR="00B03029" w:rsidRPr="00BC44FA" w:rsidRDefault="00B03029" w:rsidP="00C470CE">
      <w:pPr>
        <w:pStyle w:val="Sinespaciado"/>
        <w:ind w:left="720"/>
        <w:jc w:val="both"/>
        <w:rPr>
          <w:rFonts w:cs="Arial"/>
          <w:sz w:val="24"/>
          <w:szCs w:val="24"/>
        </w:rPr>
      </w:pPr>
      <w:r w:rsidRPr="00BC44FA">
        <w:rPr>
          <w:rFonts w:cs="Arial"/>
          <w:sz w:val="24"/>
          <w:szCs w:val="24"/>
        </w:rPr>
        <w:t>El índice de Gini</w:t>
      </w:r>
      <w:r w:rsidRPr="00BC44FA">
        <w:rPr>
          <w:rStyle w:val="Refdenotaalpie"/>
          <w:rFonts w:cs="Arial"/>
          <w:sz w:val="24"/>
          <w:szCs w:val="24"/>
        </w:rPr>
        <w:footnoteReference w:id="5"/>
      </w:r>
      <w:r w:rsidRPr="00BC44FA">
        <w:rPr>
          <w:rFonts w:cs="Arial"/>
          <w:sz w:val="24"/>
          <w:szCs w:val="24"/>
        </w:rPr>
        <w:t xml:space="preserve"> es un indicador que mide la distribución del ingreso dentro de una sociedad, adoptando valores entre cero y uno, en donde 0 corresponde a la total igualdad y 1 correspondería a una distribución totalmente desigual.</w:t>
      </w:r>
      <w:r w:rsidR="00141A70" w:rsidRPr="00BC44FA">
        <w:rPr>
          <w:rFonts w:cs="Arial"/>
          <w:sz w:val="24"/>
          <w:szCs w:val="24"/>
        </w:rPr>
        <w:t xml:space="preserve"> </w:t>
      </w:r>
    </w:p>
    <w:p w:rsidR="00B03029" w:rsidRPr="00BC44FA" w:rsidRDefault="00B03029" w:rsidP="00C470CE">
      <w:pPr>
        <w:pStyle w:val="Sinespaciado"/>
        <w:ind w:left="720"/>
        <w:jc w:val="both"/>
        <w:rPr>
          <w:rFonts w:cs="Arial"/>
          <w:sz w:val="24"/>
          <w:szCs w:val="24"/>
        </w:rPr>
      </w:pPr>
    </w:p>
    <w:p w:rsidR="00B03029" w:rsidRPr="00BC44FA" w:rsidRDefault="00B03029" w:rsidP="00C470CE">
      <w:pPr>
        <w:pStyle w:val="Sinespaciado"/>
        <w:ind w:left="720"/>
        <w:jc w:val="both"/>
        <w:rPr>
          <w:rFonts w:cs="Arial"/>
          <w:sz w:val="24"/>
          <w:szCs w:val="24"/>
        </w:rPr>
      </w:pPr>
      <w:r w:rsidRPr="00BC44FA">
        <w:rPr>
          <w:rFonts w:cs="Arial"/>
          <w:sz w:val="24"/>
          <w:szCs w:val="24"/>
        </w:rPr>
        <w:lastRenderedPageBreak/>
        <w:t>De acuerdo con la Comisión Económica p</w:t>
      </w:r>
      <w:r w:rsidR="003035EF">
        <w:rPr>
          <w:rFonts w:cs="Arial"/>
          <w:sz w:val="24"/>
          <w:szCs w:val="24"/>
        </w:rPr>
        <w:t>ara América Latina y el Caribe (CEPAL)</w:t>
      </w:r>
      <w:r w:rsidRPr="00BC44FA">
        <w:rPr>
          <w:rFonts w:cs="Arial"/>
          <w:sz w:val="24"/>
          <w:szCs w:val="24"/>
        </w:rPr>
        <w:t>, el índice de concentración de Gini para Guatemala en el año 1998 se ubicó en 0.560, mientras que para el año 2006 fue de 0.582</w:t>
      </w:r>
      <w:r w:rsidR="001E0F49" w:rsidRPr="00BC44FA">
        <w:rPr>
          <w:rFonts w:cs="Arial"/>
          <w:sz w:val="24"/>
          <w:szCs w:val="24"/>
        </w:rPr>
        <w:t xml:space="preserve"> </w:t>
      </w:r>
      <w:r w:rsidR="003035EF" w:rsidRPr="00BC44FA">
        <w:rPr>
          <w:rFonts w:cs="Arial"/>
          <w:sz w:val="24"/>
          <w:szCs w:val="24"/>
        </w:rPr>
        <w:t>(</w:t>
      </w:r>
      <w:r w:rsidR="003035EF">
        <w:rPr>
          <w:rFonts w:cs="Calibri"/>
          <w:sz w:val="24"/>
          <w:szCs w:val="24"/>
          <w:lang w:val="es-MX"/>
        </w:rPr>
        <w:t xml:space="preserve">IARNA-URL y </w:t>
      </w:r>
      <w:r w:rsidR="003035EF" w:rsidRPr="00BC44FA">
        <w:rPr>
          <w:rFonts w:cs="Calibri"/>
          <w:sz w:val="24"/>
          <w:szCs w:val="24"/>
          <w:lang w:val="es-MX"/>
        </w:rPr>
        <w:t>SEGEPLAN, 2012</w:t>
      </w:r>
      <w:r w:rsidR="003035EF" w:rsidRPr="00BC44FA">
        <w:rPr>
          <w:rFonts w:cs="Arial"/>
          <w:sz w:val="24"/>
          <w:szCs w:val="24"/>
        </w:rPr>
        <w:t>).</w:t>
      </w:r>
    </w:p>
    <w:p w:rsidR="00B03029" w:rsidRDefault="00B03029" w:rsidP="00200CF1">
      <w:pPr>
        <w:pStyle w:val="Sinespaciado"/>
        <w:ind w:left="360"/>
        <w:jc w:val="both"/>
        <w:rPr>
          <w:rFonts w:cs="Arial"/>
          <w:color w:val="FF0000"/>
          <w:sz w:val="24"/>
          <w:szCs w:val="24"/>
        </w:rPr>
      </w:pPr>
    </w:p>
    <w:p w:rsidR="005079FC" w:rsidRPr="00C56F91" w:rsidRDefault="00024CE6" w:rsidP="00BC44FA">
      <w:pPr>
        <w:pStyle w:val="Prrafodelista"/>
        <w:numPr>
          <w:ilvl w:val="0"/>
          <w:numId w:val="66"/>
        </w:numPr>
        <w:autoSpaceDE w:val="0"/>
        <w:autoSpaceDN w:val="0"/>
        <w:adjustRightInd w:val="0"/>
        <w:jc w:val="both"/>
        <w:rPr>
          <w:rFonts w:cs="Calibri"/>
          <w:b/>
          <w:color w:val="365F91"/>
          <w:lang w:eastAsia="es-GT"/>
        </w:rPr>
      </w:pPr>
      <w:r w:rsidRPr="00C56F91">
        <w:rPr>
          <w:rFonts w:cs="Calibri"/>
          <w:b/>
          <w:color w:val="365F91"/>
          <w:lang w:eastAsia="es-GT"/>
        </w:rPr>
        <w:t>Síntesis de la situación del Sub-Sistema Social</w:t>
      </w:r>
    </w:p>
    <w:p w:rsidR="00C60755" w:rsidRPr="00BC44FA" w:rsidRDefault="00C60755" w:rsidP="00C470CE">
      <w:pPr>
        <w:pStyle w:val="Sinespaciado"/>
        <w:ind w:left="720"/>
        <w:jc w:val="both"/>
        <w:rPr>
          <w:rFonts w:cs="Arial"/>
          <w:sz w:val="24"/>
          <w:szCs w:val="24"/>
        </w:rPr>
      </w:pPr>
      <w:r w:rsidRPr="00C56F91">
        <w:rPr>
          <w:rFonts w:cs="Arial"/>
          <w:sz w:val="24"/>
          <w:szCs w:val="24"/>
        </w:rPr>
        <w:t>En términos generales</w:t>
      </w:r>
      <w:r w:rsidR="00BC44FA" w:rsidRPr="00C56F91">
        <w:rPr>
          <w:rFonts w:cs="Arial"/>
          <w:sz w:val="24"/>
          <w:szCs w:val="24"/>
        </w:rPr>
        <w:t>,</w:t>
      </w:r>
      <w:r w:rsidRPr="00C56F91">
        <w:rPr>
          <w:rFonts w:cs="Arial"/>
          <w:sz w:val="24"/>
          <w:szCs w:val="24"/>
        </w:rPr>
        <w:t xml:space="preserve"> el sistema social presenta señales positivas de desarrollo y sostenibilidad, pues en su mayoría, los indicadores se encuentran </w:t>
      </w:r>
      <w:r w:rsidR="00024CE6" w:rsidRPr="00C56F91">
        <w:rPr>
          <w:rFonts w:cs="Arial"/>
          <w:sz w:val="24"/>
          <w:szCs w:val="24"/>
        </w:rPr>
        <w:t xml:space="preserve">con tendencias crecientes y en condiciones de crecimiento. Los únicos indicadores que muestran una tendencia al estancamiento son: </w:t>
      </w:r>
      <w:r w:rsidRPr="00C56F91">
        <w:rPr>
          <w:rFonts w:cs="Arial"/>
          <w:sz w:val="24"/>
          <w:szCs w:val="24"/>
        </w:rPr>
        <w:t>el porcentaje de la población con acceso a fuentes seguras de agua para el consumo, el porcentaje de la población que vive bajo la línea de la pobreza y el índice de Gini.</w:t>
      </w:r>
    </w:p>
    <w:p w:rsidR="00C60755" w:rsidRPr="00BC44FA" w:rsidRDefault="00C60755" w:rsidP="00C470CE">
      <w:pPr>
        <w:pStyle w:val="Sinespaciado"/>
        <w:ind w:left="720"/>
        <w:jc w:val="both"/>
        <w:rPr>
          <w:rFonts w:cs="Arial"/>
          <w:sz w:val="24"/>
          <w:szCs w:val="24"/>
        </w:rPr>
      </w:pPr>
    </w:p>
    <w:p w:rsidR="00C60755" w:rsidRPr="00BC44FA" w:rsidRDefault="00024CE6" w:rsidP="00C470CE">
      <w:pPr>
        <w:pStyle w:val="Sinespaciado"/>
        <w:ind w:left="720"/>
        <w:jc w:val="both"/>
        <w:rPr>
          <w:rFonts w:cs="Arial"/>
          <w:sz w:val="24"/>
          <w:szCs w:val="24"/>
        </w:rPr>
      </w:pPr>
      <w:r w:rsidRPr="00BC44FA">
        <w:rPr>
          <w:rFonts w:cs="Arial"/>
          <w:sz w:val="24"/>
          <w:szCs w:val="24"/>
        </w:rPr>
        <w:t>C</w:t>
      </w:r>
      <w:r w:rsidR="00C60755" w:rsidRPr="00BC44FA">
        <w:rPr>
          <w:rFonts w:cs="Arial"/>
          <w:sz w:val="24"/>
          <w:szCs w:val="24"/>
        </w:rPr>
        <w:t xml:space="preserve">uando se </w:t>
      </w:r>
      <w:r w:rsidRPr="00BC44FA">
        <w:rPr>
          <w:rFonts w:cs="Arial"/>
          <w:sz w:val="24"/>
          <w:szCs w:val="24"/>
        </w:rPr>
        <w:t xml:space="preserve">quiere apreciar </w:t>
      </w:r>
      <w:r w:rsidR="00C60755" w:rsidRPr="00BC44FA">
        <w:rPr>
          <w:rFonts w:cs="Arial"/>
          <w:sz w:val="24"/>
          <w:szCs w:val="24"/>
        </w:rPr>
        <w:t>el desempeño que han tenido los indicadores</w:t>
      </w:r>
      <w:r w:rsidRPr="00BC44FA">
        <w:rPr>
          <w:rFonts w:cs="Arial"/>
          <w:sz w:val="24"/>
          <w:szCs w:val="24"/>
        </w:rPr>
        <w:t xml:space="preserve">, </w:t>
      </w:r>
      <w:r w:rsidR="00C56F91">
        <w:rPr>
          <w:rFonts w:cs="Arial"/>
          <w:sz w:val="24"/>
          <w:szCs w:val="24"/>
        </w:rPr>
        <w:t>con relación a</w:t>
      </w:r>
      <w:r w:rsidRPr="00BC44FA">
        <w:rPr>
          <w:rFonts w:cs="Arial"/>
          <w:sz w:val="24"/>
          <w:szCs w:val="24"/>
        </w:rPr>
        <w:t xml:space="preserve"> su nivel </w:t>
      </w:r>
      <w:r w:rsidR="00C60755" w:rsidRPr="00BC44FA">
        <w:rPr>
          <w:rFonts w:cs="Arial"/>
          <w:sz w:val="24"/>
          <w:szCs w:val="24"/>
        </w:rPr>
        <w:t xml:space="preserve">óptimo, </w:t>
      </w:r>
      <w:r w:rsidRPr="00BC44FA">
        <w:rPr>
          <w:rFonts w:cs="Arial"/>
          <w:sz w:val="24"/>
          <w:szCs w:val="24"/>
        </w:rPr>
        <w:t xml:space="preserve">se puede concluir que la mayoría se encuentra en condiciones bajas, es decir, que no cumplen con las premisas mínimas para una condición adecuada. A nivel de desempeño se pueden observar indicadores que se encuentran en condicione de retroceso (o reducción del indicador), como en el caso </w:t>
      </w:r>
      <w:r w:rsidR="00C60755" w:rsidRPr="00BC44FA">
        <w:rPr>
          <w:rFonts w:cs="Arial"/>
          <w:sz w:val="24"/>
          <w:szCs w:val="24"/>
        </w:rPr>
        <w:t>de la población que vive bajo la línea de la pobreza que no cuenta con acceso a servicios básicos</w:t>
      </w:r>
      <w:r w:rsidR="00C56F91">
        <w:rPr>
          <w:rFonts w:cs="Arial"/>
          <w:sz w:val="24"/>
          <w:szCs w:val="24"/>
        </w:rPr>
        <w:t>. De</w:t>
      </w:r>
      <w:r w:rsidR="00C60755" w:rsidRPr="00BC44FA">
        <w:rPr>
          <w:rFonts w:cs="Arial"/>
          <w:sz w:val="24"/>
          <w:szCs w:val="24"/>
        </w:rPr>
        <w:t xml:space="preserve"> mantener esta tendencia, difícilmente se alcanza</w:t>
      </w:r>
      <w:r w:rsidR="00C56F91">
        <w:rPr>
          <w:rFonts w:cs="Arial"/>
          <w:sz w:val="24"/>
          <w:szCs w:val="24"/>
        </w:rPr>
        <w:t>rá</w:t>
      </w:r>
      <w:r w:rsidR="00C60755" w:rsidRPr="00BC44FA">
        <w:rPr>
          <w:rFonts w:cs="Arial"/>
          <w:sz w:val="24"/>
          <w:szCs w:val="24"/>
        </w:rPr>
        <w:t>n las metas del milenio correspondiente a la disminución de la pobreza.</w:t>
      </w:r>
      <w:r w:rsidR="00141A70" w:rsidRPr="00BC44FA">
        <w:rPr>
          <w:rFonts w:cs="Arial"/>
          <w:sz w:val="24"/>
          <w:szCs w:val="24"/>
        </w:rPr>
        <w:t xml:space="preserve"> </w:t>
      </w:r>
    </w:p>
    <w:p w:rsidR="00C60755" w:rsidRPr="00BC44FA" w:rsidRDefault="00C60755" w:rsidP="00C60755">
      <w:pPr>
        <w:ind w:left="360"/>
        <w:jc w:val="both"/>
        <w:rPr>
          <w:rFonts w:ascii="Calibri" w:hAnsi="Calibri" w:cs="Calibri"/>
          <w:lang w:val="es-GT"/>
        </w:rPr>
      </w:pPr>
    </w:p>
    <w:p w:rsidR="007F6462" w:rsidRPr="00024CE6" w:rsidRDefault="007F6462" w:rsidP="006A0601">
      <w:pPr>
        <w:ind w:left="360"/>
        <w:jc w:val="both"/>
        <w:rPr>
          <w:rFonts w:ascii="Calibri" w:hAnsi="Calibri" w:cs="Calibri"/>
          <w:lang w:val="es-GT"/>
        </w:rPr>
      </w:pPr>
    </w:p>
    <w:p w:rsidR="007F6462" w:rsidRPr="001A01AB" w:rsidRDefault="00523BC1" w:rsidP="00B45CCC">
      <w:pPr>
        <w:pStyle w:val="Prrafodelista"/>
        <w:numPr>
          <w:ilvl w:val="3"/>
          <w:numId w:val="51"/>
        </w:numPr>
        <w:jc w:val="both"/>
        <w:rPr>
          <w:rFonts w:cs="Calibri"/>
          <w:b/>
          <w:color w:val="365F91"/>
        </w:rPr>
      </w:pPr>
      <w:r>
        <w:rPr>
          <w:rFonts w:cs="Calibri"/>
          <w:b/>
          <w:color w:val="365F91"/>
        </w:rPr>
        <w:t xml:space="preserve"> </w:t>
      </w:r>
      <w:r w:rsidR="007F6462" w:rsidRPr="001A01AB">
        <w:rPr>
          <w:rFonts w:cs="Calibri"/>
          <w:b/>
          <w:color w:val="365F91"/>
        </w:rPr>
        <w:t>Caracterización de los productores agrícolas en Guatemala</w:t>
      </w:r>
    </w:p>
    <w:p w:rsidR="007F6462" w:rsidRPr="00024CE6" w:rsidRDefault="007F6462" w:rsidP="00024CE6">
      <w:pPr>
        <w:ind w:left="360"/>
        <w:jc w:val="both"/>
        <w:rPr>
          <w:rFonts w:ascii="Calibri" w:hAnsi="Calibri" w:cs="Calibri"/>
          <w:lang w:val="es-GT"/>
        </w:rPr>
      </w:pPr>
      <w:r w:rsidRPr="00024CE6">
        <w:rPr>
          <w:rFonts w:ascii="Calibri" w:hAnsi="Calibri" w:cs="Calibri"/>
          <w:lang w:val="es-GT"/>
        </w:rPr>
        <w:t>El modelo de producción agropecuario en Guatemala está influenciado por temas como la tenencia de la tierra, el acceso a medios de producción, niveles de organización y su capacidad empresarial. Respecto a la tenencia de la tierra, un dato importante a resaltar es la existencia de una población del área rural que llega al 37% (480,000 familias aproximadamente) que no poseen tierras, a pesar de que sus medios de vida están relacionados con la producción de alimentos. Esto indica qu</w:t>
      </w:r>
      <w:r w:rsidR="00C56F91">
        <w:rPr>
          <w:rFonts w:ascii="Calibri" w:hAnsi="Calibri" w:cs="Calibri"/>
          <w:lang w:val="es-GT"/>
        </w:rPr>
        <w:t>e este segmento de la población</w:t>
      </w:r>
      <w:r w:rsidRPr="00024CE6">
        <w:rPr>
          <w:rFonts w:ascii="Calibri" w:hAnsi="Calibri" w:cs="Calibri"/>
          <w:lang w:val="es-GT"/>
        </w:rPr>
        <w:t xml:space="preserve"> está excluida de las oportunidades de desarrollo desde el modelo de la economía campesina (IPNUSAC y IARNA-URL, 2011). </w:t>
      </w:r>
    </w:p>
    <w:p w:rsidR="007F6462" w:rsidRPr="00024CE6" w:rsidRDefault="007F6462" w:rsidP="00024CE6">
      <w:pPr>
        <w:ind w:left="360"/>
        <w:jc w:val="both"/>
        <w:rPr>
          <w:rFonts w:ascii="Calibri" w:hAnsi="Calibri" w:cs="Calibri"/>
          <w:lang w:val="es-GT"/>
        </w:rPr>
      </w:pPr>
    </w:p>
    <w:p w:rsidR="007F6462" w:rsidRPr="00024CE6" w:rsidRDefault="007F6462" w:rsidP="00024CE6">
      <w:pPr>
        <w:ind w:left="360"/>
        <w:jc w:val="both"/>
        <w:rPr>
          <w:rFonts w:ascii="Calibri" w:hAnsi="Calibri" w:cs="Calibri"/>
          <w:lang w:val="es-GT"/>
        </w:rPr>
      </w:pPr>
      <w:r w:rsidRPr="00024CE6">
        <w:rPr>
          <w:rFonts w:ascii="Calibri" w:hAnsi="Calibri" w:cs="Calibri"/>
          <w:lang w:val="es-GT"/>
        </w:rPr>
        <w:t xml:space="preserve">Dentro del segmento de productores que poseen tierras, un 28.5% de la población rural </w:t>
      </w:r>
      <w:r w:rsidR="00C56F91">
        <w:rPr>
          <w:rFonts w:ascii="Calibri" w:hAnsi="Calibri" w:cs="Calibri"/>
          <w:lang w:val="es-GT"/>
        </w:rPr>
        <w:t>tiene</w:t>
      </w:r>
      <w:r w:rsidRPr="00024CE6">
        <w:rPr>
          <w:rFonts w:ascii="Calibri" w:hAnsi="Calibri" w:cs="Calibri"/>
          <w:lang w:val="es-GT"/>
        </w:rPr>
        <w:t xml:space="preserve"> </w:t>
      </w:r>
      <w:r w:rsidR="00C56F91">
        <w:rPr>
          <w:rFonts w:ascii="Calibri" w:hAnsi="Calibri" w:cs="Calibri"/>
          <w:lang w:val="es-GT"/>
        </w:rPr>
        <w:t>menos de una manzana de terreno,</w:t>
      </w:r>
      <w:r w:rsidRPr="00024CE6">
        <w:rPr>
          <w:rFonts w:ascii="Calibri" w:hAnsi="Calibri" w:cs="Calibri"/>
          <w:lang w:val="es-GT"/>
        </w:rPr>
        <w:t xml:space="preserve"> un 14% entr</w:t>
      </w:r>
      <w:r w:rsidR="00C56F91">
        <w:rPr>
          <w:rFonts w:ascii="Calibri" w:hAnsi="Calibri" w:cs="Calibri"/>
          <w:lang w:val="es-GT"/>
        </w:rPr>
        <w:t>e una y dos manzanas de terreno,</w:t>
      </w:r>
      <w:r w:rsidRPr="00024CE6">
        <w:rPr>
          <w:rFonts w:ascii="Calibri" w:hAnsi="Calibri" w:cs="Calibri"/>
          <w:lang w:val="es-GT"/>
        </w:rPr>
        <w:t xml:space="preserve"> un 15.5% </w:t>
      </w:r>
      <w:r w:rsidR="00C56F91">
        <w:rPr>
          <w:rFonts w:ascii="Calibri" w:hAnsi="Calibri" w:cs="Calibri"/>
          <w:lang w:val="es-GT"/>
        </w:rPr>
        <w:t>entre dos y 10 manzanas,</w:t>
      </w:r>
      <w:r w:rsidRPr="00024CE6">
        <w:rPr>
          <w:rFonts w:ascii="Calibri" w:hAnsi="Calibri" w:cs="Calibri"/>
          <w:lang w:val="es-GT"/>
        </w:rPr>
        <w:t xml:space="preserve"> un 3.5% son productores excedentarios y un 0.15% (alrededor de 2,000 familias) son productores comerciales, quienes son dueños de un 70% de la superficie agrícola del país (ENCOVI, 2007, citado por IPNUSAC y IARNA-URL, 2011).</w:t>
      </w:r>
    </w:p>
    <w:p w:rsidR="007F6462" w:rsidRPr="00024CE6" w:rsidRDefault="007F6462" w:rsidP="00024CE6">
      <w:pPr>
        <w:ind w:left="360"/>
        <w:jc w:val="both"/>
        <w:rPr>
          <w:rFonts w:ascii="Calibri" w:hAnsi="Calibri" w:cs="Calibri"/>
          <w:lang w:val="es-GT"/>
        </w:rPr>
      </w:pPr>
    </w:p>
    <w:p w:rsidR="007F6462" w:rsidRPr="00024CE6" w:rsidRDefault="007F6462" w:rsidP="00024CE6">
      <w:pPr>
        <w:ind w:left="360"/>
        <w:jc w:val="both"/>
        <w:rPr>
          <w:rFonts w:ascii="Calibri" w:hAnsi="Calibri" w:cs="Calibri"/>
          <w:lang w:val="es-GT"/>
        </w:rPr>
      </w:pPr>
      <w:r w:rsidRPr="00024CE6">
        <w:rPr>
          <w:rFonts w:ascii="Calibri" w:hAnsi="Calibri" w:cs="Calibri"/>
          <w:lang w:val="es-GT"/>
        </w:rPr>
        <w:t>Estas condiciones de tenencia de la tierra definen varios tipos de modelos de producción agrope</w:t>
      </w:r>
      <w:r w:rsidR="00C56F91">
        <w:rPr>
          <w:rFonts w:ascii="Calibri" w:hAnsi="Calibri" w:cs="Calibri"/>
          <w:lang w:val="es-GT"/>
        </w:rPr>
        <w:t>cuaria. Respecto al grupo que sí</w:t>
      </w:r>
      <w:r w:rsidRPr="00024CE6">
        <w:rPr>
          <w:rFonts w:ascii="Calibri" w:hAnsi="Calibri" w:cs="Calibri"/>
          <w:lang w:val="es-GT"/>
        </w:rPr>
        <w:t xml:space="preserve"> posee tierras, la </w:t>
      </w:r>
      <w:r w:rsidRPr="00C56F91">
        <w:rPr>
          <w:rFonts w:ascii="Calibri" w:hAnsi="Calibri" w:cs="Calibri"/>
          <w:i/>
          <w:lang w:val="es-GT"/>
        </w:rPr>
        <w:t>Política Agropecuaria 2011-2015</w:t>
      </w:r>
      <w:r w:rsidRPr="00024CE6">
        <w:rPr>
          <w:rFonts w:ascii="Calibri" w:hAnsi="Calibri" w:cs="Calibri"/>
          <w:lang w:val="es-GT"/>
        </w:rPr>
        <w:t xml:space="preserve"> (MAGA, 2012) define varios niveles de productores agropecuarios: agricultura familiar, de infrasubsistencia, de subsistencia, excedentaria y comercial o empresarial. Estos se describen a continuación:</w:t>
      </w:r>
    </w:p>
    <w:p w:rsidR="007F6462" w:rsidRPr="001A01AB" w:rsidRDefault="007F6462" w:rsidP="006B0A31">
      <w:pPr>
        <w:pStyle w:val="Prrafodelista"/>
        <w:numPr>
          <w:ilvl w:val="0"/>
          <w:numId w:val="53"/>
        </w:numPr>
        <w:autoSpaceDE w:val="0"/>
        <w:autoSpaceDN w:val="0"/>
        <w:adjustRightInd w:val="0"/>
        <w:jc w:val="both"/>
        <w:rPr>
          <w:rFonts w:cs="Calibri"/>
          <w:b/>
          <w:color w:val="365F91"/>
          <w:lang w:eastAsia="es-GT"/>
        </w:rPr>
      </w:pPr>
      <w:r w:rsidRPr="001A01AB">
        <w:rPr>
          <w:rFonts w:cs="Calibri"/>
          <w:b/>
          <w:color w:val="365F91"/>
          <w:lang w:eastAsia="es-GT"/>
        </w:rPr>
        <w:lastRenderedPageBreak/>
        <w:t>Agricultura de infrasubsistencia</w:t>
      </w: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La población es indígena en su mayoría, presenta altos índices de analfabetismo y pobreza en condiciones extremas; tiene poco acceso a recursos productivos (principalmente tierra) y a mercados; complementa la baja producción agrícola con empleos fuera de su parcela. Este sector contribuye con las mayores emigraciones del campo a la ciudad; pero en su conjunto poseen o tienen acceso al 40% de los bosques del país, en forma de tenencia comunal, municipal y grupos de retornados (MAGA, 2012). Se considera que en este segmento se encuentra un 42.5% de las familias campesinas, quienes se caracterizan por tener menos de 2 manzanas de tierra (IPNUSAC y IARNA-URL, 2011).</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 xml:space="preserve">Uno de los mayores impactos que se le atribuye a este tipo de agricultura es la conversión de tierras con bosques a agricultura migratoria, dentro y fuera de las áreas protegidas, para el establecimiento de cultivos de subsistencia. Emplean modelos de producción agrícola tipo tumba, roza, quema, </w:t>
      </w:r>
      <w:r w:rsidR="00510BC4">
        <w:rPr>
          <w:rFonts w:ascii="Calibri" w:hAnsi="Calibri" w:cs="Calibri"/>
          <w:lang w:val="es-GT"/>
        </w:rPr>
        <w:t>lo</w:t>
      </w:r>
      <w:r w:rsidRPr="001A01AB">
        <w:rPr>
          <w:rFonts w:ascii="Calibri" w:hAnsi="Calibri" w:cs="Calibri"/>
          <w:lang w:val="es-GT"/>
        </w:rPr>
        <w:t xml:space="preserve"> cual genera otros efectos indirectos a los bosques como los incendios forestales. Sus medios de vida están altamente relacionados con los recursos que le provee la naturaleza, como la leña para las necesidades del hogar, agua</w:t>
      </w:r>
      <w:r w:rsidR="00510BC4">
        <w:rPr>
          <w:rFonts w:ascii="Calibri" w:hAnsi="Calibri" w:cs="Calibri"/>
          <w:lang w:val="es-GT"/>
        </w:rPr>
        <w:t>s</w:t>
      </w:r>
      <w:r w:rsidRPr="001A01AB">
        <w:rPr>
          <w:rFonts w:ascii="Calibri" w:hAnsi="Calibri" w:cs="Calibri"/>
          <w:lang w:val="es-GT"/>
        </w:rPr>
        <w:t xml:space="preserve"> superfici</w:t>
      </w:r>
      <w:r w:rsidR="00BC44FA">
        <w:rPr>
          <w:rFonts w:ascii="Calibri" w:hAnsi="Calibri" w:cs="Calibri"/>
          <w:lang w:val="es-GT"/>
        </w:rPr>
        <w:t>ales para el abastecimiento domé</w:t>
      </w:r>
      <w:r w:rsidRPr="001A01AB">
        <w:rPr>
          <w:rFonts w:ascii="Calibri" w:hAnsi="Calibri" w:cs="Calibri"/>
          <w:lang w:val="es-GT"/>
        </w:rPr>
        <w:t>stico</w:t>
      </w:r>
      <w:r w:rsidR="00510BC4">
        <w:rPr>
          <w:rFonts w:ascii="Calibri" w:hAnsi="Calibri" w:cs="Calibri"/>
          <w:lang w:val="es-GT"/>
        </w:rPr>
        <w:t>,</w:t>
      </w:r>
      <w:r w:rsidRPr="001A01AB">
        <w:rPr>
          <w:rFonts w:ascii="Calibri" w:hAnsi="Calibri" w:cs="Calibri"/>
          <w:lang w:val="es-GT"/>
        </w:rPr>
        <w:t xml:space="preserve"> y alimentos y medicinas provenientes de los bosques.</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 xml:space="preserve">Generalmente viven en territorios marginales que poseen una alta fragilidad ambiental. </w:t>
      </w:r>
      <w:r w:rsidR="001B46F8">
        <w:rPr>
          <w:rFonts w:ascii="Calibri" w:hAnsi="Calibri" w:cs="Calibri"/>
          <w:lang w:val="es-GT"/>
        </w:rPr>
        <w:t>La</w:t>
      </w:r>
      <w:r w:rsidRPr="001A01AB">
        <w:rPr>
          <w:rFonts w:ascii="Calibri" w:hAnsi="Calibri" w:cs="Calibri"/>
          <w:lang w:val="es-GT"/>
        </w:rPr>
        <w:t xml:space="preserve"> vulnerabilidad social y ambiental </w:t>
      </w:r>
      <w:r w:rsidR="001B46F8">
        <w:rPr>
          <w:rFonts w:ascii="Calibri" w:hAnsi="Calibri" w:cs="Calibri"/>
          <w:lang w:val="es-GT"/>
        </w:rPr>
        <w:t xml:space="preserve">es </w:t>
      </w:r>
      <w:r w:rsidRPr="001A01AB">
        <w:rPr>
          <w:rFonts w:ascii="Calibri" w:hAnsi="Calibri" w:cs="Calibri"/>
          <w:lang w:val="es-GT"/>
        </w:rPr>
        <w:t>alta, la cual es exacerbada por el cambio climático, principalmente durante los eventos extremos d</w:t>
      </w:r>
      <w:r w:rsidR="003D1943">
        <w:rPr>
          <w:rFonts w:ascii="Calibri" w:hAnsi="Calibri" w:cs="Calibri"/>
          <w:lang w:val="es-GT"/>
        </w:rPr>
        <w:t>e inundaciones y sequí</w:t>
      </w:r>
      <w:r w:rsidRPr="001A01AB">
        <w:rPr>
          <w:rFonts w:ascii="Calibri" w:hAnsi="Calibri" w:cs="Calibri"/>
          <w:lang w:val="es-GT"/>
        </w:rPr>
        <w:t xml:space="preserve">as. De mantenerse el modelo productivo actual, presentan una alta tendencia a </w:t>
      </w:r>
      <w:r w:rsidR="001B46F8">
        <w:rPr>
          <w:rFonts w:ascii="Calibri" w:hAnsi="Calibri" w:cs="Calibri"/>
          <w:lang w:val="es-GT"/>
        </w:rPr>
        <w:t xml:space="preserve">contribuir con </w:t>
      </w:r>
      <w:r w:rsidRPr="001A01AB">
        <w:rPr>
          <w:rFonts w:ascii="Calibri" w:hAnsi="Calibri" w:cs="Calibri"/>
          <w:lang w:val="es-GT"/>
        </w:rPr>
        <w:t xml:space="preserve">el deterioro ambiental con consecuencias crecientes y acumulativas. Dentro del modelo actual, poseen pocas oportunidades para su desarrollo, principalmente porque las políticas públicas y de cooperación no los </w:t>
      </w:r>
      <w:r w:rsidR="001B46F8">
        <w:rPr>
          <w:rFonts w:ascii="Calibri" w:hAnsi="Calibri" w:cs="Calibri"/>
          <w:lang w:val="es-GT"/>
        </w:rPr>
        <w:t xml:space="preserve">incluyen </w:t>
      </w:r>
      <w:r w:rsidRPr="001A01AB">
        <w:rPr>
          <w:rFonts w:ascii="Calibri" w:hAnsi="Calibri" w:cs="Calibri"/>
          <w:lang w:val="es-GT"/>
        </w:rPr>
        <w:t>de forma correcta.</w:t>
      </w:r>
    </w:p>
    <w:p w:rsidR="007F6462" w:rsidRPr="001A01AB" w:rsidRDefault="007F6462" w:rsidP="00C470CE">
      <w:pPr>
        <w:ind w:left="720"/>
        <w:jc w:val="both"/>
        <w:rPr>
          <w:rFonts w:ascii="Calibri" w:hAnsi="Calibri" w:cs="Calibri"/>
          <w:lang w:val="es-GT"/>
        </w:rPr>
      </w:pPr>
    </w:p>
    <w:p w:rsidR="00523BC1" w:rsidRDefault="007F6462" w:rsidP="00C470CE">
      <w:pPr>
        <w:ind w:left="720"/>
        <w:jc w:val="both"/>
        <w:rPr>
          <w:rFonts w:ascii="Calibri" w:hAnsi="Calibri" w:cs="Calibri"/>
          <w:lang w:val="es-GT"/>
        </w:rPr>
      </w:pPr>
      <w:r w:rsidRPr="001A01AB">
        <w:rPr>
          <w:rFonts w:ascii="Calibri" w:hAnsi="Calibri" w:cs="Calibri"/>
          <w:lang w:val="es-GT"/>
        </w:rPr>
        <w:t>Con el modelo actual, se ven pocas oportunidades para lograr el desarrollo de estos grupos. Como respue</w:t>
      </w:r>
      <w:r w:rsidR="001B46F8">
        <w:rPr>
          <w:rFonts w:ascii="Calibri" w:hAnsi="Calibri" w:cs="Calibri"/>
          <w:lang w:val="es-GT"/>
        </w:rPr>
        <w:t>sta de E</w:t>
      </w:r>
      <w:r w:rsidRPr="001A01AB">
        <w:rPr>
          <w:rFonts w:ascii="Calibri" w:hAnsi="Calibri" w:cs="Calibri"/>
          <w:lang w:val="es-GT"/>
        </w:rPr>
        <w:t xml:space="preserve">stado para atender las demandas de estos grupos se ha propuesto la Política de Desarrollo Rural Integral, el Programa de Agricultura Familiar para el Fortalecimiento de las Economías Campesinas y el pacto Hambre Cero. </w:t>
      </w:r>
    </w:p>
    <w:p w:rsidR="00523BC1" w:rsidRPr="001A01AB" w:rsidRDefault="00523BC1" w:rsidP="00523BC1">
      <w:pPr>
        <w:ind w:left="360"/>
        <w:jc w:val="both"/>
        <w:rPr>
          <w:rFonts w:ascii="Calibri" w:hAnsi="Calibri" w:cs="Calibri"/>
          <w:lang w:val="es-GT"/>
        </w:rPr>
      </w:pPr>
    </w:p>
    <w:p w:rsidR="007F6462" w:rsidRPr="001A01AB" w:rsidRDefault="007F6462" w:rsidP="006B0A31">
      <w:pPr>
        <w:pStyle w:val="Prrafodelista"/>
        <w:numPr>
          <w:ilvl w:val="0"/>
          <w:numId w:val="53"/>
        </w:numPr>
        <w:autoSpaceDE w:val="0"/>
        <w:autoSpaceDN w:val="0"/>
        <w:adjustRightInd w:val="0"/>
        <w:jc w:val="both"/>
        <w:rPr>
          <w:rFonts w:cs="Calibri"/>
          <w:b/>
          <w:color w:val="365F91"/>
          <w:lang w:eastAsia="es-GT"/>
        </w:rPr>
      </w:pPr>
      <w:r w:rsidRPr="001A01AB">
        <w:rPr>
          <w:rFonts w:cs="Calibri"/>
          <w:b/>
          <w:color w:val="365F91"/>
          <w:lang w:eastAsia="es-GT"/>
        </w:rPr>
        <w:t>Agricultura de subsistencia</w:t>
      </w: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 xml:space="preserve">Aunque </w:t>
      </w:r>
      <w:r w:rsidR="001B46F8">
        <w:rPr>
          <w:rFonts w:ascii="Calibri" w:hAnsi="Calibri" w:cs="Calibri"/>
          <w:lang w:val="es-GT"/>
        </w:rPr>
        <w:t xml:space="preserve">los miembros de este grupo </w:t>
      </w:r>
      <w:r w:rsidRPr="001A01AB">
        <w:rPr>
          <w:rFonts w:ascii="Calibri" w:hAnsi="Calibri" w:cs="Calibri"/>
          <w:lang w:val="es-GT"/>
        </w:rPr>
        <w:t>dedica</w:t>
      </w:r>
      <w:r w:rsidR="001B46F8">
        <w:rPr>
          <w:rFonts w:ascii="Calibri" w:hAnsi="Calibri" w:cs="Calibri"/>
          <w:lang w:val="es-GT"/>
        </w:rPr>
        <w:t>n</w:t>
      </w:r>
      <w:r w:rsidRPr="001A01AB">
        <w:rPr>
          <w:rFonts w:ascii="Calibri" w:hAnsi="Calibri" w:cs="Calibri"/>
          <w:lang w:val="es-GT"/>
        </w:rPr>
        <w:t xml:space="preserve"> parte de la cosecha al autoconsumo, este sector contribuye de manera atomizada y global con el mayor porcentaje de la producción nacional de granos básicos y de otros productos para el mercado interno; sin embargo, el acceso a mercados crediticios y tecnológicos</w:t>
      </w:r>
      <w:r w:rsidR="003D1943" w:rsidRPr="003D1943">
        <w:rPr>
          <w:rFonts w:ascii="Calibri" w:hAnsi="Calibri" w:cs="Calibri"/>
          <w:lang w:val="es-GT"/>
        </w:rPr>
        <w:t xml:space="preserve"> </w:t>
      </w:r>
      <w:r w:rsidR="003D1943" w:rsidRPr="001A01AB">
        <w:rPr>
          <w:rFonts w:ascii="Calibri" w:hAnsi="Calibri" w:cs="Calibri"/>
          <w:lang w:val="es-GT"/>
        </w:rPr>
        <w:t>es ineficiente</w:t>
      </w:r>
      <w:r w:rsidRPr="001A01AB">
        <w:rPr>
          <w:rFonts w:ascii="Calibri" w:hAnsi="Calibri" w:cs="Calibri"/>
          <w:lang w:val="es-GT"/>
        </w:rPr>
        <w:t xml:space="preserve">, la infraestructura es deficiente y hay poco acceso a servicios básicos. Son en parte responsables del avance de la frontera agrícola (MAGA, 2012). En este segmento se encuentra un 15.5% de las familias rurales, quienes se caracterizan por poseer entre 2 y 10 manzanas de terreno (IPNUSAC y IARNA-URL, 2011). </w:t>
      </w:r>
      <w:r w:rsidR="003D1943">
        <w:rPr>
          <w:rFonts w:ascii="Calibri" w:hAnsi="Calibri" w:cs="Calibri"/>
          <w:lang w:val="es-GT"/>
        </w:rPr>
        <w:t xml:space="preserve"> </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lastRenderedPageBreak/>
        <w:t>Presentan características similares a la agricultura de infrasubsistenc</w:t>
      </w:r>
      <w:r w:rsidR="003D1943">
        <w:rPr>
          <w:rFonts w:ascii="Calibri" w:hAnsi="Calibri" w:cs="Calibri"/>
          <w:lang w:val="es-GT"/>
        </w:rPr>
        <w:t>ia, con la diferencia fundamental</w:t>
      </w:r>
      <w:r w:rsidRPr="001A01AB">
        <w:rPr>
          <w:rFonts w:ascii="Calibri" w:hAnsi="Calibri" w:cs="Calibri"/>
          <w:lang w:val="es-GT"/>
        </w:rPr>
        <w:t xml:space="preserve"> en la cantidad de recursos que poseen, principalmente tierra. Impactan los bosques por la ampliación de las tierras para la agricultura de granos básicos. Emplean modelos de producción agrícola poco eficientes, que causan impactos sobre los medios de producción, principalmente al suelo. Sus medios de vida se relacionan altamente con los recursos naturales locales, como l</w:t>
      </w:r>
      <w:r w:rsidR="007C3972" w:rsidRPr="001A01AB">
        <w:rPr>
          <w:rFonts w:ascii="Calibri" w:hAnsi="Calibri" w:cs="Calibri"/>
          <w:lang w:val="es-GT"/>
        </w:rPr>
        <w:t>a leña para las necesidades domé</w:t>
      </w:r>
      <w:r w:rsidRPr="001A01AB">
        <w:rPr>
          <w:rFonts w:ascii="Calibri" w:hAnsi="Calibri" w:cs="Calibri"/>
          <w:lang w:val="es-GT"/>
        </w:rPr>
        <w:t xml:space="preserve">sticas, </w:t>
      </w:r>
      <w:r w:rsidR="003D1943">
        <w:rPr>
          <w:rFonts w:ascii="Calibri" w:hAnsi="Calibri" w:cs="Calibri"/>
          <w:lang w:val="es-GT"/>
        </w:rPr>
        <w:t xml:space="preserve">las </w:t>
      </w:r>
      <w:r w:rsidRPr="001A01AB">
        <w:rPr>
          <w:rFonts w:ascii="Calibri" w:hAnsi="Calibri" w:cs="Calibri"/>
          <w:lang w:val="es-GT"/>
        </w:rPr>
        <w:t>agua</w:t>
      </w:r>
      <w:r w:rsidR="003D1943">
        <w:rPr>
          <w:rFonts w:ascii="Calibri" w:hAnsi="Calibri" w:cs="Calibri"/>
          <w:lang w:val="es-GT"/>
        </w:rPr>
        <w:t>s</w:t>
      </w:r>
      <w:r w:rsidRPr="001A01AB">
        <w:rPr>
          <w:rFonts w:ascii="Calibri" w:hAnsi="Calibri" w:cs="Calibri"/>
          <w:lang w:val="es-GT"/>
        </w:rPr>
        <w:t xml:space="preserve"> superficiales para el abastecimiento doméstico</w:t>
      </w:r>
      <w:r w:rsidR="003D1943">
        <w:rPr>
          <w:rFonts w:ascii="Calibri" w:hAnsi="Calibri" w:cs="Calibri"/>
          <w:lang w:val="es-GT"/>
        </w:rPr>
        <w:t>,</w:t>
      </w:r>
      <w:r w:rsidRPr="001A01AB">
        <w:rPr>
          <w:rFonts w:ascii="Calibri" w:hAnsi="Calibri" w:cs="Calibri"/>
          <w:lang w:val="es-GT"/>
        </w:rPr>
        <w:t xml:space="preserve"> y alimentos y medicinas provenientes de los bosques.</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 xml:space="preserve">Viven en territorios marginales que poseen una alta fragilidad ambiental, presentando alta vulnerabilidad social y ambiental, la cual es exacerbada por el cambio climático, principalmente durante los eventos </w:t>
      </w:r>
      <w:r w:rsidR="00B0483B">
        <w:rPr>
          <w:rFonts w:ascii="Calibri" w:hAnsi="Calibri" w:cs="Calibri"/>
          <w:lang w:val="es-GT"/>
        </w:rPr>
        <w:t>extremos de inundaciones y sequías. Por el aumento</w:t>
      </w:r>
      <w:r w:rsidRPr="001A01AB">
        <w:rPr>
          <w:rFonts w:ascii="Calibri" w:hAnsi="Calibri" w:cs="Calibri"/>
          <w:lang w:val="es-GT"/>
        </w:rPr>
        <w:t xml:space="preserve"> poblacional y la dependencia de la agricultura como medio de subsistencia, existe la tendencia a la atomización de las tierras, lo cual conlleva </w:t>
      </w:r>
      <w:r w:rsidR="00B0483B">
        <w:rPr>
          <w:rFonts w:ascii="Calibri" w:hAnsi="Calibri" w:cs="Calibri"/>
          <w:lang w:val="es-GT"/>
        </w:rPr>
        <w:t xml:space="preserve">al riesgo de que las siguientes generaciones pasen a </w:t>
      </w:r>
      <w:r w:rsidRPr="001A01AB">
        <w:rPr>
          <w:rFonts w:ascii="Calibri" w:hAnsi="Calibri" w:cs="Calibri"/>
          <w:lang w:val="es-GT"/>
        </w:rPr>
        <w:t>condiciones de infrasubsistencia.</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B2DC5">
        <w:rPr>
          <w:rFonts w:ascii="Calibri" w:hAnsi="Calibri" w:cs="Calibri"/>
          <w:lang w:val="es-GT"/>
        </w:rPr>
        <w:t>Poseen una alta tendencia a mantener el deterioro ambiental con consecuencias crecientes y acumulativas. Dentro del modelo actual, poseen pocas oportunidades</w:t>
      </w:r>
      <w:r w:rsidR="00B0483B" w:rsidRPr="001B2DC5">
        <w:rPr>
          <w:rFonts w:ascii="Calibri" w:hAnsi="Calibri" w:cs="Calibri"/>
          <w:lang w:val="es-GT"/>
        </w:rPr>
        <w:t>,</w:t>
      </w:r>
      <w:r w:rsidRPr="001B2DC5">
        <w:rPr>
          <w:rFonts w:ascii="Calibri" w:hAnsi="Calibri" w:cs="Calibri"/>
          <w:lang w:val="es-GT"/>
        </w:rPr>
        <w:t xml:space="preserve"> ya que su producción se destina principalmente </w:t>
      </w:r>
      <w:r w:rsidR="00B0483B" w:rsidRPr="001B2DC5">
        <w:rPr>
          <w:rFonts w:ascii="Calibri" w:hAnsi="Calibri" w:cs="Calibri"/>
          <w:lang w:val="es-GT"/>
        </w:rPr>
        <w:t>al autoconsumo</w:t>
      </w:r>
      <w:r w:rsidRPr="001B2DC5">
        <w:rPr>
          <w:rFonts w:ascii="Calibri" w:hAnsi="Calibri" w:cs="Calibri"/>
          <w:lang w:val="es-GT"/>
        </w:rPr>
        <w:t xml:space="preserve"> y</w:t>
      </w:r>
      <w:r w:rsidR="00B0483B" w:rsidRPr="001B2DC5">
        <w:rPr>
          <w:rFonts w:ascii="Calibri" w:hAnsi="Calibri" w:cs="Calibri"/>
          <w:lang w:val="es-GT"/>
        </w:rPr>
        <w:t>,</w:t>
      </w:r>
      <w:r w:rsidRPr="001B2DC5">
        <w:rPr>
          <w:rFonts w:ascii="Calibri" w:hAnsi="Calibri" w:cs="Calibri"/>
          <w:lang w:val="es-GT"/>
        </w:rPr>
        <w:t xml:space="preserve"> cuando generan excedentes, estos se comercializan en los mercados locales. La situación de atomización y dispersión es una limitante para la organización de la producción y </w:t>
      </w:r>
      <w:r w:rsidR="001B2DC5">
        <w:rPr>
          <w:rFonts w:ascii="Calibri" w:hAnsi="Calibri" w:cs="Calibri"/>
          <w:lang w:val="es-GT"/>
        </w:rPr>
        <w:t xml:space="preserve">para </w:t>
      </w:r>
      <w:r w:rsidRPr="001B2DC5">
        <w:rPr>
          <w:rFonts w:ascii="Calibri" w:hAnsi="Calibri" w:cs="Calibri"/>
          <w:lang w:val="es-GT"/>
        </w:rPr>
        <w:t xml:space="preserve">poder </w:t>
      </w:r>
      <w:r w:rsidR="001B2DC5">
        <w:rPr>
          <w:rFonts w:ascii="Calibri" w:hAnsi="Calibri" w:cs="Calibri"/>
          <w:lang w:val="es-GT"/>
        </w:rPr>
        <w:t>articularse</w:t>
      </w:r>
      <w:r w:rsidRPr="001B2DC5">
        <w:rPr>
          <w:rFonts w:ascii="Calibri" w:hAnsi="Calibri" w:cs="Calibri"/>
          <w:lang w:val="es-GT"/>
        </w:rPr>
        <w:t xml:space="preserve"> a otros mercados. Las políticas públicas y de cooperación los han abordado tangencialmente, sin ser estos los sujetos priorizados.</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 xml:space="preserve">Las políticas públicas actuales que dan respuesta a las demandas crecientes de estos grupos son la Política de Desarrollo Rural Integral, el Programa de Agricultura Familiar para el Fortalecimiento de las Economías Campesinas, el pacto Hambre Cero y el Eje de Desarrollo Rural Sostenible. </w:t>
      </w:r>
    </w:p>
    <w:p w:rsidR="007F6462" w:rsidRPr="001A01AB" w:rsidRDefault="007F6462" w:rsidP="007F6462">
      <w:pPr>
        <w:ind w:left="360"/>
        <w:jc w:val="both"/>
        <w:rPr>
          <w:rFonts w:ascii="Calibri" w:hAnsi="Calibri" w:cs="Calibri"/>
          <w:lang w:val="es-GT"/>
        </w:rPr>
      </w:pPr>
    </w:p>
    <w:p w:rsidR="007F6462" w:rsidRPr="001A01AB" w:rsidRDefault="007F6462" w:rsidP="006B0A31">
      <w:pPr>
        <w:pStyle w:val="Prrafodelista"/>
        <w:numPr>
          <w:ilvl w:val="0"/>
          <w:numId w:val="53"/>
        </w:numPr>
        <w:autoSpaceDE w:val="0"/>
        <w:autoSpaceDN w:val="0"/>
        <w:adjustRightInd w:val="0"/>
        <w:jc w:val="both"/>
        <w:rPr>
          <w:rFonts w:cs="Calibri"/>
          <w:b/>
          <w:color w:val="365F91"/>
          <w:lang w:eastAsia="es-GT"/>
        </w:rPr>
      </w:pPr>
      <w:r w:rsidRPr="001A01AB">
        <w:rPr>
          <w:rFonts w:cs="Calibri"/>
          <w:b/>
          <w:color w:val="365F91"/>
          <w:lang w:eastAsia="es-GT"/>
        </w:rPr>
        <w:t>Agricultura excedentaria</w:t>
      </w: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Se dedica principalmente a productos agrícolas no tradicionales, producción de café y a la mediana producción ganadera. Cuenta con beneficios de riego, pero los niveles de acceso a los mercados financieros y tecnológicos son aún deficientes. La producción se orienta principalmente al comercio, ya sea nacional o internacional, principalmente el segundo. Este tipo de productores es bastante organizado socialmente. Cuenta con cooperativas y otro tipo de organizaciones sociales que favorecen la actividad productora (MAGA, 2012). Se estima que el 3.5% de los productores agrícolas se encuentran en las condiciones de ser excedentarios (IPNUSAC y IARNA-URL, 2011).</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Los modelos de producción excedentarios tien</w:t>
      </w:r>
      <w:r w:rsidR="001B2DC5">
        <w:rPr>
          <w:rFonts w:ascii="Calibri" w:hAnsi="Calibri" w:cs="Calibri"/>
          <w:lang w:val="es-GT"/>
        </w:rPr>
        <w:t>d</w:t>
      </w:r>
      <w:r w:rsidRPr="001A01AB">
        <w:rPr>
          <w:rFonts w:ascii="Calibri" w:hAnsi="Calibri" w:cs="Calibri"/>
          <w:lang w:val="es-GT"/>
        </w:rPr>
        <w:t xml:space="preserve">en a requerir de mayores cantidades de insumos y de mano de obra. Generan otros tipos de impactos a los recursos como la contaminación de ríos y fuentes de agua por </w:t>
      </w:r>
      <w:r w:rsidR="007C3972" w:rsidRPr="001A01AB">
        <w:rPr>
          <w:rFonts w:ascii="Calibri" w:hAnsi="Calibri" w:cs="Calibri"/>
          <w:lang w:val="es-GT"/>
        </w:rPr>
        <w:t>agro insumos</w:t>
      </w:r>
      <w:r w:rsidRPr="001A01AB">
        <w:rPr>
          <w:rFonts w:ascii="Calibri" w:hAnsi="Calibri" w:cs="Calibri"/>
          <w:lang w:val="es-GT"/>
        </w:rPr>
        <w:t xml:space="preserve">, aunque en muchos casos estos impactos son de carácter local. Promueven el incremento de las áreas de producción, a </w:t>
      </w:r>
      <w:r w:rsidRPr="001A01AB">
        <w:rPr>
          <w:rFonts w:ascii="Calibri" w:hAnsi="Calibri" w:cs="Calibri"/>
          <w:lang w:val="es-GT"/>
        </w:rPr>
        <w:lastRenderedPageBreak/>
        <w:t>costa de otros tipos de usos de la tierra. Aunque los medios de vida de sus propietarios no están vinculados con el uso de los recursos naturales locales, las actividades productivas que implementan generan impactos ambientales locales.</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 xml:space="preserve">La vulnerabilidad de estos sistemas de producción está asociada al mercado y a la competitividad. Se ubican en territorios de menor vulnerabilidad climática. Las tendencias de deterioro se mantendrán, </w:t>
      </w:r>
      <w:r w:rsidR="001B2DC5">
        <w:rPr>
          <w:rFonts w:ascii="Calibri" w:hAnsi="Calibri" w:cs="Calibri"/>
          <w:lang w:val="es-GT"/>
        </w:rPr>
        <w:t>impactando</w:t>
      </w:r>
      <w:r w:rsidRPr="001A01AB">
        <w:rPr>
          <w:rFonts w:ascii="Calibri" w:hAnsi="Calibri" w:cs="Calibri"/>
          <w:lang w:val="es-GT"/>
        </w:rPr>
        <w:t xml:space="preserve"> principalmente a los cuerpos de agua. </w:t>
      </w: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Estos grupos poseen mayores niveles de desarrollo y los mismos están articulados con los mercados financieros del país. Dentro de las políticas públicas que apoy</w:t>
      </w:r>
      <w:r w:rsidR="001B2DC5">
        <w:rPr>
          <w:rFonts w:ascii="Calibri" w:hAnsi="Calibri" w:cs="Calibri"/>
          <w:lang w:val="es-GT"/>
        </w:rPr>
        <w:t>an a este tipo de agricultura se encuentra</w:t>
      </w:r>
      <w:r w:rsidRPr="001A01AB">
        <w:rPr>
          <w:rFonts w:ascii="Calibri" w:hAnsi="Calibri" w:cs="Calibri"/>
          <w:lang w:val="es-GT"/>
        </w:rPr>
        <w:t xml:space="preserve"> el Eje de Infraestructura Productiva y Social para el Desarrollo.</w:t>
      </w:r>
    </w:p>
    <w:p w:rsidR="007F6462" w:rsidRPr="001A01AB" w:rsidRDefault="007F6462" w:rsidP="007F6462">
      <w:pPr>
        <w:ind w:left="360"/>
        <w:jc w:val="both"/>
        <w:rPr>
          <w:rFonts w:ascii="Calibri" w:hAnsi="Calibri" w:cs="Calibri"/>
          <w:lang w:val="es-GT"/>
        </w:rPr>
      </w:pPr>
    </w:p>
    <w:p w:rsidR="007F6462" w:rsidRPr="001A01AB" w:rsidRDefault="007F6462" w:rsidP="006B0A31">
      <w:pPr>
        <w:pStyle w:val="Prrafodelista"/>
        <w:numPr>
          <w:ilvl w:val="0"/>
          <w:numId w:val="53"/>
        </w:numPr>
        <w:autoSpaceDE w:val="0"/>
        <w:autoSpaceDN w:val="0"/>
        <w:adjustRightInd w:val="0"/>
        <w:jc w:val="both"/>
        <w:rPr>
          <w:rFonts w:cs="Calibri"/>
          <w:b/>
          <w:color w:val="365F91"/>
          <w:lang w:eastAsia="es-GT"/>
        </w:rPr>
      </w:pPr>
      <w:r w:rsidRPr="001A01AB">
        <w:rPr>
          <w:rFonts w:cs="Calibri"/>
          <w:b/>
          <w:color w:val="365F91"/>
          <w:lang w:eastAsia="es-GT"/>
        </w:rPr>
        <w:t>Agricultura de producción comercial</w:t>
      </w:r>
    </w:p>
    <w:p w:rsidR="00284548" w:rsidRDefault="007F6462" w:rsidP="00C470CE">
      <w:pPr>
        <w:ind w:left="720"/>
        <w:jc w:val="both"/>
        <w:rPr>
          <w:rFonts w:ascii="Calibri" w:hAnsi="Calibri" w:cs="Calibri"/>
          <w:lang w:val="es-GT"/>
        </w:rPr>
      </w:pPr>
      <w:r w:rsidRPr="001A01AB">
        <w:rPr>
          <w:rFonts w:ascii="Calibri" w:hAnsi="Calibri" w:cs="Calibri"/>
          <w:lang w:val="es-GT"/>
        </w:rPr>
        <w:t xml:space="preserve">La producción está completamente dedicada al mercado, principalmente </w:t>
      </w:r>
      <w:r w:rsidR="001B2DC5">
        <w:rPr>
          <w:rFonts w:ascii="Calibri" w:hAnsi="Calibri" w:cs="Calibri"/>
          <w:lang w:val="es-GT"/>
        </w:rPr>
        <w:t xml:space="preserve">a </w:t>
      </w:r>
      <w:r w:rsidRPr="001A01AB">
        <w:rPr>
          <w:rFonts w:ascii="Calibri" w:hAnsi="Calibri" w:cs="Calibri"/>
          <w:lang w:val="es-GT"/>
        </w:rPr>
        <w:t xml:space="preserve">la exportación de productos tradicionales. Tiene acceso al crédito y a los mercados tecnológicos, aunque también se advierten ciertas deficiencias de asistencia técnica. En este sector se incluyen las compañías multinacionales que se dedican a la producción de cultivos no tradicionales (MAGA, 2012). </w:t>
      </w:r>
    </w:p>
    <w:p w:rsidR="00284548" w:rsidRDefault="00284548"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Únicamente el 0.15% de las personas que se dedican a la actividad agrícola</w:t>
      </w:r>
      <w:r w:rsidR="00284548">
        <w:rPr>
          <w:rFonts w:ascii="Calibri" w:hAnsi="Calibri" w:cs="Calibri"/>
          <w:lang w:val="es-GT"/>
        </w:rPr>
        <w:t xml:space="preserve"> se encuentran en este segmento</w:t>
      </w:r>
      <w:r w:rsidRPr="001A01AB">
        <w:rPr>
          <w:rFonts w:ascii="Calibri" w:hAnsi="Calibri" w:cs="Calibri"/>
          <w:lang w:val="es-GT"/>
        </w:rPr>
        <w:t xml:space="preserve"> y</w:t>
      </w:r>
      <w:r w:rsidR="00284548">
        <w:rPr>
          <w:rFonts w:ascii="Calibri" w:hAnsi="Calibri" w:cs="Calibri"/>
          <w:lang w:val="es-GT"/>
        </w:rPr>
        <w:t>,</w:t>
      </w:r>
      <w:r w:rsidRPr="001A01AB">
        <w:rPr>
          <w:rFonts w:ascii="Calibri" w:hAnsi="Calibri" w:cs="Calibri"/>
          <w:lang w:val="es-GT"/>
        </w:rPr>
        <w:t xml:space="preserve"> en conjunto con los productores excedentarios, poseen el 70% de la superficie agrícola del país (IPNUSAC y IARNA-URL, 2011).</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Este tipo de agricultura realiza fuertes inversiones en los territorios rurales del país. La producción está basada en la eficiencia, buscan territorios y actividades que maximizan el retorno financiero. Generalmente buscan tierras con mayor potencial para el desarrollo productivo y</w:t>
      </w:r>
      <w:r w:rsidR="00284548">
        <w:rPr>
          <w:rFonts w:ascii="Calibri" w:hAnsi="Calibri" w:cs="Calibri"/>
          <w:lang w:val="es-GT"/>
        </w:rPr>
        <w:t>,</w:t>
      </w:r>
      <w:r w:rsidRPr="001A01AB">
        <w:rPr>
          <w:rFonts w:ascii="Calibri" w:hAnsi="Calibri" w:cs="Calibri"/>
          <w:lang w:val="es-GT"/>
        </w:rPr>
        <w:t xml:space="preserve"> por medio de las inversiones que realizan, cambian las dinámicas t</w:t>
      </w:r>
      <w:r w:rsidR="00284548">
        <w:rPr>
          <w:rFonts w:ascii="Calibri" w:hAnsi="Calibri" w:cs="Calibri"/>
          <w:lang w:val="es-GT"/>
        </w:rPr>
        <w:t xml:space="preserve">radicionales de los territorios, pues </w:t>
      </w:r>
      <w:r w:rsidRPr="001A01AB">
        <w:rPr>
          <w:rFonts w:ascii="Calibri" w:hAnsi="Calibri" w:cs="Calibri"/>
          <w:lang w:val="es-GT"/>
        </w:rPr>
        <w:t xml:space="preserve">tienen alta influencia en el paisaje y </w:t>
      </w:r>
      <w:r w:rsidR="00284548">
        <w:rPr>
          <w:rFonts w:ascii="Calibri" w:hAnsi="Calibri" w:cs="Calibri"/>
          <w:lang w:val="es-GT"/>
        </w:rPr>
        <w:t xml:space="preserve">en </w:t>
      </w:r>
      <w:r w:rsidRPr="001A01AB">
        <w:rPr>
          <w:rFonts w:ascii="Calibri" w:hAnsi="Calibri" w:cs="Calibri"/>
          <w:lang w:val="es-GT"/>
        </w:rPr>
        <w:t>las dinámicas socioeconómicas locales. Por la magnitud de las operaciones, generan altos impactos ambientales, como la transformación de ecosistemas, altos niveles de contaminación y altas demandas de otros recursos, principalmente agua para los sistemas de riego.</w:t>
      </w:r>
    </w:p>
    <w:p w:rsidR="007F6462" w:rsidRPr="001A01AB" w:rsidRDefault="007F6462"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Aunque no depende directamente de las políticas públicas para su desarrollo, el Eje de Infraestructura Productiva y Social para el Desarrollo y el Pacto Fiscal y de Competitividad apoyan directamente el desempeño de sus actividades.</w:t>
      </w:r>
    </w:p>
    <w:p w:rsidR="007F6462" w:rsidRPr="001A01AB" w:rsidRDefault="007F6462" w:rsidP="007F6462">
      <w:pPr>
        <w:ind w:left="360"/>
        <w:jc w:val="both"/>
        <w:rPr>
          <w:rFonts w:ascii="Calibri" w:hAnsi="Calibri" w:cs="Calibri"/>
          <w:lang w:val="es-GT"/>
        </w:rPr>
      </w:pPr>
    </w:p>
    <w:p w:rsidR="007F6462" w:rsidRPr="001A01AB" w:rsidRDefault="007F6462" w:rsidP="006B0A31">
      <w:pPr>
        <w:pStyle w:val="Prrafodelista"/>
        <w:numPr>
          <w:ilvl w:val="0"/>
          <w:numId w:val="53"/>
        </w:numPr>
        <w:autoSpaceDE w:val="0"/>
        <w:autoSpaceDN w:val="0"/>
        <w:adjustRightInd w:val="0"/>
        <w:jc w:val="both"/>
        <w:rPr>
          <w:rFonts w:cs="Calibri"/>
          <w:b/>
          <w:color w:val="365F91"/>
          <w:lang w:eastAsia="es-GT"/>
        </w:rPr>
      </w:pPr>
      <w:r w:rsidRPr="001A01AB">
        <w:rPr>
          <w:rFonts w:cs="Calibri"/>
          <w:b/>
          <w:color w:val="365F91"/>
          <w:lang w:eastAsia="es-GT"/>
        </w:rPr>
        <w:t xml:space="preserve">Dinámica de la situación de las pequeñas propiedades agrícolas </w:t>
      </w:r>
    </w:p>
    <w:p w:rsidR="007F6462" w:rsidRPr="001A01AB" w:rsidRDefault="00CE32D3" w:rsidP="00C470CE">
      <w:pPr>
        <w:ind w:left="720"/>
        <w:jc w:val="both"/>
        <w:rPr>
          <w:rFonts w:ascii="Calibri" w:hAnsi="Calibri" w:cs="Calibri"/>
          <w:lang w:val="es-GT"/>
        </w:rPr>
      </w:pPr>
      <w:r>
        <w:rPr>
          <w:rFonts w:ascii="Calibri" w:hAnsi="Calibri" w:cs="Calibri"/>
          <w:lang w:val="es-GT"/>
        </w:rPr>
        <w:t xml:space="preserve">Análisis realizados a partir </w:t>
      </w:r>
      <w:r w:rsidR="007F6462" w:rsidRPr="001A01AB">
        <w:rPr>
          <w:rFonts w:ascii="Calibri" w:hAnsi="Calibri" w:cs="Calibri"/>
          <w:lang w:val="es-GT"/>
        </w:rPr>
        <w:t xml:space="preserve">de los censos agropecuarios indican </w:t>
      </w:r>
      <w:r>
        <w:rPr>
          <w:rFonts w:ascii="Calibri" w:hAnsi="Calibri" w:cs="Calibri"/>
          <w:lang w:val="es-GT"/>
        </w:rPr>
        <w:t>un proceso permanente de reducción de tamaño de las fincas en Guatemala, así como el aumento del número de propietarios de las mismas, particularmente de</w:t>
      </w:r>
      <w:r w:rsidR="007F6462" w:rsidRPr="001A01AB">
        <w:rPr>
          <w:rFonts w:ascii="Calibri" w:hAnsi="Calibri" w:cs="Calibri"/>
          <w:lang w:val="es-GT"/>
        </w:rPr>
        <w:t xml:space="preserve"> fincas menores a 10 m</w:t>
      </w:r>
      <w:r>
        <w:rPr>
          <w:rFonts w:ascii="Calibri" w:hAnsi="Calibri" w:cs="Calibri"/>
          <w:lang w:val="es-GT"/>
        </w:rPr>
        <w:t>anzanas. La disminución</w:t>
      </w:r>
      <w:r w:rsidR="007F6462" w:rsidRPr="001A01AB">
        <w:rPr>
          <w:rFonts w:ascii="Calibri" w:hAnsi="Calibri" w:cs="Calibri"/>
          <w:lang w:val="es-GT"/>
        </w:rPr>
        <w:t xml:space="preserve"> del tamaño de la superficie es en cascada, de mayor a menor con relación al tamaño de la finca, y de manera invertida en el número de propietarios: es decir, cada vez </w:t>
      </w:r>
      <w:r w:rsidR="003F3EED">
        <w:rPr>
          <w:rFonts w:ascii="Calibri" w:hAnsi="Calibri" w:cs="Calibri"/>
          <w:lang w:val="es-GT"/>
        </w:rPr>
        <w:t xml:space="preserve">hay </w:t>
      </w:r>
      <w:r w:rsidR="007F6462" w:rsidRPr="001A01AB">
        <w:rPr>
          <w:rFonts w:ascii="Calibri" w:hAnsi="Calibri" w:cs="Calibri"/>
          <w:lang w:val="es-GT"/>
        </w:rPr>
        <w:t>fincas de menor tamaño y mayor número de propietarios (MAGA, 2012).</w:t>
      </w:r>
    </w:p>
    <w:p w:rsidR="007F6462" w:rsidRDefault="007F6462" w:rsidP="00C470CE">
      <w:pPr>
        <w:ind w:left="720"/>
        <w:jc w:val="both"/>
        <w:rPr>
          <w:rFonts w:ascii="Calibri" w:hAnsi="Calibri" w:cs="Calibri"/>
          <w:lang w:val="es-GT"/>
        </w:rPr>
      </w:pPr>
      <w:r w:rsidRPr="001A01AB">
        <w:rPr>
          <w:rFonts w:ascii="Calibri" w:hAnsi="Calibri" w:cs="Calibri"/>
          <w:lang w:val="es-GT"/>
        </w:rPr>
        <w:lastRenderedPageBreak/>
        <w:t>Esta información debe considerarse relevante para abordar el tema de desarrol</w:t>
      </w:r>
      <w:r w:rsidR="00CE32D3">
        <w:rPr>
          <w:rFonts w:ascii="Calibri" w:hAnsi="Calibri" w:cs="Calibri"/>
          <w:lang w:val="es-GT"/>
        </w:rPr>
        <w:t>lo rural, ya que de continuar esta</w:t>
      </w:r>
      <w:r w:rsidRPr="001A01AB">
        <w:rPr>
          <w:rFonts w:ascii="Calibri" w:hAnsi="Calibri" w:cs="Calibri"/>
          <w:lang w:val="es-GT"/>
        </w:rPr>
        <w:t xml:space="preserve"> tendencia, cada vez será más importante valorar y retomar el enfoque de la agricultura familiar como alternativa productiva y de seguridad alimentaria para la población rural, los mercados locales y, por tanto, la población en general (MAGA, 2012).</w:t>
      </w:r>
    </w:p>
    <w:p w:rsidR="00CE32D3" w:rsidRPr="001A01AB" w:rsidRDefault="00CE32D3" w:rsidP="00C470CE">
      <w:pPr>
        <w:ind w:left="72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Gran parte de la población rural de Guatemala depende de la agricultura para sobrevivir, pero la cantidad de tierra disponible ha ido disminuyendo debido al crecimiento de las familias rurales y a la expansión continua de la agricultura de exportación (Saldívar &amp; Wittman, 2008). La tierra se ha fragmentado progresivamente en los últimos 50 años, según el tamaño medio de la explotación agrícola (</w:t>
      </w:r>
      <w:r w:rsidR="00CE32D3" w:rsidRPr="001A01AB">
        <w:rPr>
          <w:rFonts w:ascii="Calibri" w:hAnsi="Calibri" w:cs="Calibri"/>
          <w:lang w:val="es-GT"/>
        </w:rPr>
        <w:t>10.7 en 1950</w:t>
      </w:r>
      <w:r w:rsidR="00CE32D3">
        <w:rPr>
          <w:rFonts w:ascii="Calibri" w:hAnsi="Calibri" w:cs="Calibri"/>
          <w:lang w:val="es-GT"/>
        </w:rPr>
        <w:t xml:space="preserve">, </w:t>
      </w:r>
      <w:r w:rsidRPr="001A01AB">
        <w:rPr>
          <w:rFonts w:ascii="Calibri" w:hAnsi="Calibri" w:cs="Calibri"/>
          <w:lang w:val="es-GT"/>
        </w:rPr>
        <w:t>8.3 en 1964 y</w:t>
      </w:r>
      <w:r w:rsidR="00CE32D3">
        <w:rPr>
          <w:rFonts w:ascii="Calibri" w:hAnsi="Calibri" w:cs="Calibri"/>
          <w:lang w:val="es-GT"/>
        </w:rPr>
        <w:t xml:space="preserve"> </w:t>
      </w:r>
      <w:r w:rsidR="00CE32D3" w:rsidRPr="001A01AB">
        <w:rPr>
          <w:rFonts w:ascii="Calibri" w:hAnsi="Calibri" w:cs="Calibri"/>
          <w:lang w:val="es-GT"/>
        </w:rPr>
        <w:t>4.5 ha en 2003</w:t>
      </w:r>
      <w:r w:rsidRPr="00456FE9">
        <w:rPr>
          <w:rFonts w:ascii="Calibri" w:hAnsi="Calibri" w:cs="Calibri"/>
          <w:lang w:val="es-GT"/>
        </w:rPr>
        <w:t>) (INE, 2003a; SEGEPLAN, 2006) y la proporción de titulares co</w:t>
      </w:r>
      <w:r w:rsidRPr="001A01AB">
        <w:rPr>
          <w:rFonts w:ascii="Calibri" w:hAnsi="Calibri" w:cs="Calibri"/>
          <w:lang w:val="es-GT"/>
        </w:rPr>
        <w:t xml:space="preserve">n </w:t>
      </w:r>
      <w:r w:rsidR="007C3972" w:rsidRPr="001A01AB">
        <w:rPr>
          <w:rFonts w:ascii="Calibri" w:hAnsi="Calibri" w:cs="Calibri"/>
          <w:lang w:val="es-GT"/>
        </w:rPr>
        <w:t>micro fincas</w:t>
      </w:r>
      <w:r w:rsidRPr="001A01AB">
        <w:rPr>
          <w:rFonts w:ascii="Calibri" w:hAnsi="Calibri" w:cs="Calibri"/>
          <w:lang w:val="es-GT"/>
        </w:rPr>
        <w:t xml:space="preserve"> (Figura </w:t>
      </w:r>
      <w:r w:rsidR="007E29B2" w:rsidRPr="001A01AB">
        <w:rPr>
          <w:rFonts w:ascii="Calibri" w:hAnsi="Calibri" w:cs="Calibri"/>
          <w:lang w:val="es-GT"/>
        </w:rPr>
        <w:t>1</w:t>
      </w:r>
      <w:r w:rsidR="000C27D7">
        <w:rPr>
          <w:rFonts w:ascii="Calibri" w:hAnsi="Calibri" w:cs="Calibri"/>
          <w:lang w:val="es-GT"/>
        </w:rPr>
        <w:t>8</w:t>
      </w:r>
      <w:r w:rsidRPr="001A01AB">
        <w:rPr>
          <w:rFonts w:ascii="Calibri" w:hAnsi="Calibri" w:cs="Calibri"/>
          <w:lang w:val="es-GT"/>
        </w:rPr>
        <w:t>).</w:t>
      </w:r>
    </w:p>
    <w:p w:rsidR="007F6462" w:rsidRPr="001A01AB" w:rsidRDefault="007F6462" w:rsidP="007F6462">
      <w:pPr>
        <w:ind w:left="360"/>
        <w:jc w:val="both"/>
        <w:rPr>
          <w:rFonts w:ascii="Calibri" w:hAnsi="Calibri" w:cs="Calibri"/>
          <w:lang w:val="es-GT"/>
        </w:rPr>
      </w:pPr>
    </w:p>
    <w:p w:rsidR="007F6462" w:rsidRPr="00224B57" w:rsidRDefault="007F6462" w:rsidP="007F6462">
      <w:pPr>
        <w:spacing w:after="120"/>
        <w:jc w:val="center"/>
        <w:rPr>
          <w:rFonts w:ascii="Calibri" w:eastAsia="Calibri" w:hAnsi="Calibri" w:cs="Calibri"/>
          <w:b/>
          <w:color w:val="365F91"/>
          <w:sz w:val="22"/>
          <w:szCs w:val="22"/>
          <w:lang w:val="es-GT"/>
        </w:rPr>
      </w:pPr>
      <w:bookmarkStart w:id="79" w:name="_Toc347841241"/>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18</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Tendencia en la distribución de fin</w:t>
      </w:r>
      <w:r w:rsidR="00CE32D3">
        <w:rPr>
          <w:rFonts w:ascii="Calibri" w:eastAsia="Calibri" w:hAnsi="Calibri" w:cs="Calibri"/>
          <w:b/>
          <w:color w:val="365F91"/>
          <w:sz w:val="22"/>
          <w:szCs w:val="22"/>
          <w:lang w:val="es-GT"/>
        </w:rPr>
        <w:t>cas por categoría de tamaño (%). Periodo</w:t>
      </w:r>
      <w:r w:rsidRPr="001A01AB">
        <w:rPr>
          <w:rFonts w:ascii="Calibri" w:eastAsia="Calibri" w:hAnsi="Calibri" w:cs="Calibri"/>
          <w:b/>
          <w:color w:val="365F91"/>
          <w:sz w:val="22"/>
          <w:szCs w:val="22"/>
          <w:lang w:val="es-GT"/>
        </w:rPr>
        <w:t xml:space="preserve"> 1950-2003</w:t>
      </w:r>
      <w:bookmarkEnd w:id="79"/>
    </w:p>
    <w:p w:rsidR="007F6462" w:rsidRPr="001A01AB" w:rsidRDefault="00544A9F" w:rsidP="007F6462">
      <w:pPr>
        <w:autoSpaceDE w:val="0"/>
        <w:autoSpaceDN w:val="0"/>
        <w:adjustRightInd w:val="0"/>
        <w:jc w:val="center"/>
        <w:rPr>
          <w:rFonts w:ascii="Calibri" w:hAnsi="Calibri" w:cs="Calibri"/>
          <w:b/>
          <w:color w:val="17365D"/>
          <w:lang w:val="es-GT"/>
        </w:rPr>
      </w:pPr>
      <w:r>
        <w:rPr>
          <w:rFonts w:ascii="Calibri" w:hAnsi="Calibri" w:cs="Calibri"/>
          <w:b/>
          <w:noProof/>
          <w:color w:val="17365D"/>
          <w:lang w:val="es-GT" w:eastAsia="es-GT"/>
        </w:rPr>
        <w:drawing>
          <wp:inline distT="0" distB="0" distL="0" distR="0" wp14:anchorId="5FB3EEE8" wp14:editId="14E12402">
            <wp:extent cx="4886325" cy="3114675"/>
            <wp:effectExtent l="0" t="0" r="9525" b="9525"/>
            <wp:docPr id="2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1" cstate="print">
                      <a:extLst>
                        <a:ext uri="{28A0092B-C50C-407E-A947-70E740481C1C}">
                          <a14:useLocalDpi xmlns:a14="http://schemas.microsoft.com/office/drawing/2010/main" val="0"/>
                        </a:ext>
                      </a:extLst>
                    </a:blip>
                    <a:srcRect l="4500" t="12843" r="2251" b="3281"/>
                    <a:stretch>
                      <a:fillRect/>
                    </a:stretch>
                  </pic:blipFill>
                  <pic:spPr bwMode="auto">
                    <a:xfrm>
                      <a:off x="0" y="0"/>
                      <a:ext cx="4886325" cy="3114675"/>
                    </a:xfrm>
                    <a:prstGeom prst="rect">
                      <a:avLst/>
                    </a:prstGeom>
                    <a:noFill/>
                    <a:ln>
                      <a:noFill/>
                    </a:ln>
                  </pic:spPr>
                </pic:pic>
              </a:graphicData>
            </a:graphic>
          </wp:inline>
        </w:drawing>
      </w:r>
    </w:p>
    <w:p w:rsidR="007F6462" w:rsidRPr="001A01AB" w:rsidRDefault="007F6462" w:rsidP="007F6462">
      <w:pPr>
        <w:spacing w:after="120"/>
        <w:ind w:right="918"/>
        <w:jc w:val="right"/>
        <w:rPr>
          <w:rFonts w:ascii="Calibri" w:hAnsi="Calibri" w:cs="Calibri"/>
          <w:sz w:val="20"/>
          <w:szCs w:val="20"/>
          <w:lang w:val="es-GT"/>
        </w:rPr>
      </w:pPr>
      <w:r w:rsidRPr="001A01AB">
        <w:rPr>
          <w:rFonts w:ascii="Calibri" w:hAnsi="Calibri" w:cs="Calibri"/>
          <w:noProof/>
          <w:sz w:val="20"/>
          <w:szCs w:val="20"/>
          <w:lang w:val="es-GT" w:eastAsia="es-GT"/>
        </w:rPr>
        <w:t xml:space="preserve">Fuente: </w:t>
      </w:r>
      <w:r w:rsidR="00CE32D3">
        <w:rPr>
          <w:rFonts w:ascii="Calibri" w:hAnsi="Calibri" w:cs="Calibri"/>
          <w:noProof/>
          <w:sz w:val="20"/>
          <w:szCs w:val="20"/>
          <w:lang w:val="es-GT" w:eastAsia="es-GT"/>
        </w:rPr>
        <w:t>MARN, IARNA-URL y PNUMA (2009).</w:t>
      </w:r>
    </w:p>
    <w:p w:rsidR="00BC44FA" w:rsidRDefault="00BC44FA" w:rsidP="007F6462">
      <w:pPr>
        <w:ind w:left="360"/>
        <w:jc w:val="both"/>
        <w:rPr>
          <w:rFonts w:ascii="Calibri" w:hAnsi="Calibri" w:cs="Calibri"/>
          <w:lang w:val="es-GT"/>
        </w:rPr>
      </w:pPr>
    </w:p>
    <w:p w:rsidR="007F6462" w:rsidRPr="001A01AB" w:rsidRDefault="007F6462" w:rsidP="00C470CE">
      <w:pPr>
        <w:ind w:left="720"/>
        <w:jc w:val="both"/>
        <w:rPr>
          <w:rFonts w:ascii="Calibri" w:hAnsi="Calibri" w:cs="Calibri"/>
          <w:lang w:val="es-GT"/>
        </w:rPr>
      </w:pPr>
      <w:r w:rsidRPr="001A01AB">
        <w:rPr>
          <w:rFonts w:ascii="Calibri" w:hAnsi="Calibri" w:cs="Calibri"/>
          <w:lang w:val="es-GT"/>
        </w:rPr>
        <w:t xml:space="preserve">Existe una reducción sustancial del número total de fincas (43%) y del número de fincas multifamiliares en particular (39.6%) entre el 2001 y 2006, acompañada de un aumento </w:t>
      </w:r>
      <w:r w:rsidR="00CE32D3">
        <w:rPr>
          <w:rFonts w:ascii="Calibri" w:hAnsi="Calibri" w:cs="Calibri"/>
          <w:lang w:val="es-GT"/>
        </w:rPr>
        <w:t>en el</w:t>
      </w:r>
      <w:r w:rsidRPr="001A01AB">
        <w:rPr>
          <w:rFonts w:ascii="Calibri" w:hAnsi="Calibri" w:cs="Calibri"/>
          <w:lang w:val="es-GT"/>
        </w:rPr>
        <w:t xml:space="preserve"> número de fincas familiares (39.2%)</w:t>
      </w:r>
      <w:r w:rsidR="00CE32D3">
        <w:rPr>
          <w:rFonts w:ascii="Calibri" w:hAnsi="Calibri" w:cs="Calibri"/>
          <w:lang w:val="es-GT"/>
        </w:rPr>
        <w:t xml:space="preserve"> (IARNA-</w:t>
      </w:r>
      <w:r w:rsidRPr="001A01AB">
        <w:rPr>
          <w:rFonts w:ascii="Calibri" w:hAnsi="Calibri" w:cs="Calibri"/>
          <w:lang w:val="es-GT"/>
        </w:rPr>
        <w:t xml:space="preserve">URL e IIA, 2006). Esto muestra una modificación del estrato superior de la estructura agraria, mas no </w:t>
      </w:r>
      <w:r w:rsidR="0006749C">
        <w:rPr>
          <w:rFonts w:ascii="Calibri" w:hAnsi="Calibri" w:cs="Calibri"/>
          <w:lang w:val="es-GT"/>
        </w:rPr>
        <w:t>de su estrato inferior (Cuadro 5</w:t>
      </w:r>
      <w:r w:rsidRPr="001A01AB">
        <w:rPr>
          <w:rFonts w:ascii="Calibri" w:hAnsi="Calibri" w:cs="Calibri"/>
          <w:lang w:val="es-GT"/>
        </w:rPr>
        <w:t>).</w:t>
      </w:r>
    </w:p>
    <w:p w:rsidR="007F6462" w:rsidRDefault="007F6462" w:rsidP="007F6462">
      <w:pPr>
        <w:ind w:left="360"/>
        <w:jc w:val="both"/>
        <w:rPr>
          <w:rFonts w:ascii="Calibri" w:hAnsi="Calibri" w:cs="Calibri"/>
          <w:lang w:val="es-GT"/>
        </w:rPr>
      </w:pPr>
    </w:p>
    <w:p w:rsidR="00C470CE" w:rsidRDefault="00C470CE" w:rsidP="007F6462">
      <w:pPr>
        <w:ind w:left="360"/>
        <w:jc w:val="both"/>
        <w:rPr>
          <w:rFonts w:ascii="Calibri" w:hAnsi="Calibri" w:cs="Calibri"/>
          <w:lang w:val="es-GT"/>
        </w:rPr>
      </w:pPr>
    </w:p>
    <w:p w:rsidR="00C470CE" w:rsidRDefault="00C470CE" w:rsidP="007F6462">
      <w:pPr>
        <w:ind w:left="360"/>
        <w:jc w:val="both"/>
        <w:rPr>
          <w:rFonts w:ascii="Calibri" w:hAnsi="Calibri" w:cs="Calibri"/>
          <w:lang w:val="es-GT"/>
        </w:rPr>
      </w:pPr>
    </w:p>
    <w:p w:rsidR="00C470CE" w:rsidRPr="001A01AB" w:rsidRDefault="00C470CE" w:rsidP="007F6462">
      <w:pPr>
        <w:ind w:left="360"/>
        <w:jc w:val="both"/>
        <w:rPr>
          <w:rFonts w:ascii="Calibri" w:hAnsi="Calibri" w:cs="Calibri"/>
          <w:lang w:val="es-GT"/>
        </w:rPr>
      </w:pPr>
    </w:p>
    <w:p w:rsidR="00C54ACC" w:rsidRDefault="00C54ACC" w:rsidP="00C54ACC">
      <w:pPr>
        <w:pStyle w:val="Epgrafe"/>
        <w:jc w:val="center"/>
        <w:rPr>
          <w:rFonts w:asciiTheme="minorHAnsi" w:hAnsiTheme="minorHAnsi" w:cstheme="minorHAnsi"/>
          <w:color w:val="365F91" w:themeColor="accent1" w:themeShade="BF"/>
          <w:sz w:val="22"/>
          <w:szCs w:val="22"/>
          <w:lang w:val="es-GT"/>
        </w:rPr>
      </w:pPr>
      <w:bookmarkStart w:id="80" w:name="_Toc347841187"/>
      <w:r w:rsidRPr="00B16F0F">
        <w:rPr>
          <w:rFonts w:asciiTheme="minorHAnsi" w:hAnsiTheme="minorHAnsi" w:cstheme="minorHAnsi"/>
          <w:color w:val="365F91" w:themeColor="accent1" w:themeShade="BF"/>
          <w:sz w:val="22"/>
          <w:szCs w:val="22"/>
          <w:lang w:val="es-GT"/>
        </w:rPr>
        <w:lastRenderedPageBreak/>
        <w:t xml:space="preserve">Cuadro </w:t>
      </w:r>
      <w:r w:rsidRPr="00B16F0F">
        <w:rPr>
          <w:rFonts w:asciiTheme="minorHAnsi" w:hAnsiTheme="minorHAnsi" w:cstheme="minorHAnsi"/>
          <w:color w:val="365F91" w:themeColor="accent1" w:themeShade="BF"/>
          <w:sz w:val="22"/>
          <w:szCs w:val="22"/>
          <w:lang w:val="es-GT"/>
        </w:rPr>
        <w:fldChar w:fldCharType="begin"/>
      </w:r>
      <w:r w:rsidRPr="00B16F0F">
        <w:rPr>
          <w:rFonts w:asciiTheme="minorHAnsi" w:hAnsiTheme="minorHAnsi" w:cstheme="minorHAnsi"/>
          <w:color w:val="365F91" w:themeColor="accent1" w:themeShade="BF"/>
          <w:sz w:val="22"/>
          <w:szCs w:val="22"/>
          <w:lang w:val="es-GT"/>
        </w:rPr>
        <w:instrText xml:space="preserve"> SEQ Cuadro \* ARABIC </w:instrText>
      </w:r>
      <w:r w:rsidRPr="00B16F0F">
        <w:rPr>
          <w:rFonts w:asciiTheme="minorHAnsi" w:hAnsiTheme="minorHAnsi" w:cstheme="minorHAnsi"/>
          <w:color w:val="365F91" w:themeColor="accent1" w:themeShade="BF"/>
          <w:sz w:val="22"/>
          <w:szCs w:val="22"/>
          <w:lang w:val="es-GT"/>
        </w:rPr>
        <w:fldChar w:fldCharType="separate"/>
      </w:r>
      <w:r w:rsidRPr="00B16F0F">
        <w:rPr>
          <w:rFonts w:asciiTheme="minorHAnsi" w:hAnsiTheme="minorHAnsi" w:cstheme="minorHAnsi"/>
          <w:color w:val="365F91" w:themeColor="accent1" w:themeShade="BF"/>
          <w:sz w:val="22"/>
          <w:szCs w:val="22"/>
          <w:lang w:val="es-GT"/>
        </w:rPr>
        <w:t>5</w:t>
      </w:r>
      <w:r w:rsidRPr="00B16F0F">
        <w:rPr>
          <w:rFonts w:asciiTheme="minorHAnsi" w:hAnsiTheme="minorHAnsi" w:cstheme="minorHAnsi"/>
          <w:color w:val="365F91" w:themeColor="accent1" w:themeShade="BF"/>
          <w:sz w:val="22"/>
          <w:szCs w:val="22"/>
          <w:lang w:val="es-GT"/>
        </w:rPr>
        <w:fldChar w:fldCharType="end"/>
      </w:r>
      <w:r w:rsidRPr="00B16F0F">
        <w:rPr>
          <w:rFonts w:asciiTheme="minorHAnsi" w:hAnsiTheme="minorHAnsi" w:cstheme="minorHAnsi"/>
          <w:color w:val="365F91" w:themeColor="accent1" w:themeShade="BF"/>
          <w:sz w:val="22"/>
          <w:szCs w:val="22"/>
          <w:lang w:val="es-GT"/>
        </w:rPr>
        <w:t>. Cambios en la categoría de fincas (%). Periodo 2001-2006</w:t>
      </w:r>
      <w:bookmarkEnd w:id="80"/>
    </w:p>
    <w:p w:rsidR="00B16F0F" w:rsidRPr="00B16F0F" w:rsidRDefault="00B16F0F" w:rsidP="00B16F0F">
      <w:pPr>
        <w:rPr>
          <w:lang w:val="es-GT"/>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995"/>
        <w:gridCol w:w="1995"/>
        <w:gridCol w:w="1995"/>
        <w:gridCol w:w="1995"/>
      </w:tblGrid>
      <w:tr w:rsidR="00CE32D3" w:rsidRPr="00C54ACC" w:rsidTr="00CE32D3">
        <w:trPr>
          <w:jc w:val="center"/>
        </w:trPr>
        <w:tc>
          <w:tcPr>
            <w:tcW w:w="1995" w:type="dxa"/>
            <w:tcBorders>
              <w:bottom w:val="single" w:sz="4" w:space="0" w:color="auto"/>
            </w:tcBorders>
            <w:shd w:val="clear" w:color="auto" w:fill="365F91" w:themeFill="accent1" w:themeFillShade="BF"/>
          </w:tcPr>
          <w:p w:rsidR="007F6462" w:rsidRPr="00CE32D3" w:rsidRDefault="007F6462" w:rsidP="001A01AB">
            <w:pPr>
              <w:spacing w:before="20" w:after="20"/>
              <w:jc w:val="center"/>
              <w:rPr>
                <w:rFonts w:ascii="Calibri" w:hAnsi="Calibri" w:cs="Calibri"/>
                <w:b/>
                <w:color w:val="FFFFFF" w:themeColor="background1"/>
                <w:sz w:val="22"/>
                <w:szCs w:val="22"/>
                <w:lang w:val="es-GT"/>
              </w:rPr>
            </w:pPr>
            <w:r w:rsidRPr="00CE32D3">
              <w:rPr>
                <w:rFonts w:ascii="Calibri" w:hAnsi="Calibri" w:cs="Calibri"/>
                <w:b/>
                <w:color w:val="FFFFFF" w:themeColor="background1"/>
                <w:sz w:val="22"/>
                <w:szCs w:val="22"/>
                <w:lang w:val="es-GT"/>
              </w:rPr>
              <w:t>Tipo de finca</w:t>
            </w:r>
          </w:p>
        </w:tc>
        <w:tc>
          <w:tcPr>
            <w:tcW w:w="1995" w:type="dxa"/>
            <w:tcBorders>
              <w:bottom w:val="single" w:sz="4" w:space="0" w:color="auto"/>
            </w:tcBorders>
            <w:shd w:val="clear" w:color="auto" w:fill="365F91" w:themeFill="accent1" w:themeFillShade="BF"/>
          </w:tcPr>
          <w:p w:rsidR="007F6462" w:rsidRPr="00CE32D3" w:rsidRDefault="007F6462" w:rsidP="001A01AB">
            <w:pPr>
              <w:spacing w:before="20" w:after="20"/>
              <w:jc w:val="center"/>
              <w:rPr>
                <w:rFonts w:ascii="Calibri" w:hAnsi="Calibri" w:cs="Calibri"/>
                <w:b/>
                <w:color w:val="FFFFFF" w:themeColor="background1"/>
                <w:sz w:val="22"/>
                <w:szCs w:val="22"/>
                <w:lang w:val="es-GT"/>
              </w:rPr>
            </w:pPr>
            <w:r w:rsidRPr="00CE32D3">
              <w:rPr>
                <w:rFonts w:ascii="Calibri" w:hAnsi="Calibri" w:cs="Calibri"/>
                <w:b/>
                <w:color w:val="FFFFFF" w:themeColor="background1"/>
                <w:sz w:val="22"/>
                <w:szCs w:val="22"/>
                <w:lang w:val="es-GT"/>
              </w:rPr>
              <w:t>2001 (%)</w:t>
            </w:r>
          </w:p>
        </w:tc>
        <w:tc>
          <w:tcPr>
            <w:tcW w:w="1995" w:type="dxa"/>
            <w:tcBorders>
              <w:bottom w:val="single" w:sz="4" w:space="0" w:color="auto"/>
            </w:tcBorders>
            <w:shd w:val="clear" w:color="auto" w:fill="365F91" w:themeFill="accent1" w:themeFillShade="BF"/>
          </w:tcPr>
          <w:p w:rsidR="007F6462" w:rsidRPr="00CE32D3" w:rsidRDefault="007F6462" w:rsidP="001A01AB">
            <w:pPr>
              <w:spacing w:before="20" w:after="20"/>
              <w:jc w:val="center"/>
              <w:rPr>
                <w:rFonts w:ascii="Calibri" w:hAnsi="Calibri" w:cs="Calibri"/>
                <w:b/>
                <w:color w:val="FFFFFF" w:themeColor="background1"/>
                <w:sz w:val="22"/>
                <w:szCs w:val="22"/>
                <w:lang w:val="es-GT"/>
              </w:rPr>
            </w:pPr>
            <w:r w:rsidRPr="00CE32D3">
              <w:rPr>
                <w:rFonts w:ascii="Calibri" w:hAnsi="Calibri" w:cs="Calibri"/>
                <w:b/>
                <w:color w:val="FFFFFF" w:themeColor="background1"/>
                <w:sz w:val="22"/>
                <w:szCs w:val="22"/>
                <w:lang w:val="es-GT"/>
              </w:rPr>
              <w:t>2006 (%)</w:t>
            </w:r>
          </w:p>
        </w:tc>
        <w:tc>
          <w:tcPr>
            <w:tcW w:w="1995" w:type="dxa"/>
            <w:tcBorders>
              <w:bottom w:val="single" w:sz="4" w:space="0" w:color="auto"/>
            </w:tcBorders>
            <w:shd w:val="clear" w:color="auto" w:fill="365F91" w:themeFill="accent1" w:themeFillShade="BF"/>
          </w:tcPr>
          <w:p w:rsidR="007F6462" w:rsidRPr="00CE32D3" w:rsidRDefault="007F6462" w:rsidP="001A01AB">
            <w:pPr>
              <w:spacing w:before="20" w:after="20"/>
              <w:jc w:val="center"/>
              <w:rPr>
                <w:rFonts w:ascii="Calibri" w:hAnsi="Calibri" w:cs="Calibri"/>
                <w:b/>
                <w:color w:val="FFFFFF" w:themeColor="background1"/>
                <w:sz w:val="22"/>
                <w:szCs w:val="22"/>
                <w:lang w:val="es-GT"/>
              </w:rPr>
            </w:pPr>
            <w:r w:rsidRPr="00CE32D3">
              <w:rPr>
                <w:rFonts w:ascii="Calibri" w:hAnsi="Calibri" w:cs="Calibri"/>
                <w:b/>
                <w:color w:val="FFFFFF" w:themeColor="background1"/>
                <w:sz w:val="22"/>
                <w:szCs w:val="22"/>
                <w:lang w:val="es-GT"/>
              </w:rPr>
              <w:t>Cambio porcentual</w:t>
            </w:r>
          </w:p>
        </w:tc>
      </w:tr>
      <w:tr w:rsidR="007F6462" w:rsidRPr="00C54ACC" w:rsidTr="001A01AB">
        <w:trPr>
          <w:jc w:val="center"/>
        </w:trPr>
        <w:tc>
          <w:tcPr>
            <w:tcW w:w="1995" w:type="dxa"/>
            <w:tcBorders>
              <w:bottom w:val="nil"/>
            </w:tcBorders>
            <w:shd w:val="clear" w:color="auto" w:fill="auto"/>
          </w:tcPr>
          <w:p w:rsidR="007F6462" w:rsidRPr="001A01AB" w:rsidRDefault="007C3972" w:rsidP="001A01AB">
            <w:pPr>
              <w:spacing w:before="20" w:after="20"/>
              <w:ind w:left="182"/>
              <w:rPr>
                <w:rFonts w:ascii="Calibri" w:hAnsi="Calibri" w:cs="Calibri"/>
                <w:sz w:val="22"/>
                <w:szCs w:val="22"/>
                <w:lang w:val="es-GT"/>
              </w:rPr>
            </w:pPr>
            <w:r w:rsidRPr="001A01AB">
              <w:rPr>
                <w:rFonts w:ascii="Calibri" w:hAnsi="Calibri" w:cs="Calibri"/>
                <w:sz w:val="22"/>
                <w:szCs w:val="22"/>
                <w:lang w:val="es-GT"/>
              </w:rPr>
              <w:t>Micro fincas</w:t>
            </w:r>
          </w:p>
        </w:tc>
        <w:tc>
          <w:tcPr>
            <w:tcW w:w="1995" w:type="dxa"/>
            <w:tcBorders>
              <w:bottom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3.6</w:t>
            </w:r>
          </w:p>
        </w:tc>
        <w:tc>
          <w:tcPr>
            <w:tcW w:w="1995" w:type="dxa"/>
            <w:tcBorders>
              <w:bottom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2.9</w:t>
            </w:r>
          </w:p>
        </w:tc>
        <w:tc>
          <w:tcPr>
            <w:tcW w:w="1995" w:type="dxa"/>
            <w:tcBorders>
              <w:bottom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-0.7</w:t>
            </w:r>
          </w:p>
        </w:tc>
      </w:tr>
      <w:tr w:rsidR="007F6462" w:rsidRPr="00C54ACC" w:rsidTr="001A01AB">
        <w:trPr>
          <w:trHeight w:val="216"/>
          <w:jc w:val="center"/>
        </w:trPr>
        <w:tc>
          <w:tcPr>
            <w:tcW w:w="1995" w:type="dxa"/>
            <w:tcBorders>
              <w:top w:val="nil"/>
              <w:bottom w:val="nil"/>
            </w:tcBorders>
            <w:shd w:val="clear" w:color="auto" w:fill="auto"/>
          </w:tcPr>
          <w:p w:rsidR="007F6462" w:rsidRPr="001A01AB" w:rsidRDefault="007F6462" w:rsidP="001A01AB">
            <w:pPr>
              <w:spacing w:before="20" w:after="20"/>
              <w:ind w:left="182"/>
              <w:rPr>
                <w:rFonts w:ascii="Calibri" w:hAnsi="Calibri" w:cs="Calibri"/>
                <w:sz w:val="22"/>
                <w:szCs w:val="22"/>
                <w:lang w:val="es-GT"/>
              </w:rPr>
            </w:pPr>
            <w:r w:rsidRPr="001A01AB">
              <w:rPr>
                <w:rFonts w:ascii="Calibri" w:hAnsi="Calibri" w:cs="Calibri"/>
                <w:sz w:val="22"/>
                <w:szCs w:val="22"/>
                <w:lang w:val="es-GT"/>
              </w:rPr>
              <w:t>Subfamiliares</w:t>
            </w:r>
          </w:p>
        </w:tc>
        <w:tc>
          <w:tcPr>
            <w:tcW w:w="1995" w:type="dxa"/>
            <w:tcBorders>
              <w:top w:val="nil"/>
              <w:bottom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15.0</w:t>
            </w:r>
          </w:p>
        </w:tc>
        <w:tc>
          <w:tcPr>
            <w:tcW w:w="1995" w:type="dxa"/>
            <w:tcBorders>
              <w:top w:val="nil"/>
              <w:bottom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16.1</w:t>
            </w:r>
          </w:p>
        </w:tc>
        <w:tc>
          <w:tcPr>
            <w:tcW w:w="1995" w:type="dxa"/>
            <w:tcBorders>
              <w:top w:val="nil"/>
              <w:bottom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1.1</w:t>
            </w:r>
          </w:p>
        </w:tc>
      </w:tr>
      <w:tr w:rsidR="007F6462" w:rsidRPr="00C870E7" w:rsidTr="001A01AB">
        <w:trPr>
          <w:trHeight w:val="81"/>
          <w:jc w:val="center"/>
        </w:trPr>
        <w:tc>
          <w:tcPr>
            <w:tcW w:w="1995" w:type="dxa"/>
            <w:tcBorders>
              <w:top w:val="nil"/>
              <w:bottom w:val="nil"/>
            </w:tcBorders>
            <w:shd w:val="clear" w:color="auto" w:fill="auto"/>
          </w:tcPr>
          <w:p w:rsidR="007F6462" w:rsidRPr="001A01AB" w:rsidRDefault="007F6462" w:rsidP="001A01AB">
            <w:pPr>
              <w:spacing w:before="20" w:after="20"/>
              <w:ind w:left="182"/>
              <w:rPr>
                <w:rFonts w:ascii="Calibri" w:hAnsi="Calibri" w:cs="Calibri"/>
                <w:sz w:val="22"/>
                <w:szCs w:val="22"/>
                <w:lang w:val="es-GT"/>
              </w:rPr>
            </w:pPr>
            <w:r w:rsidRPr="001A01AB">
              <w:rPr>
                <w:rFonts w:ascii="Calibri" w:hAnsi="Calibri" w:cs="Calibri"/>
                <w:sz w:val="22"/>
                <w:szCs w:val="22"/>
                <w:lang w:val="es-GT"/>
              </w:rPr>
              <w:t>Familiares</w:t>
            </w:r>
          </w:p>
        </w:tc>
        <w:tc>
          <w:tcPr>
            <w:tcW w:w="1995" w:type="dxa"/>
            <w:tcBorders>
              <w:top w:val="nil"/>
              <w:bottom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18.9</w:t>
            </w:r>
          </w:p>
        </w:tc>
        <w:tc>
          <w:tcPr>
            <w:tcW w:w="1995" w:type="dxa"/>
            <w:tcBorders>
              <w:top w:val="nil"/>
              <w:bottom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58.1</w:t>
            </w:r>
          </w:p>
        </w:tc>
        <w:tc>
          <w:tcPr>
            <w:tcW w:w="1995" w:type="dxa"/>
            <w:tcBorders>
              <w:top w:val="nil"/>
              <w:bottom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39.2</w:t>
            </w:r>
          </w:p>
        </w:tc>
      </w:tr>
      <w:tr w:rsidR="007F6462" w:rsidRPr="00C870E7" w:rsidTr="001A01AB">
        <w:trPr>
          <w:trHeight w:val="216"/>
          <w:jc w:val="center"/>
        </w:trPr>
        <w:tc>
          <w:tcPr>
            <w:tcW w:w="1995" w:type="dxa"/>
            <w:tcBorders>
              <w:top w:val="nil"/>
            </w:tcBorders>
            <w:shd w:val="clear" w:color="auto" w:fill="auto"/>
          </w:tcPr>
          <w:p w:rsidR="007F6462" w:rsidRPr="001A01AB" w:rsidRDefault="007F6462" w:rsidP="001A01AB">
            <w:pPr>
              <w:spacing w:before="20" w:after="20"/>
              <w:ind w:left="182"/>
              <w:rPr>
                <w:rFonts w:ascii="Calibri" w:hAnsi="Calibri" w:cs="Calibri"/>
                <w:sz w:val="22"/>
                <w:szCs w:val="22"/>
                <w:lang w:val="es-GT"/>
              </w:rPr>
            </w:pPr>
            <w:r w:rsidRPr="001A01AB">
              <w:rPr>
                <w:rFonts w:ascii="Calibri" w:hAnsi="Calibri" w:cs="Calibri"/>
                <w:sz w:val="22"/>
                <w:szCs w:val="22"/>
                <w:lang w:val="es-GT"/>
              </w:rPr>
              <w:t>Multifamiliares</w:t>
            </w:r>
          </w:p>
        </w:tc>
        <w:tc>
          <w:tcPr>
            <w:tcW w:w="1995" w:type="dxa"/>
            <w:tcBorders>
              <w:top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62.5</w:t>
            </w:r>
          </w:p>
        </w:tc>
        <w:tc>
          <w:tcPr>
            <w:tcW w:w="1995" w:type="dxa"/>
            <w:tcBorders>
              <w:top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22.9</w:t>
            </w:r>
          </w:p>
        </w:tc>
        <w:tc>
          <w:tcPr>
            <w:tcW w:w="1995" w:type="dxa"/>
            <w:tcBorders>
              <w:top w:val="nil"/>
            </w:tcBorders>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-39.6</w:t>
            </w:r>
          </w:p>
        </w:tc>
      </w:tr>
      <w:tr w:rsidR="007F6462" w:rsidRPr="00C870E7" w:rsidTr="001A01AB">
        <w:trPr>
          <w:jc w:val="center"/>
        </w:trPr>
        <w:tc>
          <w:tcPr>
            <w:tcW w:w="1995" w:type="dxa"/>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Número de fincas</w:t>
            </w:r>
          </w:p>
        </w:tc>
        <w:tc>
          <w:tcPr>
            <w:tcW w:w="1995" w:type="dxa"/>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1,063,000</w:t>
            </w:r>
          </w:p>
        </w:tc>
        <w:tc>
          <w:tcPr>
            <w:tcW w:w="1995" w:type="dxa"/>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610,691</w:t>
            </w:r>
          </w:p>
        </w:tc>
        <w:tc>
          <w:tcPr>
            <w:tcW w:w="1995" w:type="dxa"/>
            <w:shd w:val="clear" w:color="auto" w:fill="auto"/>
          </w:tcPr>
          <w:p w:rsidR="007F6462" w:rsidRPr="001A01AB" w:rsidRDefault="007F6462" w:rsidP="001A01AB">
            <w:pPr>
              <w:spacing w:before="20" w:after="20"/>
              <w:jc w:val="center"/>
              <w:rPr>
                <w:rFonts w:ascii="Calibri" w:hAnsi="Calibri" w:cs="Calibri"/>
                <w:sz w:val="22"/>
                <w:szCs w:val="22"/>
                <w:lang w:val="es-GT"/>
              </w:rPr>
            </w:pPr>
            <w:r w:rsidRPr="001A01AB">
              <w:rPr>
                <w:rFonts w:ascii="Calibri" w:hAnsi="Calibri" w:cs="Calibri"/>
                <w:sz w:val="22"/>
                <w:szCs w:val="22"/>
                <w:lang w:val="es-GT"/>
              </w:rPr>
              <w:t>-43</w:t>
            </w:r>
          </w:p>
        </w:tc>
      </w:tr>
    </w:tbl>
    <w:p w:rsidR="007F6462" w:rsidRPr="001A01AB" w:rsidRDefault="007F6462" w:rsidP="007F6462">
      <w:pPr>
        <w:spacing w:after="120"/>
        <w:ind w:right="918"/>
        <w:jc w:val="right"/>
        <w:rPr>
          <w:rFonts w:ascii="Calibri" w:hAnsi="Calibri" w:cs="Calibri"/>
          <w:sz w:val="20"/>
          <w:szCs w:val="20"/>
          <w:lang w:val="es-GT"/>
        </w:rPr>
      </w:pPr>
      <w:r w:rsidRPr="001A01AB">
        <w:rPr>
          <w:rFonts w:ascii="Calibri" w:hAnsi="Calibri" w:cs="Calibri"/>
          <w:noProof/>
          <w:sz w:val="20"/>
          <w:szCs w:val="20"/>
          <w:lang w:val="es-GT" w:eastAsia="es-GT"/>
        </w:rPr>
        <w:t xml:space="preserve">Fuente: </w:t>
      </w:r>
      <w:r w:rsidR="00CE32D3">
        <w:rPr>
          <w:rFonts w:ascii="Calibri" w:hAnsi="Calibri" w:cs="Calibri"/>
          <w:noProof/>
          <w:sz w:val="20"/>
          <w:szCs w:val="20"/>
          <w:lang w:val="es-GT" w:eastAsia="es-GT"/>
        </w:rPr>
        <w:t>MARN, IARNA-URL y PNUMA (2009)</w:t>
      </w:r>
      <w:r w:rsidRPr="001A01AB">
        <w:rPr>
          <w:rFonts w:ascii="Calibri" w:hAnsi="Calibri" w:cs="Calibri"/>
          <w:noProof/>
          <w:sz w:val="20"/>
          <w:szCs w:val="20"/>
          <w:lang w:val="es-GT" w:eastAsia="es-GT"/>
        </w:rPr>
        <w:t>,</w:t>
      </w:r>
      <w:r w:rsidRPr="001A01AB">
        <w:rPr>
          <w:rFonts w:ascii="Calibri" w:hAnsi="Calibri" w:cs="Calibri"/>
          <w:sz w:val="14"/>
          <w:szCs w:val="14"/>
          <w:lang w:val="es-GT" w:eastAsia="es-GT"/>
        </w:rPr>
        <w:t xml:space="preserve"> </w:t>
      </w:r>
      <w:r w:rsidR="00CE32D3">
        <w:rPr>
          <w:rFonts w:ascii="Calibri" w:hAnsi="Calibri" w:cs="Calibri"/>
          <w:sz w:val="20"/>
          <w:szCs w:val="20"/>
          <w:lang w:val="es-GT" w:eastAsia="es-GT"/>
        </w:rPr>
        <w:t>modificado de IARNA-URL e IIA (</w:t>
      </w:r>
      <w:r w:rsidRPr="001A01AB">
        <w:rPr>
          <w:rFonts w:ascii="Calibri" w:hAnsi="Calibri" w:cs="Calibri"/>
          <w:sz w:val="20"/>
          <w:szCs w:val="20"/>
          <w:lang w:val="es-GT" w:eastAsia="es-GT"/>
        </w:rPr>
        <w:t>2006</w:t>
      </w:r>
      <w:r w:rsidR="00CE32D3">
        <w:rPr>
          <w:rFonts w:ascii="Calibri" w:hAnsi="Calibri" w:cs="Calibri"/>
          <w:sz w:val="20"/>
          <w:szCs w:val="20"/>
          <w:lang w:val="es-GT" w:eastAsia="es-GT"/>
        </w:rPr>
        <w:t>).</w:t>
      </w:r>
    </w:p>
    <w:p w:rsidR="007F6462" w:rsidRPr="001A01AB" w:rsidRDefault="007F6462" w:rsidP="007F6462">
      <w:pPr>
        <w:spacing w:after="120"/>
        <w:jc w:val="both"/>
        <w:rPr>
          <w:rFonts w:ascii="Calibri" w:hAnsi="Calibri" w:cs="Calibri"/>
          <w:lang w:val="es-GT"/>
        </w:rPr>
      </w:pPr>
      <w:r w:rsidRPr="001A01AB">
        <w:rPr>
          <w:rFonts w:ascii="Calibri" w:hAnsi="Calibri" w:cs="Calibri"/>
          <w:lang w:val="es-GT"/>
        </w:rPr>
        <w:t>La distribución geográfica de las fincas familiares y subfamiliares en 2003, categorías que concentran a la mayoría de productores de infrasubsistencia y subsistencia</w:t>
      </w:r>
      <w:r w:rsidR="00024CE6">
        <w:rPr>
          <w:rFonts w:ascii="Calibri" w:hAnsi="Calibri" w:cs="Calibri"/>
          <w:lang w:val="es-GT"/>
        </w:rPr>
        <w:t xml:space="preserve"> </w:t>
      </w:r>
      <w:r w:rsidR="00CE32D3">
        <w:rPr>
          <w:rFonts w:ascii="Calibri" w:hAnsi="Calibri" w:cs="Calibri"/>
          <w:lang w:val="es-GT"/>
        </w:rPr>
        <w:t xml:space="preserve">se muestra en la </w:t>
      </w:r>
      <w:r w:rsidR="006B1FFA" w:rsidRPr="001A01AB">
        <w:rPr>
          <w:rFonts w:ascii="Calibri" w:hAnsi="Calibri" w:cs="Calibri"/>
          <w:lang w:val="es-GT"/>
        </w:rPr>
        <w:t>F</w:t>
      </w:r>
      <w:r w:rsidRPr="001A01AB">
        <w:rPr>
          <w:rFonts w:ascii="Calibri" w:hAnsi="Calibri" w:cs="Calibri"/>
          <w:lang w:val="es-GT"/>
        </w:rPr>
        <w:t>igura</w:t>
      </w:r>
      <w:r w:rsidR="006B1FFA" w:rsidRPr="001A01AB">
        <w:rPr>
          <w:rFonts w:ascii="Calibri" w:hAnsi="Calibri" w:cs="Calibri"/>
          <w:lang w:val="es-GT"/>
        </w:rPr>
        <w:t xml:space="preserve"> 1</w:t>
      </w:r>
      <w:r w:rsidR="000C27D7">
        <w:rPr>
          <w:rFonts w:ascii="Calibri" w:hAnsi="Calibri" w:cs="Calibri"/>
          <w:lang w:val="es-GT"/>
        </w:rPr>
        <w:t>9</w:t>
      </w:r>
      <w:r w:rsidR="006B1FFA" w:rsidRPr="001A01AB">
        <w:rPr>
          <w:rFonts w:ascii="Calibri" w:hAnsi="Calibri" w:cs="Calibri"/>
          <w:lang w:val="es-GT"/>
        </w:rPr>
        <w:t>.</w:t>
      </w:r>
      <w:r w:rsidRPr="001A01AB">
        <w:rPr>
          <w:rFonts w:ascii="Calibri" w:hAnsi="Calibri" w:cs="Calibri"/>
          <w:lang w:val="es-GT"/>
        </w:rPr>
        <w:t xml:space="preserve"> </w:t>
      </w:r>
    </w:p>
    <w:p w:rsidR="007F6462" w:rsidRPr="00224B57" w:rsidRDefault="007F6462" w:rsidP="00224B57">
      <w:pPr>
        <w:spacing w:after="120"/>
        <w:jc w:val="center"/>
        <w:rPr>
          <w:rFonts w:ascii="Calibri" w:eastAsia="Calibri" w:hAnsi="Calibri" w:cs="Calibri"/>
          <w:b/>
          <w:color w:val="365F91"/>
          <w:sz w:val="22"/>
          <w:szCs w:val="22"/>
          <w:lang w:val="es-GT"/>
        </w:rPr>
      </w:pPr>
      <w:bookmarkStart w:id="81" w:name="_Toc347841242"/>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19</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Distribución geográfica de las fincas familiares y subfamiliares, 2003</w:t>
      </w:r>
      <w:bookmarkEnd w:id="81"/>
    </w:p>
    <w:p w:rsidR="007F6462" w:rsidRPr="001A01AB" w:rsidRDefault="00544A9F" w:rsidP="007F6462">
      <w:pPr>
        <w:jc w:val="center"/>
        <w:rPr>
          <w:rFonts w:ascii="Calibri" w:hAnsi="Calibri" w:cs="Calibri"/>
          <w:lang w:val="es-GT"/>
        </w:rPr>
      </w:pPr>
      <w:r>
        <w:rPr>
          <w:rFonts w:ascii="Calibri" w:hAnsi="Calibri" w:cs="Calibri"/>
          <w:noProof/>
          <w:lang w:val="es-GT" w:eastAsia="es-GT"/>
        </w:rPr>
        <w:drawing>
          <wp:inline distT="0" distB="0" distL="0" distR="0" wp14:anchorId="1C2F1F85" wp14:editId="56D8ED08">
            <wp:extent cx="4149446" cy="5353050"/>
            <wp:effectExtent l="0" t="0" r="3810" b="0"/>
            <wp:docPr id="2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59850" cy="5366472"/>
                    </a:xfrm>
                    <a:prstGeom prst="rect">
                      <a:avLst/>
                    </a:prstGeom>
                    <a:noFill/>
                    <a:ln>
                      <a:noFill/>
                    </a:ln>
                  </pic:spPr>
                </pic:pic>
              </a:graphicData>
            </a:graphic>
          </wp:inline>
        </w:drawing>
      </w:r>
    </w:p>
    <w:p w:rsidR="00AD02F2" w:rsidRPr="00AD02F2" w:rsidRDefault="007F6462" w:rsidP="00AD02F2">
      <w:pPr>
        <w:autoSpaceDE w:val="0"/>
        <w:autoSpaceDN w:val="0"/>
        <w:adjustRightInd w:val="0"/>
        <w:spacing w:after="120"/>
        <w:ind w:left="360" w:right="1008"/>
        <w:jc w:val="right"/>
        <w:rPr>
          <w:rFonts w:ascii="Calibri" w:hAnsi="Calibri" w:cs="Calibri"/>
          <w:lang w:val="es-GT"/>
        </w:rPr>
      </w:pPr>
      <w:r w:rsidRPr="001A01AB">
        <w:rPr>
          <w:rFonts w:ascii="Calibri" w:hAnsi="Calibri" w:cs="Calibri"/>
          <w:noProof/>
          <w:sz w:val="20"/>
          <w:szCs w:val="20"/>
          <w:lang w:val="es-GT" w:eastAsia="es-GT"/>
        </w:rPr>
        <w:t xml:space="preserve">Fuente: </w:t>
      </w:r>
      <w:r w:rsidR="00CE32D3">
        <w:rPr>
          <w:rFonts w:ascii="Calibri" w:hAnsi="Calibri" w:cs="Calibri"/>
          <w:noProof/>
          <w:sz w:val="20"/>
          <w:szCs w:val="20"/>
          <w:lang w:val="es-GT" w:eastAsia="es-GT"/>
        </w:rPr>
        <w:t>MARN, IARNA-URL y PNUMA (2009)</w:t>
      </w:r>
      <w:r w:rsidRPr="001A01AB">
        <w:rPr>
          <w:rFonts w:ascii="Calibri" w:hAnsi="Calibri" w:cs="Calibri"/>
          <w:sz w:val="20"/>
          <w:lang w:val="es-GT"/>
        </w:rPr>
        <w:t>.</w:t>
      </w:r>
    </w:p>
    <w:p w:rsidR="006A0601" w:rsidRPr="001A01AB" w:rsidRDefault="00220D4B" w:rsidP="00B45CCC">
      <w:pPr>
        <w:pStyle w:val="Prrafodelista"/>
        <w:numPr>
          <w:ilvl w:val="2"/>
          <w:numId w:val="51"/>
        </w:numPr>
        <w:spacing w:after="120"/>
        <w:jc w:val="both"/>
        <w:rPr>
          <w:rFonts w:cs="Calibri"/>
          <w:b/>
          <w:i/>
          <w:color w:val="365F91"/>
          <w:sz w:val="24"/>
          <w:szCs w:val="24"/>
        </w:rPr>
      </w:pPr>
      <w:bookmarkStart w:id="82" w:name="_Toc336951319"/>
      <w:r w:rsidRPr="001A01AB">
        <w:rPr>
          <w:rFonts w:cs="Calibri"/>
          <w:b/>
          <w:i/>
          <w:color w:val="365F91"/>
          <w:sz w:val="24"/>
          <w:szCs w:val="24"/>
        </w:rPr>
        <w:lastRenderedPageBreak/>
        <w:t>Sub-s</w:t>
      </w:r>
      <w:r w:rsidR="006A0601" w:rsidRPr="001A01AB">
        <w:rPr>
          <w:rFonts w:cs="Calibri"/>
          <w:b/>
          <w:i/>
          <w:color w:val="365F91"/>
          <w:sz w:val="24"/>
          <w:szCs w:val="24"/>
        </w:rPr>
        <w:t xml:space="preserve">istema </w:t>
      </w:r>
      <w:r w:rsidR="00CE32D3">
        <w:rPr>
          <w:rFonts w:cs="Calibri"/>
          <w:b/>
          <w:i/>
          <w:color w:val="365F91"/>
          <w:sz w:val="24"/>
          <w:szCs w:val="24"/>
        </w:rPr>
        <w:t>e</w:t>
      </w:r>
      <w:r w:rsidR="006A0601" w:rsidRPr="001A01AB">
        <w:rPr>
          <w:rFonts w:cs="Calibri"/>
          <w:b/>
          <w:i/>
          <w:color w:val="365F91"/>
          <w:sz w:val="24"/>
          <w:szCs w:val="24"/>
        </w:rPr>
        <w:t>conómico</w:t>
      </w:r>
      <w:bookmarkEnd w:id="82"/>
      <w:r w:rsidR="006A0601" w:rsidRPr="001A01AB">
        <w:rPr>
          <w:rFonts w:cs="Calibri"/>
          <w:b/>
          <w:i/>
          <w:color w:val="365F91"/>
          <w:sz w:val="24"/>
          <w:szCs w:val="24"/>
        </w:rPr>
        <w:t xml:space="preserve"> </w:t>
      </w:r>
    </w:p>
    <w:p w:rsidR="006A0601" w:rsidRPr="001A01AB" w:rsidRDefault="006A0601" w:rsidP="006A0601">
      <w:pPr>
        <w:ind w:left="360"/>
        <w:jc w:val="both"/>
        <w:rPr>
          <w:rFonts w:ascii="Calibri" w:hAnsi="Calibri" w:cs="Calibri"/>
          <w:lang w:val="es-GT"/>
        </w:rPr>
      </w:pPr>
    </w:p>
    <w:p w:rsidR="00330D52" w:rsidRDefault="00253B15" w:rsidP="00330D52">
      <w:pPr>
        <w:pStyle w:val="Default"/>
        <w:ind w:left="360"/>
        <w:jc w:val="both"/>
        <w:rPr>
          <w:rFonts w:ascii="Calibri" w:hAnsi="Calibri" w:cs="Calibri"/>
          <w:color w:val="auto"/>
          <w:lang w:val="es-GT"/>
        </w:rPr>
      </w:pPr>
      <w:r w:rsidRPr="00330D52">
        <w:rPr>
          <w:rFonts w:ascii="Calibri" w:hAnsi="Calibri" w:cs="Calibri"/>
          <w:color w:val="auto"/>
          <w:lang w:val="es-GT"/>
        </w:rPr>
        <w:t>El subsistema económico incluye la producción y el consumo de bienes y servicios, el estado general de la economía y la infraestructura (</w:t>
      </w:r>
      <w:r w:rsidR="00D91852">
        <w:rPr>
          <w:rFonts w:ascii="Calibri" w:hAnsi="Calibri" w:cs="Calibri"/>
          <w:color w:val="auto"/>
          <w:lang w:val="es-GT"/>
        </w:rPr>
        <w:t>IARNA-</w:t>
      </w:r>
      <w:r w:rsidRPr="00330D52">
        <w:rPr>
          <w:rFonts w:ascii="Calibri" w:hAnsi="Calibri" w:cs="Calibri"/>
          <w:color w:val="auto"/>
          <w:lang w:val="es-GT"/>
        </w:rPr>
        <w:t>URL, 2009).</w:t>
      </w:r>
      <w:r w:rsidR="00F66ECE">
        <w:rPr>
          <w:rFonts w:ascii="Calibri" w:hAnsi="Calibri" w:cs="Calibri"/>
          <w:color w:val="auto"/>
          <w:lang w:val="es-GT"/>
        </w:rPr>
        <w:t xml:space="preserve"> </w:t>
      </w:r>
      <w:r w:rsidR="00F66ECE" w:rsidRPr="00BC44FA">
        <w:rPr>
          <w:rFonts w:ascii="Calibri" w:hAnsi="Calibri" w:cs="Calibri"/>
          <w:color w:val="auto"/>
          <w:lang w:val="es-GT"/>
        </w:rPr>
        <w:t xml:space="preserve">Este se puede </w:t>
      </w:r>
      <w:r w:rsidR="00F66ECE" w:rsidRPr="00BC44FA">
        <w:rPr>
          <w:rFonts w:ascii="Calibri" w:eastAsia="Calibri" w:hAnsi="Calibri" w:cs="Arial"/>
          <w:color w:val="auto"/>
          <w:lang w:val="es-GT"/>
        </w:rPr>
        <w:t xml:space="preserve">evaluar por medio de </w:t>
      </w:r>
      <w:r w:rsidR="001E0F49" w:rsidRPr="00BC44FA">
        <w:rPr>
          <w:rFonts w:ascii="Calibri" w:eastAsia="Calibri" w:hAnsi="Calibri" w:cs="Arial"/>
          <w:color w:val="auto"/>
          <w:lang w:val="es-GT"/>
        </w:rPr>
        <w:t>cinco</w:t>
      </w:r>
      <w:r w:rsidR="00F66ECE" w:rsidRPr="00BC44FA">
        <w:rPr>
          <w:rFonts w:ascii="Calibri" w:hAnsi="Calibri" w:cs="Arial"/>
          <w:color w:val="auto"/>
          <w:lang w:val="es-GT"/>
        </w:rPr>
        <w:t xml:space="preserve"> indicadores, </w:t>
      </w:r>
      <w:r w:rsidR="001E0F49" w:rsidRPr="00BC44FA">
        <w:rPr>
          <w:rFonts w:ascii="Calibri" w:hAnsi="Calibri" w:cs="Arial"/>
          <w:color w:val="auto"/>
          <w:lang w:val="es-GT"/>
        </w:rPr>
        <w:t>tres de desarrollo</w:t>
      </w:r>
      <w:r w:rsidR="00F66ECE" w:rsidRPr="00BC44FA">
        <w:rPr>
          <w:rFonts w:ascii="Calibri" w:hAnsi="Calibri" w:cs="Arial"/>
          <w:color w:val="auto"/>
          <w:lang w:val="es-GT"/>
        </w:rPr>
        <w:t xml:space="preserve"> y dos de sostenibilidad</w:t>
      </w:r>
      <w:r w:rsidR="001E0F49" w:rsidRPr="00BC44FA">
        <w:rPr>
          <w:rFonts w:ascii="Calibri" w:hAnsi="Calibri" w:cs="Arial"/>
          <w:color w:val="auto"/>
          <w:lang w:val="es-GT"/>
        </w:rPr>
        <w:t xml:space="preserve">, </w:t>
      </w:r>
      <w:r w:rsidR="0006749C">
        <w:rPr>
          <w:rFonts w:ascii="Calibri" w:hAnsi="Calibri" w:cs="Arial"/>
          <w:color w:val="auto"/>
          <w:lang w:val="es-GT"/>
        </w:rPr>
        <w:t>tal como se indica en el Cuadro 6.</w:t>
      </w:r>
    </w:p>
    <w:p w:rsidR="00C54ACC" w:rsidRDefault="00C54ACC" w:rsidP="00C54ACC">
      <w:pPr>
        <w:pStyle w:val="Epgrafe"/>
        <w:jc w:val="center"/>
        <w:rPr>
          <w:rFonts w:asciiTheme="minorHAnsi" w:hAnsiTheme="minorHAnsi" w:cstheme="minorHAnsi"/>
          <w:color w:val="365F91" w:themeColor="accent1" w:themeShade="BF"/>
          <w:sz w:val="22"/>
          <w:szCs w:val="22"/>
          <w:lang w:val="es-GT"/>
        </w:rPr>
      </w:pPr>
      <w:bookmarkStart w:id="83" w:name="_Toc347841188"/>
      <w:r w:rsidRPr="00B16F0F">
        <w:rPr>
          <w:rFonts w:asciiTheme="minorHAnsi" w:hAnsiTheme="minorHAnsi" w:cstheme="minorHAnsi"/>
          <w:color w:val="365F91" w:themeColor="accent1" w:themeShade="BF"/>
          <w:sz w:val="22"/>
          <w:szCs w:val="22"/>
          <w:lang w:val="es-GT"/>
        </w:rPr>
        <w:t xml:space="preserve">Cuadro </w:t>
      </w:r>
      <w:r w:rsidRPr="00B16F0F">
        <w:rPr>
          <w:rFonts w:asciiTheme="minorHAnsi" w:hAnsiTheme="minorHAnsi" w:cstheme="minorHAnsi"/>
          <w:color w:val="365F91" w:themeColor="accent1" w:themeShade="BF"/>
          <w:sz w:val="22"/>
          <w:szCs w:val="22"/>
          <w:lang w:val="es-GT"/>
        </w:rPr>
        <w:fldChar w:fldCharType="begin"/>
      </w:r>
      <w:r w:rsidRPr="00B16F0F">
        <w:rPr>
          <w:rFonts w:asciiTheme="minorHAnsi" w:hAnsiTheme="minorHAnsi" w:cstheme="minorHAnsi"/>
          <w:color w:val="365F91" w:themeColor="accent1" w:themeShade="BF"/>
          <w:sz w:val="22"/>
          <w:szCs w:val="22"/>
          <w:lang w:val="es-GT"/>
        </w:rPr>
        <w:instrText xml:space="preserve"> SEQ Cuadro \* ARABIC </w:instrText>
      </w:r>
      <w:r w:rsidRPr="00B16F0F">
        <w:rPr>
          <w:rFonts w:asciiTheme="minorHAnsi" w:hAnsiTheme="minorHAnsi" w:cstheme="minorHAnsi"/>
          <w:color w:val="365F91" w:themeColor="accent1" w:themeShade="BF"/>
          <w:sz w:val="22"/>
          <w:szCs w:val="22"/>
          <w:lang w:val="es-GT"/>
        </w:rPr>
        <w:fldChar w:fldCharType="separate"/>
      </w:r>
      <w:r w:rsidRPr="00B16F0F">
        <w:rPr>
          <w:rFonts w:asciiTheme="minorHAnsi" w:hAnsiTheme="minorHAnsi" w:cstheme="minorHAnsi"/>
          <w:color w:val="365F91" w:themeColor="accent1" w:themeShade="BF"/>
          <w:sz w:val="22"/>
          <w:szCs w:val="22"/>
          <w:lang w:val="es-GT"/>
        </w:rPr>
        <w:t>6</w:t>
      </w:r>
      <w:r w:rsidRPr="00B16F0F">
        <w:rPr>
          <w:rFonts w:asciiTheme="minorHAnsi" w:hAnsiTheme="minorHAnsi" w:cstheme="minorHAnsi"/>
          <w:color w:val="365F91" w:themeColor="accent1" w:themeShade="BF"/>
          <w:sz w:val="22"/>
          <w:szCs w:val="22"/>
          <w:lang w:val="es-GT"/>
        </w:rPr>
        <w:fldChar w:fldCharType="end"/>
      </w:r>
      <w:r w:rsidRPr="00B16F0F">
        <w:rPr>
          <w:rFonts w:asciiTheme="minorHAnsi" w:hAnsiTheme="minorHAnsi" w:cstheme="minorHAnsi"/>
          <w:color w:val="365F91" w:themeColor="accent1" w:themeShade="BF"/>
          <w:sz w:val="22"/>
          <w:szCs w:val="22"/>
          <w:lang w:val="es-GT"/>
        </w:rPr>
        <w:t>.  Indicadores del sub-sistema económico</w:t>
      </w:r>
      <w:bookmarkEnd w:id="83"/>
    </w:p>
    <w:p w:rsidR="00B16F0F" w:rsidRPr="00B16F0F" w:rsidRDefault="00B16F0F" w:rsidP="00B16F0F">
      <w:pPr>
        <w:rPr>
          <w:lang w:val="es-GT"/>
        </w:rPr>
      </w:pPr>
    </w:p>
    <w:tbl>
      <w:tblPr>
        <w:tblW w:w="9134"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0"/>
        <w:gridCol w:w="6934"/>
      </w:tblGrid>
      <w:tr w:rsidR="00330D52" w:rsidRPr="00B16F0F" w:rsidTr="00F66ECE">
        <w:trPr>
          <w:tblHeader/>
        </w:trPr>
        <w:tc>
          <w:tcPr>
            <w:tcW w:w="2200" w:type="dxa"/>
            <w:shd w:val="clear" w:color="auto" w:fill="17365D"/>
            <w:vAlign w:val="center"/>
          </w:tcPr>
          <w:p w:rsidR="00330D52" w:rsidRPr="00B16F0F" w:rsidRDefault="00330D52" w:rsidP="00B16F0F">
            <w:pPr>
              <w:pStyle w:val="Epgrafe"/>
              <w:jc w:val="center"/>
              <w:rPr>
                <w:rFonts w:asciiTheme="minorHAnsi" w:hAnsiTheme="minorHAnsi" w:cstheme="minorHAnsi"/>
                <w:color w:val="FFFFFF" w:themeColor="background1"/>
                <w:sz w:val="22"/>
                <w:szCs w:val="22"/>
                <w:lang w:val="es-GT"/>
              </w:rPr>
            </w:pPr>
            <w:r w:rsidRPr="00B16F0F">
              <w:rPr>
                <w:rFonts w:asciiTheme="minorHAnsi" w:hAnsiTheme="minorHAnsi" w:cstheme="minorHAnsi"/>
                <w:color w:val="FFFFFF" w:themeColor="background1"/>
                <w:sz w:val="22"/>
                <w:szCs w:val="22"/>
                <w:lang w:val="es-GT"/>
              </w:rPr>
              <w:t>Tipo</w:t>
            </w:r>
          </w:p>
        </w:tc>
        <w:tc>
          <w:tcPr>
            <w:tcW w:w="6934" w:type="dxa"/>
            <w:shd w:val="clear" w:color="auto" w:fill="17365D"/>
            <w:vAlign w:val="center"/>
          </w:tcPr>
          <w:p w:rsidR="00330D52" w:rsidRPr="00B16F0F" w:rsidRDefault="00330D52" w:rsidP="00B16F0F">
            <w:pPr>
              <w:pStyle w:val="Epgrafe"/>
              <w:jc w:val="center"/>
              <w:rPr>
                <w:rFonts w:asciiTheme="minorHAnsi" w:hAnsiTheme="minorHAnsi" w:cstheme="minorHAnsi"/>
                <w:color w:val="FFFFFF" w:themeColor="background1"/>
                <w:sz w:val="22"/>
                <w:szCs w:val="22"/>
                <w:lang w:val="es-GT"/>
              </w:rPr>
            </w:pPr>
            <w:r w:rsidRPr="00B16F0F">
              <w:rPr>
                <w:rFonts w:asciiTheme="minorHAnsi" w:hAnsiTheme="minorHAnsi" w:cstheme="minorHAnsi"/>
                <w:color w:val="FFFFFF" w:themeColor="background1"/>
                <w:sz w:val="22"/>
                <w:szCs w:val="22"/>
                <w:lang w:val="es-GT"/>
              </w:rPr>
              <w:t>Indicador</w:t>
            </w:r>
          </w:p>
        </w:tc>
      </w:tr>
      <w:tr w:rsidR="00330D52" w:rsidRPr="000364C9" w:rsidTr="00F66ECE">
        <w:tc>
          <w:tcPr>
            <w:tcW w:w="2200" w:type="dxa"/>
            <w:vMerge w:val="restart"/>
          </w:tcPr>
          <w:p w:rsidR="00330D52" w:rsidRPr="00BC44FA" w:rsidRDefault="00330D52" w:rsidP="00F66ECE">
            <w:pPr>
              <w:spacing w:before="20" w:after="20"/>
              <w:jc w:val="both"/>
              <w:rPr>
                <w:rFonts w:ascii="Calibri" w:hAnsi="Calibri" w:cs="Calibri"/>
                <w:lang w:val="es-GT"/>
              </w:rPr>
            </w:pPr>
            <w:r w:rsidRPr="00BC44FA">
              <w:rPr>
                <w:rFonts w:ascii="Calibri" w:hAnsi="Calibri" w:cs="Arial"/>
                <w:lang w:val="es-GT" w:eastAsia="es-GT"/>
              </w:rPr>
              <w:t>De desarrollo</w:t>
            </w:r>
          </w:p>
        </w:tc>
        <w:tc>
          <w:tcPr>
            <w:tcW w:w="6934" w:type="dxa"/>
            <w:vAlign w:val="center"/>
          </w:tcPr>
          <w:p w:rsidR="00330D52" w:rsidRPr="00BC44FA" w:rsidRDefault="00330D52" w:rsidP="00330D52">
            <w:pPr>
              <w:spacing w:before="20" w:after="20"/>
              <w:rPr>
                <w:rFonts w:ascii="Calibri" w:hAnsi="Calibri" w:cs="Arial"/>
                <w:lang w:val="es-GT" w:eastAsia="es-GT"/>
              </w:rPr>
            </w:pPr>
            <w:r w:rsidRPr="00BC44FA">
              <w:rPr>
                <w:rFonts w:ascii="Calibri" w:hAnsi="Calibri" w:cs="Arial"/>
                <w:lang w:val="es-GT" w:eastAsia="es-GT"/>
              </w:rPr>
              <w:t>Producto interno bruto (PIB) por población económicamente activa (PEA)</w:t>
            </w:r>
          </w:p>
        </w:tc>
      </w:tr>
      <w:tr w:rsidR="00330D52" w:rsidRPr="000364C9" w:rsidTr="00F66ECE">
        <w:tc>
          <w:tcPr>
            <w:tcW w:w="2200" w:type="dxa"/>
            <w:vMerge/>
          </w:tcPr>
          <w:p w:rsidR="00330D52" w:rsidRPr="00BC44FA" w:rsidRDefault="00330D52" w:rsidP="00F66ECE">
            <w:pPr>
              <w:spacing w:before="20" w:after="20"/>
              <w:jc w:val="both"/>
              <w:rPr>
                <w:rFonts w:ascii="Calibri" w:hAnsi="Calibri" w:cs="Calibri"/>
                <w:lang w:val="es-GT"/>
              </w:rPr>
            </w:pPr>
          </w:p>
        </w:tc>
        <w:tc>
          <w:tcPr>
            <w:tcW w:w="6934" w:type="dxa"/>
            <w:vAlign w:val="center"/>
          </w:tcPr>
          <w:p w:rsidR="00330D52" w:rsidRPr="00BC44FA" w:rsidRDefault="00330D52" w:rsidP="00330D52">
            <w:pPr>
              <w:spacing w:before="20" w:after="20"/>
              <w:rPr>
                <w:rFonts w:ascii="Calibri" w:hAnsi="Calibri" w:cs="Arial"/>
                <w:lang w:val="es-GT" w:eastAsia="es-GT"/>
              </w:rPr>
            </w:pPr>
            <w:r w:rsidRPr="00BC44FA">
              <w:rPr>
                <w:rFonts w:ascii="Calibri" w:hAnsi="Calibri" w:cs="Arial"/>
                <w:lang w:val="es-GT" w:eastAsia="es-GT"/>
              </w:rPr>
              <w:t>Producto interno bruto por habitante (PIB/habitante)</w:t>
            </w:r>
          </w:p>
        </w:tc>
      </w:tr>
      <w:tr w:rsidR="00330D52" w:rsidRPr="000364C9" w:rsidTr="00F66ECE">
        <w:tc>
          <w:tcPr>
            <w:tcW w:w="2200" w:type="dxa"/>
            <w:vMerge/>
          </w:tcPr>
          <w:p w:rsidR="00330D52" w:rsidRPr="00BC44FA" w:rsidRDefault="00330D52" w:rsidP="00F66ECE">
            <w:pPr>
              <w:spacing w:before="20" w:after="20"/>
              <w:jc w:val="both"/>
              <w:rPr>
                <w:rFonts w:ascii="Calibri" w:hAnsi="Calibri" w:cs="Calibri"/>
                <w:lang w:val="es-GT"/>
              </w:rPr>
            </w:pPr>
          </w:p>
        </w:tc>
        <w:tc>
          <w:tcPr>
            <w:tcW w:w="6934" w:type="dxa"/>
            <w:vAlign w:val="center"/>
          </w:tcPr>
          <w:p w:rsidR="00330D52" w:rsidRPr="00BC44FA" w:rsidRDefault="00330D52" w:rsidP="00330D52">
            <w:pPr>
              <w:spacing w:before="20" w:after="20"/>
              <w:rPr>
                <w:rFonts w:ascii="Calibri" w:hAnsi="Calibri" w:cs="Arial"/>
                <w:lang w:val="es-GT" w:eastAsia="es-GT"/>
              </w:rPr>
            </w:pPr>
            <w:r w:rsidRPr="00BC44FA">
              <w:rPr>
                <w:rFonts w:ascii="Calibri" w:hAnsi="Calibri" w:cs="Arial"/>
                <w:lang w:val="es-GT" w:eastAsia="es-GT"/>
              </w:rPr>
              <w:t>Proporción del Producto Interno Bruto (PIB) destinada a capital</w:t>
            </w:r>
          </w:p>
        </w:tc>
      </w:tr>
      <w:tr w:rsidR="00330D52" w:rsidRPr="000364C9" w:rsidTr="00F66ECE">
        <w:tc>
          <w:tcPr>
            <w:tcW w:w="2200" w:type="dxa"/>
            <w:vMerge w:val="restart"/>
            <w:vAlign w:val="center"/>
          </w:tcPr>
          <w:p w:rsidR="00330D52" w:rsidRPr="00BC44FA" w:rsidRDefault="00330D52" w:rsidP="00F66ECE">
            <w:pPr>
              <w:spacing w:before="20" w:after="20"/>
              <w:rPr>
                <w:rFonts w:ascii="Calibri" w:hAnsi="Calibri" w:cs="Arial"/>
                <w:lang w:val="es-GT" w:eastAsia="es-GT"/>
              </w:rPr>
            </w:pPr>
            <w:r w:rsidRPr="00BC44FA">
              <w:rPr>
                <w:rFonts w:ascii="Calibri" w:hAnsi="Calibri" w:cs="Arial"/>
                <w:lang w:val="es-GT" w:eastAsia="es-GT"/>
              </w:rPr>
              <w:t>De sostenibilidad</w:t>
            </w:r>
          </w:p>
        </w:tc>
        <w:tc>
          <w:tcPr>
            <w:tcW w:w="6934" w:type="dxa"/>
            <w:vAlign w:val="center"/>
          </w:tcPr>
          <w:p w:rsidR="00330D52" w:rsidRPr="00BC44FA" w:rsidRDefault="00330D52" w:rsidP="00330D52">
            <w:pPr>
              <w:spacing w:before="20" w:after="20"/>
              <w:rPr>
                <w:rFonts w:ascii="Calibri" w:hAnsi="Calibri" w:cs="Arial"/>
                <w:lang w:val="es-GT" w:eastAsia="es-GT"/>
              </w:rPr>
            </w:pPr>
            <w:r w:rsidRPr="00BC44FA">
              <w:rPr>
                <w:rFonts w:ascii="Calibri" w:hAnsi="Calibri" w:cs="Arial"/>
                <w:lang w:val="es-GT" w:eastAsia="es-GT"/>
              </w:rPr>
              <w:t>Déficit fiscal del presupuesto con respecto al PIB</w:t>
            </w:r>
          </w:p>
        </w:tc>
      </w:tr>
      <w:tr w:rsidR="00330D52" w:rsidRPr="000364C9" w:rsidTr="00F66ECE">
        <w:tc>
          <w:tcPr>
            <w:tcW w:w="2200" w:type="dxa"/>
            <w:vMerge/>
            <w:vAlign w:val="center"/>
          </w:tcPr>
          <w:p w:rsidR="00330D52" w:rsidRPr="00BC44FA" w:rsidRDefault="00330D52" w:rsidP="00F66ECE">
            <w:pPr>
              <w:spacing w:before="20" w:after="20"/>
              <w:rPr>
                <w:rFonts w:ascii="Calibri" w:hAnsi="Calibri" w:cs="Arial"/>
                <w:lang w:val="es-GT" w:eastAsia="es-GT"/>
              </w:rPr>
            </w:pPr>
          </w:p>
        </w:tc>
        <w:tc>
          <w:tcPr>
            <w:tcW w:w="6934" w:type="dxa"/>
            <w:vAlign w:val="center"/>
          </w:tcPr>
          <w:p w:rsidR="00330D52" w:rsidRPr="00BC44FA" w:rsidRDefault="00330D52" w:rsidP="00330D52">
            <w:pPr>
              <w:spacing w:before="20" w:after="20"/>
              <w:rPr>
                <w:rFonts w:ascii="Calibri" w:hAnsi="Calibri" w:cs="Arial"/>
                <w:lang w:val="es-GT" w:eastAsia="es-GT"/>
              </w:rPr>
            </w:pPr>
            <w:r w:rsidRPr="00BC44FA">
              <w:rPr>
                <w:rFonts w:ascii="Calibri" w:hAnsi="Calibri" w:cs="Arial"/>
                <w:lang w:val="es-GT" w:eastAsia="es-GT"/>
              </w:rPr>
              <w:t>Formación bruta de capital fijo con respecto al PIB</w:t>
            </w:r>
          </w:p>
        </w:tc>
      </w:tr>
    </w:tbl>
    <w:p w:rsidR="00330D52" w:rsidRPr="00BC44FA" w:rsidRDefault="00330D52" w:rsidP="00330D52">
      <w:pPr>
        <w:pStyle w:val="Sinespaciado"/>
        <w:ind w:left="360" w:right="108"/>
        <w:jc w:val="right"/>
        <w:rPr>
          <w:rFonts w:cs="Arial"/>
          <w:sz w:val="20"/>
          <w:szCs w:val="20"/>
        </w:rPr>
      </w:pPr>
      <w:r w:rsidRPr="00BC44FA">
        <w:rPr>
          <w:rFonts w:cs="Arial"/>
          <w:sz w:val="20"/>
          <w:szCs w:val="20"/>
        </w:rPr>
        <w:t xml:space="preserve">Fuente: </w:t>
      </w:r>
      <w:r w:rsidR="00D91852">
        <w:rPr>
          <w:rFonts w:cs="Calibri"/>
          <w:sz w:val="20"/>
          <w:szCs w:val="20"/>
          <w:lang w:val="es-MX"/>
        </w:rPr>
        <w:t xml:space="preserve">IARNA-URL y </w:t>
      </w:r>
      <w:r w:rsidRPr="00BC44FA">
        <w:rPr>
          <w:rFonts w:cs="Calibri"/>
          <w:sz w:val="20"/>
          <w:szCs w:val="20"/>
          <w:lang w:val="es-MX"/>
        </w:rPr>
        <w:t>SEGEPLAN</w:t>
      </w:r>
      <w:r w:rsidR="00D91852">
        <w:rPr>
          <w:rFonts w:cs="Calibri"/>
          <w:sz w:val="20"/>
          <w:szCs w:val="20"/>
          <w:lang w:val="es-MX"/>
        </w:rPr>
        <w:t xml:space="preserve"> (</w:t>
      </w:r>
      <w:r w:rsidRPr="00BC44FA">
        <w:rPr>
          <w:rFonts w:cs="Calibri"/>
          <w:sz w:val="20"/>
          <w:szCs w:val="20"/>
          <w:lang w:val="es-MX"/>
        </w:rPr>
        <w:t>2012)</w:t>
      </w:r>
      <w:r w:rsidRPr="00BC44FA">
        <w:rPr>
          <w:rFonts w:cs="Arial"/>
          <w:sz w:val="20"/>
          <w:szCs w:val="20"/>
        </w:rPr>
        <w:t>.</w:t>
      </w:r>
    </w:p>
    <w:p w:rsidR="00330D52" w:rsidRPr="00BC44FA" w:rsidRDefault="00330D52" w:rsidP="00330D52">
      <w:pPr>
        <w:pStyle w:val="Sinespaciado"/>
        <w:ind w:left="360"/>
        <w:jc w:val="both"/>
        <w:rPr>
          <w:rFonts w:cs="Arial"/>
          <w:sz w:val="24"/>
          <w:szCs w:val="24"/>
        </w:rPr>
      </w:pPr>
    </w:p>
    <w:p w:rsidR="001E0F49" w:rsidRPr="00BC44FA" w:rsidRDefault="001E0F49" w:rsidP="00330D52">
      <w:pPr>
        <w:pStyle w:val="Sinespaciado"/>
        <w:ind w:left="360"/>
        <w:jc w:val="both"/>
        <w:rPr>
          <w:rFonts w:cs="Arial"/>
          <w:sz w:val="24"/>
          <w:szCs w:val="24"/>
        </w:rPr>
      </w:pPr>
    </w:p>
    <w:p w:rsidR="00B86961" w:rsidRPr="001E0F49" w:rsidRDefault="00B86961" w:rsidP="00EC05B0">
      <w:pPr>
        <w:pStyle w:val="Prrafodelista"/>
        <w:numPr>
          <w:ilvl w:val="0"/>
          <w:numId w:val="67"/>
        </w:numPr>
        <w:autoSpaceDE w:val="0"/>
        <w:autoSpaceDN w:val="0"/>
        <w:adjustRightInd w:val="0"/>
        <w:jc w:val="both"/>
        <w:rPr>
          <w:rFonts w:cs="Calibri"/>
          <w:b/>
          <w:color w:val="365F91"/>
          <w:lang w:eastAsia="es-GT"/>
        </w:rPr>
      </w:pPr>
      <w:bookmarkStart w:id="84" w:name="_Toc331535177"/>
      <w:r w:rsidRPr="001E0F49">
        <w:rPr>
          <w:rFonts w:cs="Calibri"/>
          <w:b/>
          <w:color w:val="365F91"/>
          <w:lang w:eastAsia="es-GT"/>
        </w:rPr>
        <w:t>Producto interno bruto por población económicamente activa</w:t>
      </w:r>
      <w:bookmarkEnd w:id="84"/>
    </w:p>
    <w:p w:rsidR="00B86961" w:rsidRPr="00BC44FA" w:rsidRDefault="001E0F49" w:rsidP="00C470CE">
      <w:pPr>
        <w:pStyle w:val="Sinespaciado"/>
        <w:ind w:left="720"/>
        <w:jc w:val="both"/>
        <w:rPr>
          <w:rFonts w:cs="Arial"/>
          <w:sz w:val="24"/>
          <w:szCs w:val="24"/>
        </w:rPr>
      </w:pPr>
      <w:r w:rsidRPr="00BC44FA">
        <w:rPr>
          <w:rFonts w:cs="Arial"/>
          <w:sz w:val="24"/>
          <w:szCs w:val="24"/>
        </w:rPr>
        <w:t>El PIB con respecto a la PEA se considera un indicador de la productividad general de la sociedad</w:t>
      </w:r>
      <w:r w:rsidR="000F3351">
        <w:rPr>
          <w:rFonts w:cs="Arial"/>
          <w:sz w:val="24"/>
          <w:szCs w:val="24"/>
        </w:rPr>
        <w:t>,</w:t>
      </w:r>
      <w:r w:rsidRPr="00BC44FA">
        <w:rPr>
          <w:rFonts w:cs="Arial"/>
          <w:sz w:val="24"/>
          <w:szCs w:val="24"/>
        </w:rPr>
        <w:t xml:space="preserve"> incluyendo los patrones de consumo de la población y el uso de los bienes naturales renovables. Este se </w:t>
      </w:r>
      <w:r w:rsidR="00B86961" w:rsidRPr="00BC44FA">
        <w:rPr>
          <w:rFonts w:cs="Arial"/>
          <w:sz w:val="24"/>
          <w:szCs w:val="24"/>
        </w:rPr>
        <w:t>ref</w:t>
      </w:r>
      <w:r w:rsidRPr="00BC44FA">
        <w:rPr>
          <w:rFonts w:cs="Arial"/>
          <w:sz w:val="24"/>
          <w:szCs w:val="24"/>
        </w:rPr>
        <w:t>i</w:t>
      </w:r>
      <w:r w:rsidR="00B86961" w:rsidRPr="00BC44FA">
        <w:rPr>
          <w:rFonts w:cs="Arial"/>
          <w:sz w:val="24"/>
          <w:szCs w:val="24"/>
        </w:rPr>
        <w:t>er</w:t>
      </w:r>
      <w:r w:rsidRPr="00BC44FA">
        <w:rPr>
          <w:rFonts w:cs="Arial"/>
          <w:sz w:val="24"/>
          <w:szCs w:val="24"/>
        </w:rPr>
        <w:t>e</w:t>
      </w:r>
      <w:r w:rsidR="00B86961" w:rsidRPr="00BC44FA">
        <w:rPr>
          <w:rFonts w:cs="Arial"/>
          <w:sz w:val="24"/>
          <w:szCs w:val="24"/>
        </w:rPr>
        <w:t xml:space="preserve"> a la relación del total de bienes y servicios producidos en el país con respecto a la </w:t>
      </w:r>
      <w:r w:rsidR="000F3351">
        <w:rPr>
          <w:rFonts w:cs="Arial"/>
          <w:sz w:val="24"/>
          <w:szCs w:val="24"/>
        </w:rPr>
        <w:t>fuerza laboral activa del mismo,</w:t>
      </w:r>
      <w:r w:rsidR="00B86961" w:rsidRPr="00BC44FA">
        <w:rPr>
          <w:rFonts w:cs="Arial"/>
          <w:sz w:val="24"/>
          <w:szCs w:val="24"/>
        </w:rPr>
        <w:t xml:space="preserve"> definiendo a la PEA</w:t>
      </w:r>
      <w:r w:rsidRPr="00BC44FA">
        <w:rPr>
          <w:rFonts w:cs="Arial"/>
          <w:sz w:val="24"/>
          <w:szCs w:val="24"/>
        </w:rPr>
        <w:t>,</w:t>
      </w:r>
      <w:r w:rsidR="00B86961" w:rsidRPr="00BC44FA">
        <w:rPr>
          <w:rFonts w:cs="Arial"/>
          <w:sz w:val="24"/>
          <w:szCs w:val="24"/>
        </w:rPr>
        <w:t xml:space="preserve"> como la población mayor de 15 años.</w:t>
      </w:r>
      <w:r w:rsidRPr="00BC44FA">
        <w:rPr>
          <w:rFonts w:cs="Arial"/>
          <w:sz w:val="24"/>
          <w:szCs w:val="24"/>
        </w:rPr>
        <w:t xml:space="preserve"> </w:t>
      </w:r>
      <w:r w:rsidR="00B86961" w:rsidRPr="00BC44FA">
        <w:rPr>
          <w:rFonts w:cs="Arial"/>
          <w:sz w:val="24"/>
          <w:szCs w:val="24"/>
        </w:rPr>
        <w:t xml:space="preserve">Según los datos del Banco de Guatemala </w:t>
      </w:r>
      <w:r w:rsidRPr="00BC44FA">
        <w:rPr>
          <w:rFonts w:cs="Arial"/>
          <w:sz w:val="24"/>
          <w:szCs w:val="24"/>
        </w:rPr>
        <w:t>(</w:t>
      </w:r>
      <w:r w:rsidR="00B86961" w:rsidRPr="00BC44FA">
        <w:rPr>
          <w:rFonts w:cs="Arial"/>
          <w:sz w:val="24"/>
          <w:szCs w:val="24"/>
        </w:rPr>
        <w:t>BANGUAT</w:t>
      </w:r>
      <w:r w:rsidRPr="00BC44FA">
        <w:rPr>
          <w:rFonts w:cs="Arial"/>
          <w:sz w:val="24"/>
          <w:szCs w:val="24"/>
        </w:rPr>
        <w:t>)</w:t>
      </w:r>
      <w:r w:rsidR="00B86961" w:rsidRPr="00BC44FA">
        <w:rPr>
          <w:rFonts w:cs="Arial"/>
          <w:sz w:val="24"/>
          <w:szCs w:val="24"/>
        </w:rPr>
        <w:t xml:space="preserve"> el valor del PIB real (año base 2001) por población económicamente activa, pasó de Q44,888 para el año 2001 a Q41,847 para el año 2011. En términos generales</w:t>
      </w:r>
      <w:r w:rsidR="000F3351">
        <w:rPr>
          <w:rFonts w:cs="Arial"/>
          <w:sz w:val="24"/>
          <w:szCs w:val="24"/>
        </w:rPr>
        <w:t>,</w:t>
      </w:r>
      <w:r w:rsidR="00B86961" w:rsidRPr="00BC44FA">
        <w:rPr>
          <w:rFonts w:cs="Arial"/>
          <w:sz w:val="24"/>
          <w:szCs w:val="24"/>
        </w:rPr>
        <w:t xml:space="preserve"> la tendencia del indicador es negativa, con excepc</w:t>
      </w:r>
      <w:r w:rsidR="000F3351">
        <w:rPr>
          <w:rFonts w:cs="Arial"/>
          <w:sz w:val="24"/>
          <w:szCs w:val="24"/>
        </w:rPr>
        <w:t>ión del período 2005-2007 en do</w:t>
      </w:r>
      <w:r w:rsidR="00B86961" w:rsidRPr="00BC44FA">
        <w:rPr>
          <w:rFonts w:cs="Arial"/>
          <w:sz w:val="24"/>
          <w:szCs w:val="24"/>
        </w:rPr>
        <w:t>nde se presenta un crecimiento. La relación del PIB con respecto a la población económicamente activa muestra una tasa de variación anual promedio de -0.70%</w:t>
      </w:r>
      <w:r w:rsidR="000F0835" w:rsidRPr="00BC44FA">
        <w:rPr>
          <w:rFonts w:cs="Arial"/>
          <w:sz w:val="24"/>
          <w:szCs w:val="24"/>
        </w:rPr>
        <w:t xml:space="preserve"> (</w:t>
      </w:r>
      <w:r w:rsidR="000F3351">
        <w:rPr>
          <w:rFonts w:cs="Calibri"/>
          <w:sz w:val="24"/>
          <w:szCs w:val="24"/>
          <w:lang w:val="es-MX"/>
        </w:rPr>
        <w:t xml:space="preserve">IARNA-URL y </w:t>
      </w:r>
      <w:r w:rsidR="000F0835" w:rsidRPr="00BC44FA">
        <w:rPr>
          <w:rFonts w:cs="Calibri"/>
          <w:sz w:val="24"/>
          <w:szCs w:val="24"/>
          <w:lang w:val="es-MX"/>
        </w:rPr>
        <w:t>SEGEPLAN, 2012</w:t>
      </w:r>
      <w:r w:rsidR="000F0835" w:rsidRPr="00BC44FA">
        <w:rPr>
          <w:rFonts w:cs="Arial"/>
          <w:sz w:val="24"/>
          <w:szCs w:val="24"/>
        </w:rPr>
        <w:t>)</w:t>
      </w:r>
      <w:r w:rsidRPr="00BC44FA">
        <w:rPr>
          <w:rFonts w:cs="Arial"/>
          <w:sz w:val="24"/>
          <w:szCs w:val="24"/>
        </w:rPr>
        <w:t>.</w:t>
      </w:r>
    </w:p>
    <w:p w:rsidR="00B86961" w:rsidRPr="00BC44FA" w:rsidRDefault="00B86961" w:rsidP="00C470CE">
      <w:pPr>
        <w:pStyle w:val="Sinespaciado"/>
        <w:ind w:left="720"/>
        <w:jc w:val="both"/>
        <w:rPr>
          <w:rFonts w:cs="Arial"/>
          <w:sz w:val="24"/>
          <w:szCs w:val="24"/>
        </w:rPr>
      </w:pPr>
    </w:p>
    <w:p w:rsidR="00B86961" w:rsidRPr="00BC44FA" w:rsidRDefault="00B86961" w:rsidP="00C470CE">
      <w:pPr>
        <w:pStyle w:val="Sinespaciado"/>
        <w:ind w:left="720"/>
        <w:jc w:val="both"/>
        <w:rPr>
          <w:rFonts w:cs="Arial"/>
          <w:sz w:val="24"/>
          <w:szCs w:val="24"/>
        </w:rPr>
      </w:pPr>
      <w:r w:rsidRPr="00BC44FA">
        <w:rPr>
          <w:rFonts w:cs="Arial"/>
          <w:sz w:val="24"/>
          <w:szCs w:val="24"/>
        </w:rPr>
        <w:t xml:space="preserve">Bajo el principio de que el PIB debe crecer a una tasa mayor que la población total para que exista un crecimiento económico, </w:t>
      </w:r>
      <w:r w:rsidR="000F0835" w:rsidRPr="00BC44FA">
        <w:rPr>
          <w:rFonts w:cs="Arial"/>
          <w:sz w:val="24"/>
          <w:szCs w:val="24"/>
        </w:rPr>
        <w:t>igualmente</w:t>
      </w:r>
      <w:r w:rsidRPr="00BC44FA">
        <w:rPr>
          <w:rFonts w:cs="Arial"/>
          <w:sz w:val="24"/>
          <w:szCs w:val="24"/>
        </w:rPr>
        <w:t xml:space="preserve"> se espera que la tasa de crecimiento del PIB sea mayor o igual a la tasa de crecimiento de la población económicamente activa</w:t>
      </w:r>
      <w:r w:rsidR="000F0835" w:rsidRPr="00BC44FA">
        <w:rPr>
          <w:rFonts w:cs="Arial"/>
          <w:sz w:val="24"/>
          <w:szCs w:val="24"/>
        </w:rPr>
        <w:t xml:space="preserve"> (relación </w:t>
      </w:r>
      <w:r w:rsidRPr="00BC44FA">
        <w:rPr>
          <w:rFonts w:cs="Arial"/>
          <w:sz w:val="24"/>
          <w:szCs w:val="24"/>
        </w:rPr>
        <w:t>mayor o igual a 1</w:t>
      </w:r>
      <w:r w:rsidR="000F0835" w:rsidRPr="00BC44FA">
        <w:rPr>
          <w:rFonts w:cs="Arial"/>
          <w:sz w:val="24"/>
          <w:szCs w:val="24"/>
        </w:rPr>
        <w:t>)</w:t>
      </w:r>
      <w:r w:rsidRPr="00BC44FA">
        <w:rPr>
          <w:rFonts w:cs="Arial"/>
          <w:sz w:val="24"/>
          <w:szCs w:val="24"/>
        </w:rPr>
        <w:t xml:space="preserve">. </w:t>
      </w:r>
      <w:r w:rsidR="000F0835" w:rsidRPr="00BC44FA">
        <w:rPr>
          <w:rFonts w:cs="Arial"/>
          <w:sz w:val="24"/>
          <w:szCs w:val="24"/>
        </w:rPr>
        <w:t>En la última década, a excepción de los datos registrados para el año 2006 y 2007, la</w:t>
      </w:r>
      <w:r w:rsidRPr="00BC44FA">
        <w:rPr>
          <w:rFonts w:cs="Arial"/>
          <w:sz w:val="24"/>
          <w:szCs w:val="24"/>
        </w:rPr>
        <w:t xml:space="preserve"> relación de las tasas de crecimiento del PIB con respecto a la PEA</w:t>
      </w:r>
      <w:r w:rsidR="001E0F49" w:rsidRPr="00BC44FA">
        <w:rPr>
          <w:rFonts w:cs="Arial"/>
          <w:sz w:val="24"/>
          <w:szCs w:val="24"/>
        </w:rPr>
        <w:t xml:space="preserve"> </w:t>
      </w:r>
      <w:r w:rsidR="00BC44FA">
        <w:rPr>
          <w:rFonts w:cs="Arial"/>
          <w:sz w:val="24"/>
          <w:szCs w:val="24"/>
        </w:rPr>
        <w:t>muestra</w:t>
      </w:r>
      <w:r w:rsidR="000F0835" w:rsidRPr="00BC44FA">
        <w:rPr>
          <w:rFonts w:cs="Arial"/>
          <w:sz w:val="24"/>
          <w:szCs w:val="24"/>
        </w:rPr>
        <w:t xml:space="preserve"> una</w:t>
      </w:r>
      <w:r w:rsidR="001E0F49" w:rsidRPr="00BC44FA">
        <w:rPr>
          <w:rFonts w:cs="Arial"/>
          <w:sz w:val="24"/>
          <w:szCs w:val="24"/>
        </w:rPr>
        <w:t xml:space="preserve"> </w:t>
      </w:r>
      <w:r w:rsidRPr="00BC44FA">
        <w:rPr>
          <w:rFonts w:cs="Arial"/>
          <w:sz w:val="24"/>
          <w:szCs w:val="24"/>
        </w:rPr>
        <w:t>tendencia negativa</w:t>
      </w:r>
      <w:r w:rsidR="000F0835" w:rsidRPr="00BC44FA">
        <w:rPr>
          <w:rFonts w:cs="Arial"/>
          <w:sz w:val="24"/>
          <w:szCs w:val="24"/>
        </w:rPr>
        <w:t>.</w:t>
      </w:r>
    </w:p>
    <w:p w:rsidR="00B86961" w:rsidRPr="00BC44FA" w:rsidRDefault="00B86961" w:rsidP="000F0835">
      <w:pPr>
        <w:pStyle w:val="Sinespaciado"/>
        <w:ind w:left="360"/>
        <w:jc w:val="both"/>
        <w:rPr>
          <w:rFonts w:cs="Arial"/>
          <w:sz w:val="24"/>
          <w:szCs w:val="24"/>
        </w:rPr>
      </w:pPr>
    </w:p>
    <w:p w:rsidR="00B86961" w:rsidRPr="000F0835" w:rsidRDefault="00B86961" w:rsidP="00EC05B0">
      <w:pPr>
        <w:pStyle w:val="Prrafodelista"/>
        <w:numPr>
          <w:ilvl w:val="0"/>
          <w:numId w:val="67"/>
        </w:numPr>
        <w:autoSpaceDE w:val="0"/>
        <w:autoSpaceDN w:val="0"/>
        <w:adjustRightInd w:val="0"/>
        <w:jc w:val="both"/>
        <w:rPr>
          <w:rFonts w:cs="Calibri"/>
          <w:b/>
          <w:color w:val="365F91"/>
          <w:lang w:eastAsia="es-GT"/>
        </w:rPr>
      </w:pPr>
      <w:bookmarkStart w:id="85" w:name="_Toc331535178"/>
      <w:r w:rsidRPr="000F0835">
        <w:rPr>
          <w:rFonts w:cs="Calibri"/>
          <w:b/>
          <w:color w:val="365F91"/>
          <w:lang w:eastAsia="es-GT"/>
        </w:rPr>
        <w:t>Producto interno bruto por habitante</w:t>
      </w:r>
      <w:bookmarkEnd w:id="85"/>
      <w:r w:rsidR="000F3351">
        <w:rPr>
          <w:rFonts w:cs="Calibri"/>
          <w:b/>
          <w:color w:val="365F91"/>
          <w:lang w:eastAsia="es-GT"/>
        </w:rPr>
        <w:t xml:space="preserve"> </w:t>
      </w:r>
    </w:p>
    <w:p w:rsidR="00B86961" w:rsidRPr="00BC44FA" w:rsidRDefault="00B86961" w:rsidP="00C470CE">
      <w:pPr>
        <w:pStyle w:val="Sinespaciado"/>
        <w:ind w:left="720"/>
        <w:jc w:val="both"/>
        <w:rPr>
          <w:rFonts w:cs="Arial"/>
          <w:sz w:val="24"/>
          <w:szCs w:val="24"/>
        </w:rPr>
      </w:pPr>
      <w:r w:rsidRPr="00BC44FA">
        <w:rPr>
          <w:rFonts w:cs="Arial"/>
          <w:sz w:val="24"/>
          <w:szCs w:val="24"/>
        </w:rPr>
        <w:t>Se define como la relación entre el valor total de mercado de los bienes y servicios totales generados por la economía de un país y la población de éste en un determinado tiempo.</w:t>
      </w:r>
      <w:r w:rsidR="00296FF9" w:rsidRPr="00BC44FA">
        <w:rPr>
          <w:rFonts w:cs="Arial"/>
          <w:sz w:val="24"/>
          <w:szCs w:val="24"/>
        </w:rPr>
        <w:t xml:space="preserve"> </w:t>
      </w:r>
      <w:r w:rsidRPr="00BC44FA">
        <w:rPr>
          <w:rFonts w:cs="Arial"/>
          <w:sz w:val="24"/>
          <w:szCs w:val="24"/>
        </w:rPr>
        <w:t>Est</w:t>
      </w:r>
      <w:r w:rsidR="000F3351">
        <w:rPr>
          <w:rFonts w:cs="Arial"/>
          <w:sz w:val="24"/>
          <w:szCs w:val="24"/>
        </w:rPr>
        <w:t>e indicador mide el desempeño de la</w:t>
      </w:r>
      <w:r w:rsidRPr="00BC44FA">
        <w:rPr>
          <w:rFonts w:cs="Arial"/>
          <w:sz w:val="24"/>
          <w:szCs w:val="24"/>
        </w:rPr>
        <w:t xml:space="preserve"> producción promedio de cada persona que habita </w:t>
      </w:r>
      <w:r w:rsidRPr="00BC44FA">
        <w:rPr>
          <w:rFonts w:cs="Arial"/>
          <w:sz w:val="24"/>
          <w:szCs w:val="24"/>
        </w:rPr>
        <w:lastRenderedPageBreak/>
        <w:t>el país.</w:t>
      </w:r>
      <w:r w:rsidR="00296FF9" w:rsidRPr="00BC44FA">
        <w:rPr>
          <w:rFonts w:cs="Arial"/>
          <w:sz w:val="24"/>
          <w:szCs w:val="24"/>
        </w:rPr>
        <w:t xml:space="preserve"> </w:t>
      </w:r>
      <w:r w:rsidRPr="00BC44FA">
        <w:rPr>
          <w:rFonts w:cs="Arial"/>
          <w:sz w:val="24"/>
          <w:szCs w:val="24"/>
        </w:rPr>
        <w:t xml:space="preserve">Se puede decir que es una medida del grado de desarrollo económico del país, debido a que se encuentra correlacionado </w:t>
      </w:r>
      <w:r w:rsidR="000F3351" w:rsidRPr="00BC44FA">
        <w:rPr>
          <w:rFonts w:cs="Arial"/>
          <w:sz w:val="24"/>
          <w:szCs w:val="24"/>
        </w:rPr>
        <w:t xml:space="preserve">positivamente </w:t>
      </w:r>
      <w:r w:rsidRPr="00BC44FA">
        <w:rPr>
          <w:rFonts w:cs="Arial"/>
          <w:sz w:val="24"/>
          <w:szCs w:val="24"/>
        </w:rPr>
        <w:t>con la calidad de vida de la población.</w:t>
      </w:r>
      <w:r w:rsidR="00296FF9" w:rsidRPr="00BC44FA">
        <w:rPr>
          <w:rFonts w:cs="Arial"/>
          <w:sz w:val="24"/>
          <w:szCs w:val="24"/>
        </w:rPr>
        <w:t xml:space="preserve"> </w:t>
      </w:r>
      <w:r w:rsidR="000F3351">
        <w:rPr>
          <w:rFonts w:cs="Arial"/>
          <w:sz w:val="24"/>
          <w:szCs w:val="24"/>
        </w:rPr>
        <w:t>Una</w:t>
      </w:r>
      <w:r w:rsidRPr="00BC44FA">
        <w:rPr>
          <w:rFonts w:cs="Arial"/>
          <w:sz w:val="24"/>
          <w:szCs w:val="24"/>
        </w:rPr>
        <w:t xml:space="preserve"> de las debilidades de este indicador, es que no mide el bienestar real de la población debido a que atribuye el mismo nivel de renta a todos, ignorando las diferencias económicas entre los habitantes.</w:t>
      </w:r>
    </w:p>
    <w:p w:rsidR="00B86961" w:rsidRPr="00BC44FA" w:rsidRDefault="00B86961" w:rsidP="00C470CE">
      <w:pPr>
        <w:pStyle w:val="Sinespaciado"/>
        <w:ind w:left="720"/>
        <w:jc w:val="both"/>
        <w:rPr>
          <w:rFonts w:cs="Arial"/>
          <w:sz w:val="24"/>
          <w:szCs w:val="24"/>
        </w:rPr>
      </w:pPr>
    </w:p>
    <w:p w:rsidR="00B86961" w:rsidRPr="00BC44FA" w:rsidRDefault="000F3351" w:rsidP="00C470CE">
      <w:pPr>
        <w:pStyle w:val="Sinespaciado"/>
        <w:ind w:left="720"/>
        <w:jc w:val="both"/>
        <w:rPr>
          <w:rFonts w:cs="Arial"/>
          <w:sz w:val="24"/>
          <w:szCs w:val="24"/>
        </w:rPr>
      </w:pPr>
      <w:r>
        <w:rPr>
          <w:rFonts w:cs="Arial"/>
          <w:sz w:val="24"/>
          <w:szCs w:val="24"/>
        </w:rPr>
        <w:t>De acuerdo con</w:t>
      </w:r>
      <w:r w:rsidR="00B86961" w:rsidRPr="00BC44FA">
        <w:rPr>
          <w:rFonts w:cs="Arial"/>
          <w:sz w:val="24"/>
          <w:szCs w:val="24"/>
        </w:rPr>
        <w:t xml:space="preserve"> las cifras del Banco de Guatemala, el PIB per cápita real (año base 2001) creció a un ritmo promedio anual de 0.91% para el período 2001-2011, pasando de Q12,776.6 en el año 2001 a Q14,061.4 en el año 2011</w:t>
      </w:r>
      <w:r w:rsidR="00296FF9" w:rsidRPr="00BC44FA">
        <w:rPr>
          <w:rFonts w:cs="Arial"/>
          <w:sz w:val="24"/>
          <w:szCs w:val="24"/>
        </w:rPr>
        <w:t xml:space="preserve"> (</w:t>
      </w:r>
      <w:r>
        <w:rPr>
          <w:rFonts w:cs="Calibri"/>
          <w:sz w:val="24"/>
          <w:szCs w:val="24"/>
          <w:lang w:val="es-MX"/>
        </w:rPr>
        <w:t xml:space="preserve">IARNA-URL y </w:t>
      </w:r>
      <w:r w:rsidR="00296FF9" w:rsidRPr="00BC44FA">
        <w:rPr>
          <w:rFonts w:cs="Calibri"/>
          <w:sz w:val="24"/>
          <w:szCs w:val="24"/>
          <w:lang w:val="es-MX"/>
        </w:rPr>
        <w:t>SEGEPLAN, 2012</w:t>
      </w:r>
      <w:r w:rsidR="00296FF9" w:rsidRPr="00BC44FA">
        <w:rPr>
          <w:rFonts w:cs="Arial"/>
          <w:sz w:val="24"/>
          <w:szCs w:val="24"/>
        </w:rPr>
        <w:t>).</w:t>
      </w:r>
    </w:p>
    <w:p w:rsidR="00B86961" w:rsidRDefault="00B86961" w:rsidP="00296FF9">
      <w:pPr>
        <w:pStyle w:val="Sinespaciado"/>
        <w:ind w:left="360"/>
        <w:jc w:val="both"/>
        <w:rPr>
          <w:rFonts w:cs="Arial"/>
          <w:color w:val="FF0000"/>
          <w:sz w:val="24"/>
          <w:szCs w:val="24"/>
        </w:rPr>
      </w:pPr>
    </w:p>
    <w:p w:rsidR="00B86961" w:rsidRPr="00296FF9" w:rsidRDefault="00296FF9" w:rsidP="00EC05B0">
      <w:pPr>
        <w:pStyle w:val="Prrafodelista"/>
        <w:numPr>
          <w:ilvl w:val="0"/>
          <w:numId w:val="67"/>
        </w:numPr>
        <w:autoSpaceDE w:val="0"/>
        <w:autoSpaceDN w:val="0"/>
        <w:adjustRightInd w:val="0"/>
        <w:jc w:val="both"/>
        <w:rPr>
          <w:rFonts w:cs="Calibri"/>
          <w:b/>
          <w:color w:val="365F91"/>
          <w:lang w:eastAsia="es-GT"/>
        </w:rPr>
      </w:pPr>
      <w:r>
        <w:rPr>
          <w:rFonts w:cs="Calibri"/>
          <w:b/>
          <w:color w:val="365F91"/>
          <w:lang w:eastAsia="es-GT"/>
        </w:rPr>
        <w:t xml:space="preserve"> </w:t>
      </w:r>
      <w:bookmarkStart w:id="86" w:name="_Toc331535179"/>
      <w:r w:rsidR="00B86961" w:rsidRPr="00296FF9">
        <w:rPr>
          <w:rFonts w:cs="Calibri"/>
          <w:b/>
          <w:color w:val="365F91"/>
          <w:lang w:eastAsia="es-GT"/>
        </w:rPr>
        <w:t>Déficit fiscal del presupuesto con respecto al PIB</w:t>
      </w:r>
      <w:bookmarkEnd w:id="86"/>
    </w:p>
    <w:p w:rsidR="00B86961" w:rsidRPr="00BC44FA" w:rsidRDefault="00B86961" w:rsidP="00C470CE">
      <w:pPr>
        <w:pStyle w:val="Sinespaciado"/>
        <w:ind w:left="720"/>
        <w:jc w:val="both"/>
        <w:rPr>
          <w:sz w:val="24"/>
          <w:szCs w:val="24"/>
        </w:rPr>
      </w:pPr>
      <w:r w:rsidRPr="00BC44FA">
        <w:rPr>
          <w:sz w:val="24"/>
          <w:szCs w:val="24"/>
        </w:rPr>
        <w:t>El déficit</w:t>
      </w:r>
      <w:r w:rsidR="00296FF9" w:rsidRPr="00BC44FA">
        <w:rPr>
          <w:sz w:val="24"/>
          <w:szCs w:val="24"/>
        </w:rPr>
        <w:t xml:space="preserve"> </w:t>
      </w:r>
      <w:r w:rsidRPr="00BC44FA">
        <w:rPr>
          <w:sz w:val="24"/>
          <w:szCs w:val="24"/>
        </w:rPr>
        <w:t>fiscal es el resultado negativo de la diferencia entre los ingresos y los egresos públicos en un período determinado, con respecto al producto interno bruto.</w:t>
      </w:r>
      <w:r w:rsidR="00296FF9" w:rsidRPr="00BC44FA">
        <w:rPr>
          <w:sz w:val="24"/>
          <w:szCs w:val="24"/>
        </w:rPr>
        <w:t xml:space="preserve"> </w:t>
      </w:r>
      <w:r w:rsidRPr="00BC44FA">
        <w:rPr>
          <w:sz w:val="24"/>
          <w:szCs w:val="24"/>
        </w:rPr>
        <w:t>Este concepto abarca al sector público consolidado, al gobierno central y al sector público no financiero.</w:t>
      </w:r>
      <w:r w:rsidR="00296FF9" w:rsidRPr="00BC44FA">
        <w:rPr>
          <w:sz w:val="24"/>
          <w:szCs w:val="24"/>
        </w:rPr>
        <w:t xml:space="preserve"> </w:t>
      </w:r>
      <w:r w:rsidRPr="00BC44FA">
        <w:rPr>
          <w:sz w:val="24"/>
          <w:szCs w:val="24"/>
        </w:rPr>
        <w:t>El déficit ocurre cuando los compromisos u obligaciones de pago adquiridos por el gobierno son mayores a</w:t>
      </w:r>
      <w:r w:rsidR="00296FF9" w:rsidRPr="00BC44FA">
        <w:rPr>
          <w:sz w:val="24"/>
          <w:szCs w:val="24"/>
        </w:rPr>
        <w:t xml:space="preserve"> </w:t>
      </w:r>
      <w:r w:rsidRPr="00BC44FA">
        <w:rPr>
          <w:sz w:val="24"/>
          <w:szCs w:val="24"/>
        </w:rPr>
        <w:t>los ingresos recaudados.</w:t>
      </w:r>
      <w:r w:rsidR="00296FF9" w:rsidRPr="00BC44FA">
        <w:rPr>
          <w:sz w:val="24"/>
          <w:szCs w:val="24"/>
        </w:rPr>
        <w:t xml:space="preserve"> </w:t>
      </w:r>
      <w:r w:rsidR="000F3351">
        <w:rPr>
          <w:sz w:val="24"/>
          <w:szCs w:val="24"/>
        </w:rPr>
        <w:t xml:space="preserve"> </w:t>
      </w:r>
    </w:p>
    <w:p w:rsidR="00B86961" w:rsidRPr="00BC44FA" w:rsidRDefault="00B86961" w:rsidP="00C470CE">
      <w:pPr>
        <w:pStyle w:val="Sinespaciado"/>
        <w:ind w:left="720"/>
        <w:jc w:val="both"/>
        <w:rPr>
          <w:sz w:val="24"/>
          <w:szCs w:val="24"/>
        </w:rPr>
      </w:pPr>
    </w:p>
    <w:p w:rsidR="00B86961" w:rsidRPr="00BC44FA" w:rsidRDefault="00AD02F2" w:rsidP="00C470CE">
      <w:pPr>
        <w:pStyle w:val="Sinespaciado"/>
        <w:ind w:left="720"/>
        <w:jc w:val="both"/>
        <w:rPr>
          <w:sz w:val="24"/>
          <w:szCs w:val="24"/>
        </w:rPr>
      </w:pPr>
      <w:r w:rsidRPr="00BC44FA">
        <w:rPr>
          <w:sz w:val="24"/>
          <w:szCs w:val="24"/>
        </w:rPr>
        <w:t>E</w:t>
      </w:r>
      <w:r w:rsidR="000F3351">
        <w:rPr>
          <w:sz w:val="24"/>
          <w:szCs w:val="24"/>
        </w:rPr>
        <w:t>l déficit fiscal para Guatemala</w:t>
      </w:r>
      <w:r w:rsidR="00B86961" w:rsidRPr="00BC44FA">
        <w:rPr>
          <w:sz w:val="24"/>
          <w:szCs w:val="24"/>
        </w:rPr>
        <w:t xml:space="preserve"> mantuvo un comportamiento estable </w:t>
      </w:r>
      <w:r w:rsidR="000F3351" w:rsidRPr="00BC44FA">
        <w:rPr>
          <w:sz w:val="24"/>
          <w:szCs w:val="24"/>
        </w:rPr>
        <w:t xml:space="preserve">para los años 2001-2008 </w:t>
      </w:r>
      <w:r w:rsidR="00B86961" w:rsidRPr="00BC44FA">
        <w:rPr>
          <w:sz w:val="24"/>
          <w:szCs w:val="24"/>
        </w:rPr>
        <w:t>c</w:t>
      </w:r>
      <w:r w:rsidR="000F3351">
        <w:rPr>
          <w:sz w:val="24"/>
          <w:szCs w:val="24"/>
        </w:rPr>
        <w:t>on un promedio de -1.7% del PIB. S</w:t>
      </w:r>
      <w:r w:rsidR="00B86961" w:rsidRPr="00BC44FA">
        <w:rPr>
          <w:sz w:val="24"/>
          <w:szCs w:val="24"/>
        </w:rPr>
        <w:t>in emb</w:t>
      </w:r>
      <w:r w:rsidR="00BC44FA" w:rsidRPr="00BC44FA">
        <w:rPr>
          <w:sz w:val="24"/>
          <w:szCs w:val="24"/>
        </w:rPr>
        <w:t>argo</w:t>
      </w:r>
      <w:r w:rsidR="000F3351">
        <w:rPr>
          <w:sz w:val="24"/>
          <w:szCs w:val="24"/>
        </w:rPr>
        <w:t>,</w:t>
      </w:r>
      <w:r w:rsidR="00BC44FA" w:rsidRPr="00BC44FA">
        <w:rPr>
          <w:sz w:val="24"/>
          <w:szCs w:val="24"/>
        </w:rPr>
        <w:t xml:space="preserve"> esta cantidad se incrementó</w:t>
      </w:r>
      <w:r w:rsidR="00B86961" w:rsidRPr="00BC44FA">
        <w:rPr>
          <w:sz w:val="24"/>
          <w:szCs w:val="24"/>
        </w:rPr>
        <w:t xml:space="preserve"> aceleradamente para los años 2009 y 2010</w:t>
      </w:r>
      <w:r w:rsidR="000F3351">
        <w:rPr>
          <w:sz w:val="24"/>
          <w:szCs w:val="24"/>
        </w:rPr>
        <w:t>,</w:t>
      </w:r>
      <w:r w:rsidR="00B86961" w:rsidRPr="00BC44FA">
        <w:rPr>
          <w:sz w:val="24"/>
          <w:szCs w:val="24"/>
        </w:rPr>
        <w:t xml:space="preserve"> llegando a un déficit de -3.1% y -3.3% del PIB respectivamente</w:t>
      </w:r>
      <w:r w:rsidR="000F3351">
        <w:rPr>
          <w:sz w:val="24"/>
          <w:szCs w:val="24"/>
        </w:rPr>
        <w:t>,</w:t>
      </w:r>
      <w:r w:rsidR="00B86961" w:rsidRPr="00BC44FA">
        <w:rPr>
          <w:sz w:val="24"/>
          <w:szCs w:val="24"/>
        </w:rPr>
        <w:t xml:space="preserve"> revirtiéndose levemente la tendencia para el 2011 con un valor de -2.9</w:t>
      </w:r>
      <w:r w:rsidRPr="00BC44FA">
        <w:rPr>
          <w:sz w:val="24"/>
          <w:szCs w:val="24"/>
        </w:rPr>
        <w:t xml:space="preserve">. Estos </w:t>
      </w:r>
      <w:r w:rsidR="00B86961" w:rsidRPr="00BC44FA">
        <w:rPr>
          <w:sz w:val="24"/>
          <w:szCs w:val="24"/>
        </w:rPr>
        <w:t xml:space="preserve">cambios acelerados han provocado que </w:t>
      </w:r>
      <w:r w:rsidRPr="00BC44FA">
        <w:rPr>
          <w:sz w:val="24"/>
          <w:szCs w:val="24"/>
        </w:rPr>
        <w:t>e</w:t>
      </w:r>
      <w:r w:rsidR="00B86961" w:rsidRPr="00BC44FA">
        <w:rPr>
          <w:sz w:val="24"/>
          <w:szCs w:val="24"/>
        </w:rPr>
        <w:t>l Gobierno los financie con más deuda y bonos, creando un escenario insostenible para el país.</w:t>
      </w:r>
      <w:r w:rsidR="00296FF9" w:rsidRPr="00BC44FA">
        <w:rPr>
          <w:sz w:val="24"/>
          <w:szCs w:val="24"/>
        </w:rPr>
        <w:t xml:space="preserve"> </w:t>
      </w:r>
      <w:r w:rsidR="00B86961" w:rsidRPr="00BC44FA">
        <w:rPr>
          <w:sz w:val="24"/>
          <w:szCs w:val="24"/>
        </w:rPr>
        <w:t>La tendencia media anual de variación de este indicador fue de 3.18</w:t>
      </w:r>
      <w:r w:rsidRPr="00BC44FA">
        <w:rPr>
          <w:sz w:val="24"/>
          <w:szCs w:val="24"/>
        </w:rPr>
        <w:t>%</w:t>
      </w:r>
      <w:r w:rsidR="000F3351">
        <w:rPr>
          <w:sz w:val="24"/>
          <w:szCs w:val="24"/>
        </w:rPr>
        <w:t>, lo cual es considerado</w:t>
      </w:r>
      <w:r w:rsidRPr="00BC44FA">
        <w:rPr>
          <w:sz w:val="24"/>
          <w:szCs w:val="24"/>
        </w:rPr>
        <w:t xml:space="preserve"> como</w:t>
      </w:r>
      <w:r w:rsidR="00B86961" w:rsidRPr="00BC44FA">
        <w:rPr>
          <w:sz w:val="24"/>
          <w:szCs w:val="24"/>
        </w:rPr>
        <w:t xml:space="preserve"> una tendencia no deseada</w:t>
      </w:r>
      <w:r w:rsidRPr="00BC44FA">
        <w:rPr>
          <w:rFonts w:cs="Arial"/>
          <w:sz w:val="24"/>
          <w:szCs w:val="24"/>
        </w:rPr>
        <w:t xml:space="preserve"> (</w:t>
      </w:r>
      <w:r w:rsidR="000F3351">
        <w:rPr>
          <w:rFonts w:cs="Calibri"/>
          <w:sz w:val="24"/>
          <w:szCs w:val="24"/>
          <w:lang w:val="es-MX"/>
        </w:rPr>
        <w:t xml:space="preserve">IARNA-URL y </w:t>
      </w:r>
      <w:r w:rsidRPr="00BC44FA">
        <w:rPr>
          <w:rFonts w:cs="Calibri"/>
          <w:sz w:val="24"/>
          <w:szCs w:val="24"/>
          <w:lang w:val="es-MX"/>
        </w:rPr>
        <w:t>SEGEPLAN, 2012</w:t>
      </w:r>
      <w:r w:rsidRPr="00BC44FA">
        <w:rPr>
          <w:rFonts w:cs="Arial"/>
          <w:sz w:val="24"/>
          <w:szCs w:val="24"/>
        </w:rPr>
        <w:t>)</w:t>
      </w:r>
      <w:r w:rsidR="00B86961" w:rsidRPr="00BC44FA">
        <w:rPr>
          <w:sz w:val="24"/>
          <w:szCs w:val="24"/>
        </w:rPr>
        <w:t>.</w:t>
      </w:r>
      <w:r w:rsidR="000F3351">
        <w:rPr>
          <w:sz w:val="24"/>
          <w:szCs w:val="24"/>
        </w:rPr>
        <w:t xml:space="preserve"> </w:t>
      </w:r>
    </w:p>
    <w:p w:rsidR="00B86961" w:rsidRDefault="00B86961" w:rsidP="00296FF9">
      <w:pPr>
        <w:pStyle w:val="Sinespaciado"/>
        <w:ind w:left="360"/>
        <w:jc w:val="both"/>
        <w:rPr>
          <w:color w:val="FF0000"/>
          <w:sz w:val="24"/>
          <w:szCs w:val="24"/>
        </w:rPr>
      </w:pPr>
    </w:p>
    <w:p w:rsidR="00B86961" w:rsidRPr="00296FF9" w:rsidRDefault="00B86961" w:rsidP="00EC05B0">
      <w:pPr>
        <w:pStyle w:val="Prrafodelista"/>
        <w:numPr>
          <w:ilvl w:val="0"/>
          <w:numId w:val="67"/>
        </w:numPr>
        <w:autoSpaceDE w:val="0"/>
        <w:autoSpaceDN w:val="0"/>
        <w:adjustRightInd w:val="0"/>
        <w:jc w:val="both"/>
        <w:rPr>
          <w:rFonts w:cs="Calibri"/>
          <w:b/>
          <w:color w:val="365F91"/>
          <w:lang w:eastAsia="es-GT"/>
        </w:rPr>
      </w:pPr>
      <w:bookmarkStart w:id="87" w:name="_Toc331535180"/>
      <w:r w:rsidRPr="00296FF9">
        <w:rPr>
          <w:rFonts w:cs="Calibri"/>
          <w:b/>
          <w:color w:val="365F91"/>
          <w:lang w:eastAsia="es-GT"/>
        </w:rPr>
        <w:t>Formación bruta de capital fijo con respecto al PIB</w:t>
      </w:r>
      <w:bookmarkEnd w:id="87"/>
    </w:p>
    <w:p w:rsidR="00B86961" w:rsidRPr="00BC44FA" w:rsidRDefault="00B86961" w:rsidP="00C470CE">
      <w:pPr>
        <w:pStyle w:val="Sinespaciado"/>
        <w:ind w:left="720"/>
        <w:jc w:val="both"/>
        <w:rPr>
          <w:rFonts w:cs="Arial"/>
          <w:sz w:val="24"/>
          <w:szCs w:val="24"/>
        </w:rPr>
      </w:pPr>
      <w:r w:rsidRPr="00BC44FA">
        <w:rPr>
          <w:rFonts w:cs="Arial"/>
          <w:sz w:val="24"/>
          <w:szCs w:val="24"/>
        </w:rPr>
        <w:t>La formación bruta de capital fijo registra el valor total de las adquisiciones menos las disposiciones de activos fijos efectuadas por el productor en un período contable, así como ciertas adiciones al valor de los activos no producidos realizadas por la actividad productiva de las unidades institucionales.</w:t>
      </w:r>
      <w:r w:rsidR="00296FF9" w:rsidRPr="00BC44FA">
        <w:rPr>
          <w:rFonts w:cs="Arial"/>
          <w:sz w:val="24"/>
          <w:szCs w:val="24"/>
        </w:rPr>
        <w:t xml:space="preserve"> </w:t>
      </w:r>
      <w:r w:rsidRPr="00BC44FA">
        <w:rPr>
          <w:rFonts w:cs="Arial"/>
          <w:sz w:val="24"/>
          <w:szCs w:val="24"/>
        </w:rPr>
        <w:t>Los activos fijos se obtienen como resultado de procesos de producción, y a su vez, se utilizan repetida o continuamente en otros procesos de producción durante más de un año; éstos pueden ser tangibles o intangibles (</w:t>
      </w:r>
      <w:r w:rsidRPr="000F3351">
        <w:rPr>
          <w:rFonts w:cs="Arial"/>
          <w:sz w:val="24"/>
          <w:szCs w:val="24"/>
          <w:highlight w:val="magenta"/>
        </w:rPr>
        <w:t>BANGUAT, 2007).</w:t>
      </w:r>
      <w:r w:rsidR="00296FF9" w:rsidRPr="00BC44FA">
        <w:rPr>
          <w:rFonts w:cs="Arial"/>
          <w:sz w:val="24"/>
          <w:szCs w:val="24"/>
        </w:rPr>
        <w:t xml:space="preserve"> </w:t>
      </w:r>
      <w:r w:rsidRPr="00BC44FA">
        <w:rPr>
          <w:rFonts w:cs="Arial"/>
          <w:sz w:val="24"/>
          <w:szCs w:val="24"/>
        </w:rPr>
        <w:t>En pocas palabras</w:t>
      </w:r>
      <w:r w:rsidR="001C1B1A">
        <w:rPr>
          <w:rFonts w:cs="Arial"/>
          <w:sz w:val="24"/>
          <w:szCs w:val="24"/>
        </w:rPr>
        <w:t>,</w:t>
      </w:r>
      <w:r w:rsidRPr="00BC44FA">
        <w:rPr>
          <w:rFonts w:cs="Arial"/>
          <w:sz w:val="24"/>
          <w:szCs w:val="24"/>
        </w:rPr>
        <w:t xml:space="preserve"> es el valor de todos los bienes que se utilicen para la generación de otros bienes, como toda la infraestructura para una fábrica, maquinarias, puentes, carreteras, etc.</w:t>
      </w:r>
    </w:p>
    <w:p w:rsidR="00B86961" w:rsidRPr="00BC44FA" w:rsidRDefault="00B86961" w:rsidP="00C470CE">
      <w:pPr>
        <w:pStyle w:val="Sinespaciado"/>
        <w:ind w:left="720"/>
        <w:jc w:val="both"/>
        <w:rPr>
          <w:rFonts w:cs="Arial"/>
          <w:sz w:val="24"/>
          <w:szCs w:val="24"/>
        </w:rPr>
      </w:pPr>
    </w:p>
    <w:p w:rsidR="00B86961" w:rsidRPr="00BC44FA" w:rsidRDefault="00B86961" w:rsidP="00C470CE">
      <w:pPr>
        <w:pStyle w:val="Sinespaciado"/>
        <w:ind w:left="720"/>
        <w:jc w:val="both"/>
        <w:rPr>
          <w:rFonts w:cs="Arial"/>
          <w:sz w:val="24"/>
          <w:szCs w:val="24"/>
        </w:rPr>
      </w:pPr>
      <w:r w:rsidRPr="00BC44FA">
        <w:rPr>
          <w:rFonts w:cs="Arial"/>
          <w:sz w:val="24"/>
          <w:szCs w:val="24"/>
        </w:rPr>
        <w:t>El crecimiento económico está asoc</w:t>
      </w:r>
      <w:r w:rsidR="0037653D">
        <w:rPr>
          <w:rFonts w:cs="Arial"/>
          <w:sz w:val="24"/>
          <w:szCs w:val="24"/>
        </w:rPr>
        <w:t xml:space="preserve">iado a un mayor dinamismo en </w:t>
      </w:r>
      <w:r w:rsidRPr="00BC44FA">
        <w:rPr>
          <w:rFonts w:cs="Arial"/>
          <w:sz w:val="24"/>
          <w:szCs w:val="24"/>
        </w:rPr>
        <w:t xml:space="preserve">la demanda interna (consumo </w:t>
      </w:r>
      <w:r w:rsidR="001C1B1A">
        <w:rPr>
          <w:rFonts w:cs="Arial"/>
          <w:sz w:val="24"/>
          <w:szCs w:val="24"/>
        </w:rPr>
        <w:t>privado y del gobierno general). D</w:t>
      </w:r>
      <w:r w:rsidR="007C1574">
        <w:rPr>
          <w:rFonts w:cs="Arial"/>
          <w:sz w:val="24"/>
          <w:szCs w:val="24"/>
        </w:rPr>
        <w:t>e acuerdo con</w:t>
      </w:r>
      <w:r w:rsidRPr="00BC44FA">
        <w:rPr>
          <w:rFonts w:cs="Arial"/>
          <w:sz w:val="24"/>
          <w:szCs w:val="24"/>
        </w:rPr>
        <w:t xml:space="preserve"> datos del BANGUAT, la formación bruta de capital fijo representó el 18.3% del PIB para el año 2001, llegando a su punto </w:t>
      </w:r>
      <w:r w:rsidR="00AD02F2" w:rsidRPr="00BC44FA">
        <w:rPr>
          <w:rFonts w:cs="Arial"/>
          <w:sz w:val="24"/>
          <w:szCs w:val="24"/>
        </w:rPr>
        <w:t>más</w:t>
      </w:r>
      <w:r w:rsidRPr="00BC44FA">
        <w:rPr>
          <w:rFonts w:cs="Arial"/>
          <w:sz w:val="24"/>
          <w:szCs w:val="24"/>
        </w:rPr>
        <w:t xml:space="preserve"> alto en el año 2</w:t>
      </w:r>
      <w:r w:rsidR="007C1574">
        <w:rPr>
          <w:rFonts w:cs="Arial"/>
          <w:sz w:val="24"/>
          <w:szCs w:val="24"/>
        </w:rPr>
        <w:t>006</w:t>
      </w:r>
      <w:r w:rsidRPr="00BC44FA">
        <w:rPr>
          <w:rFonts w:cs="Arial"/>
          <w:sz w:val="24"/>
          <w:szCs w:val="24"/>
        </w:rPr>
        <w:t xml:space="preserve"> deb</w:t>
      </w:r>
      <w:r w:rsidR="007C1574">
        <w:rPr>
          <w:rFonts w:cs="Arial"/>
          <w:sz w:val="24"/>
          <w:szCs w:val="24"/>
        </w:rPr>
        <w:t>ido al crecimiento económico</w:t>
      </w:r>
      <w:r w:rsidR="001C1B1A">
        <w:rPr>
          <w:rFonts w:cs="Arial"/>
          <w:sz w:val="24"/>
          <w:szCs w:val="24"/>
        </w:rPr>
        <w:t xml:space="preserve"> en ese período. En el 2009 se presentó</w:t>
      </w:r>
      <w:r w:rsidRPr="00BC44FA">
        <w:rPr>
          <w:rFonts w:cs="Arial"/>
          <w:sz w:val="24"/>
          <w:szCs w:val="24"/>
        </w:rPr>
        <w:t xml:space="preserve"> el valor más bajo </w:t>
      </w:r>
      <w:r w:rsidR="001C1B1A">
        <w:rPr>
          <w:rFonts w:cs="Arial"/>
          <w:sz w:val="24"/>
          <w:szCs w:val="24"/>
        </w:rPr>
        <w:t>d</w:t>
      </w:r>
      <w:r w:rsidRPr="00BC44FA">
        <w:rPr>
          <w:rFonts w:cs="Arial"/>
          <w:sz w:val="24"/>
          <w:szCs w:val="24"/>
        </w:rPr>
        <w:t>el período analizado, llegando a 15.2% del PIB</w:t>
      </w:r>
      <w:r w:rsidR="001C1B1A" w:rsidRPr="001C1B1A">
        <w:rPr>
          <w:rFonts w:cs="Arial"/>
          <w:sz w:val="24"/>
          <w:szCs w:val="24"/>
        </w:rPr>
        <w:t xml:space="preserve"> </w:t>
      </w:r>
      <w:r w:rsidR="001C1B1A">
        <w:rPr>
          <w:rFonts w:cs="Arial"/>
          <w:sz w:val="24"/>
          <w:szCs w:val="24"/>
        </w:rPr>
        <w:t>en e</w:t>
      </w:r>
      <w:r w:rsidR="001C1B1A" w:rsidRPr="00BC44FA">
        <w:rPr>
          <w:rFonts w:cs="Arial"/>
          <w:sz w:val="24"/>
          <w:szCs w:val="24"/>
        </w:rPr>
        <w:t>l 2010</w:t>
      </w:r>
      <w:r w:rsidRPr="00BC44FA">
        <w:rPr>
          <w:rFonts w:cs="Arial"/>
          <w:sz w:val="24"/>
          <w:szCs w:val="24"/>
        </w:rPr>
        <w:t>.</w:t>
      </w:r>
      <w:r w:rsidR="00296FF9" w:rsidRPr="00BC44FA">
        <w:rPr>
          <w:rFonts w:cs="Arial"/>
          <w:sz w:val="24"/>
          <w:szCs w:val="24"/>
        </w:rPr>
        <w:t xml:space="preserve"> </w:t>
      </w:r>
      <w:r w:rsidRPr="00BC44FA">
        <w:rPr>
          <w:rFonts w:cs="Arial"/>
          <w:sz w:val="24"/>
          <w:szCs w:val="24"/>
        </w:rPr>
        <w:t>E</w:t>
      </w:r>
      <w:r w:rsidR="00AD02F2" w:rsidRPr="00BC44FA">
        <w:rPr>
          <w:rFonts w:cs="Arial"/>
          <w:sz w:val="24"/>
          <w:szCs w:val="24"/>
        </w:rPr>
        <w:t xml:space="preserve">l </w:t>
      </w:r>
      <w:r w:rsidR="00AD02F2" w:rsidRPr="00BC44FA">
        <w:rPr>
          <w:rFonts w:cs="Arial"/>
          <w:sz w:val="24"/>
          <w:szCs w:val="24"/>
        </w:rPr>
        <w:lastRenderedPageBreak/>
        <w:t>desempeño del</w:t>
      </w:r>
      <w:r w:rsidRPr="00BC44FA">
        <w:rPr>
          <w:rFonts w:cs="Arial"/>
          <w:sz w:val="24"/>
          <w:szCs w:val="24"/>
        </w:rPr>
        <w:t xml:space="preserve"> indicador muestra una tendencia negativa con una media anual de 2.8%</w:t>
      </w:r>
      <w:r w:rsidR="00AD02F2" w:rsidRPr="00BC44FA">
        <w:rPr>
          <w:rFonts w:cs="Arial"/>
          <w:sz w:val="24"/>
          <w:szCs w:val="24"/>
        </w:rPr>
        <w:t xml:space="preserve"> (</w:t>
      </w:r>
      <w:r w:rsidR="001C1B1A">
        <w:rPr>
          <w:rFonts w:cs="Calibri"/>
          <w:sz w:val="24"/>
          <w:szCs w:val="24"/>
          <w:lang w:val="es-MX"/>
        </w:rPr>
        <w:t xml:space="preserve">IARNA-URL y </w:t>
      </w:r>
      <w:r w:rsidR="00AD02F2" w:rsidRPr="00BC44FA">
        <w:rPr>
          <w:rFonts w:cs="Calibri"/>
          <w:sz w:val="24"/>
          <w:szCs w:val="24"/>
          <w:lang w:val="es-MX"/>
        </w:rPr>
        <w:t>SEGEPLAN, 2012</w:t>
      </w:r>
      <w:r w:rsidR="00AD02F2" w:rsidRPr="00BC44FA">
        <w:rPr>
          <w:rFonts w:cs="Arial"/>
          <w:sz w:val="24"/>
          <w:szCs w:val="24"/>
        </w:rPr>
        <w:t>)</w:t>
      </w:r>
      <w:r w:rsidRPr="00BC44FA">
        <w:rPr>
          <w:rFonts w:cs="Arial"/>
          <w:sz w:val="24"/>
          <w:szCs w:val="24"/>
        </w:rPr>
        <w:t>.</w:t>
      </w:r>
      <w:r w:rsidR="00AD02F2" w:rsidRPr="00BC44FA">
        <w:rPr>
          <w:rFonts w:cs="Arial"/>
          <w:sz w:val="24"/>
          <w:szCs w:val="24"/>
        </w:rPr>
        <w:t xml:space="preserve"> </w:t>
      </w:r>
      <w:r w:rsidRPr="00BC44FA">
        <w:rPr>
          <w:rFonts w:cs="Arial"/>
          <w:sz w:val="24"/>
          <w:szCs w:val="24"/>
        </w:rPr>
        <w:t xml:space="preserve">De acuerdo </w:t>
      </w:r>
      <w:r w:rsidR="0037653D">
        <w:rPr>
          <w:rFonts w:cs="Arial"/>
          <w:sz w:val="24"/>
          <w:szCs w:val="24"/>
        </w:rPr>
        <w:t>con</w:t>
      </w:r>
      <w:r>
        <w:rPr>
          <w:rFonts w:cs="Arial"/>
          <w:color w:val="FF0000"/>
          <w:sz w:val="24"/>
          <w:szCs w:val="24"/>
        </w:rPr>
        <w:t xml:space="preserve"> </w:t>
      </w:r>
      <w:r w:rsidRPr="00BC44FA">
        <w:rPr>
          <w:rFonts w:cs="Arial"/>
          <w:sz w:val="24"/>
          <w:szCs w:val="24"/>
        </w:rPr>
        <w:t>los datos del Banco Mundial sobre formación bruta de capital con respecto al PIB, Guatemala ocupa el penú</w:t>
      </w:r>
      <w:r w:rsidR="0037653D">
        <w:rPr>
          <w:rFonts w:cs="Arial"/>
          <w:sz w:val="24"/>
          <w:szCs w:val="24"/>
        </w:rPr>
        <w:t>ltimo lugar de Latinoamérica, só</w:t>
      </w:r>
      <w:r w:rsidRPr="00BC44FA">
        <w:rPr>
          <w:rFonts w:cs="Arial"/>
          <w:sz w:val="24"/>
          <w:szCs w:val="24"/>
        </w:rPr>
        <w:t>lo por encima de El Salvador (13%PIB).</w:t>
      </w:r>
    </w:p>
    <w:p w:rsidR="00B86961" w:rsidRDefault="00B86961" w:rsidP="00296FF9">
      <w:pPr>
        <w:pStyle w:val="Sinespaciado"/>
        <w:ind w:left="360"/>
        <w:jc w:val="both"/>
        <w:rPr>
          <w:rFonts w:cs="Arial"/>
          <w:color w:val="FF0000"/>
          <w:sz w:val="24"/>
          <w:szCs w:val="24"/>
        </w:rPr>
      </w:pPr>
    </w:p>
    <w:p w:rsidR="00B86961" w:rsidRPr="00296FF9" w:rsidRDefault="00B86961" w:rsidP="00EC05B0">
      <w:pPr>
        <w:pStyle w:val="Prrafodelista"/>
        <w:numPr>
          <w:ilvl w:val="0"/>
          <w:numId w:val="67"/>
        </w:numPr>
        <w:autoSpaceDE w:val="0"/>
        <w:autoSpaceDN w:val="0"/>
        <w:adjustRightInd w:val="0"/>
        <w:jc w:val="both"/>
        <w:rPr>
          <w:rFonts w:cs="Calibri"/>
          <w:b/>
          <w:color w:val="365F91"/>
          <w:lang w:eastAsia="es-GT"/>
        </w:rPr>
      </w:pPr>
      <w:bookmarkStart w:id="88" w:name="_Toc331535181"/>
      <w:r w:rsidRPr="00296FF9">
        <w:rPr>
          <w:rFonts w:cs="Calibri"/>
          <w:b/>
          <w:color w:val="365F91"/>
          <w:lang w:eastAsia="es-GT"/>
        </w:rPr>
        <w:t>Proporción del PIB destinada a capital</w:t>
      </w:r>
      <w:bookmarkEnd w:id="88"/>
    </w:p>
    <w:p w:rsidR="00B86961" w:rsidRPr="00BC44FA" w:rsidRDefault="00B86961" w:rsidP="00C470CE">
      <w:pPr>
        <w:pStyle w:val="Sinespaciado"/>
        <w:ind w:left="720"/>
        <w:jc w:val="both"/>
        <w:rPr>
          <w:sz w:val="24"/>
          <w:szCs w:val="24"/>
        </w:rPr>
      </w:pPr>
      <w:r w:rsidRPr="00BC44FA">
        <w:rPr>
          <w:sz w:val="24"/>
          <w:szCs w:val="24"/>
        </w:rPr>
        <w:t>Este indicador es la suma del excedente de explotación y el ingreso mixto</w:t>
      </w:r>
      <w:r w:rsidR="00296FF9" w:rsidRPr="00BC44FA">
        <w:rPr>
          <w:sz w:val="24"/>
          <w:szCs w:val="24"/>
        </w:rPr>
        <w:t xml:space="preserve">, entendiéndose </w:t>
      </w:r>
      <w:r w:rsidRPr="00BC44FA">
        <w:rPr>
          <w:sz w:val="24"/>
          <w:szCs w:val="24"/>
        </w:rPr>
        <w:t>como excedente de explotación los pagos a la propiedad (intereses, regalías y utilidades) y las remuneraciones a los empresarios, así como los pagos a la mano de obra no asalariada</w:t>
      </w:r>
      <w:r w:rsidR="0037653D">
        <w:rPr>
          <w:sz w:val="24"/>
          <w:szCs w:val="24"/>
        </w:rPr>
        <w:t>;</w:t>
      </w:r>
      <w:r w:rsidRPr="00BC44FA">
        <w:rPr>
          <w:sz w:val="24"/>
          <w:szCs w:val="24"/>
        </w:rPr>
        <w:t xml:space="preserve"> y el ingreso mixto como el excedente de las actividades productivas de una empr</w:t>
      </w:r>
      <w:r w:rsidR="0037653D">
        <w:rPr>
          <w:sz w:val="24"/>
          <w:szCs w:val="24"/>
        </w:rPr>
        <w:t>esa no constituida en sociedad. Los hogares</w:t>
      </w:r>
      <w:r w:rsidRPr="00BC44FA">
        <w:rPr>
          <w:sz w:val="24"/>
          <w:szCs w:val="24"/>
        </w:rPr>
        <w:t xml:space="preserve"> representa</w:t>
      </w:r>
      <w:r w:rsidR="0037653D">
        <w:rPr>
          <w:sz w:val="24"/>
          <w:szCs w:val="24"/>
        </w:rPr>
        <w:t>n</w:t>
      </w:r>
      <w:r w:rsidRPr="00BC44FA">
        <w:rPr>
          <w:sz w:val="24"/>
          <w:szCs w:val="24"/>
        </w:rPr>
        <w:t xml:space="preserve"> una combinación de dos clases diferentes de ingreso, es decir</w:t>
      </w:r>
      <w:r w:rsidR="0037653D">
        <w:rPr>
          <w:sz w:val="24"/>
          <w:szCs w:val="24"/>
        </w:rPr>
        <w:t>,</w:t>
      </w:r>
      <w:r w:rsidRPr="00BC44FA">
        <w:rPr>
          <w:sz w:val="24"/>
          <w:szCs w:val="24"/>
        </w:rPr>
        <w:t xml:space="preserve"> muestra</w:t>
      </w:r>
      <w:r w:rsidR="0037653D">
        <w:rPr>
          <w:sz w:val="24"/>
          <w:szCs w:val="24"/>
        </w:rPr>
        <w:t>n</w:t>
      </w:r>
      <w:r w:rsidRPr="00BC44FA">
        <w:rPr>
          <w:sz w:val="24"/>
          <w:szCs w:val="24"/>
        </w:rPr>
        <w:t xml:space="preserve"> cómo se reparte el ingreso entre las empresas (BANGUAT, 2007).</w:t>
      </w:r>
      <w:r w:rsidR="00296FF9" w:rsidRPr="00BC44FA">
        <w:rPr>
          <w:sz w:val="24"/>
          <w:szCs w:val="24"/>
        </w:rPr>
        <w:t xml:space="preserve"> </w:t>
      </w:r>
      <w:r w:rsidRPr="00BC44FA">
        <w:rPr>
          <w:rFonts w:cs="Arial"/>
          <w:sz w:val="24"/>
          <w:szCs w:val="24"/>
        </w:rPr>
        <w:t xml:space="preserve">Este cálculo del PIB está basado </w:t>
      </w:r>
      <w:r w:rsidR="0037653D">
        <w:rPr>
          <w:rFonts w:cs="Arial"/>
          <w:sz w:val="24"/>
          <w:szCs w:val="24"/>
        </w:rPr>
        <w:t>en el enfoque del ingreso, en do</w:t>
      </w:r>
      <w:r w:rsidRPr="00BC44FA">
        <w:rPr>
          <w:rFonts w:cs="Arial"/>
          <w:sz w:val="24"/>
          <w:szCs w:val="24"/>
        </w:rPr>
        <w:t xml:space="preserve">nde el PIB es la suma de remuneraciones, beneficios empresariales e impuestos, es decir muestra cómo se reparte el ingreso entre los trabajadores, las empresas y el Estado, por lo que permite expresar de forma más clara la distribución desde la perspectiva del modelo socio ecológico. </w:t>
      </w:r>
    </w:p>
    <w:p w:rsidR="00B86961" w:rsidRPr="00BC44FA" w:rsidRDefault="00B86961" w:rsidP="00C470CE">
      <w:pPr>
        <w:pStyle w:val="Sinespaciado"/>
        <w:ind w:left="720"/>
        <w:jc w:val="both"/>
        <w:rPr>
          <w:rFonts w:cs="Arial"/>
          <w:sz w:val="24"/>
          <w:szCs w:val="24"/>
        </w:rPr>
      </w:pPr>
    </w:p>
    <w:p w:rsidR="00B86961" w:rsidRPr="00BC44FA" w:rsidRDefault="0037653D" w:rsidP="00C470CE">
      <w:pPr>
        <w:pStyle w:val="Sinespaciado"/>
        <w:ind w:left="720"/>
        <w:jc w:val="both"/>
        <w:rPr>
          <w:rFonts w:cs="Arial"/>
          <w:sz w:val="24"/>
          <w:szCs w:val="24"/>
        </w:rPr>
      </w:pPr>
      <w:r>
        <w:rPr>
          <w:rFonts w:cs="Arial"/>
          <w:sz w:val="24"/>
          <w:szCs w:val="24"/>
        </w:rPr>
        <w:t>De acuerdo con</w:t>
      </w:r>
      <w:r w:rsidR="00B86961" w:rsidRPr="00BC44FA">
        <w:rPr>
          <w:rFonts w:cs="Arial"/>
          <w:sz w:val="24"/>
          <w:szCs w:val="24"/>
        </w:rPr>
        <w:t xml:space="preserve"> los datos del BANGUAT,</w:t>
      </w:r>
      <w:r>
        <w:rPr>
          <w:rFonts w:cs="Arial"/>
          <w:sz w:val="24"/>
          <w:szCs w:val="24"/>
        </w:rPr>
        <w:t xml:space="preserve"> el porcentaje del PIB destinado</w:t>
      </w:r>
      <w:r w:rsidR="00B86961" w:rsidRPr="00BC44FA">
        <w:rPr>
          <w:rFonts w:cs="Arial"/>
          <w:sz w:val="24"/>
          <w:szCs w:val="24"/>
        </w:rPr>
        <w:t xml:space="preserve"> a capital </w:t>
      </w:r>
      <w:r>
        <w:rPr>
          <w:rFonts w:cs="Arial"/>
          <w:sz w:val="24"/>
          <w:szCs w:val="24"/>
        </w:rPr>
        <w:t>fue del 58.5%</w:t>
      </w:r>
      <w:r w:rsidR="00B86961" w:rsidRPr="00BC44FA">
        <w:rPr>
          <w:rFonts w:cs="Arial"/>
          <w:sz w:val="24"/>
          <w:szCs w:val="24"/>
        </w:rPr>
        <w:t xml:space="preserve"> </w:t>
      </w:r>
      <w:r w:rsidRPr="00BC44FA">
        <w:rPr>
          <w:rFonts w:cs="Arial"/>
          <w:sz w:val="24"/>
          <w:szCs w:val="24"/>
        </w:rPr>
        <w:t>para el 2001</w:t>
      </w:r>
      <w:r>
        <w:rPr>
          <w:rFonts w:cs="Arial"/>
          <w:sz w:val="24"/>
          <w:szCs w:val="24"/>
        </w:rPr>
        <w:t>,</w:t>
      </w:r>
      <w:r w:rsidRPr="00BC44FA">
        <w:rPr>
          <w:rFonts w:cs="Arial"/>
          <w:sz w:val="24"/>
          <w:szCs w:val="24"/>
        </w:rPr>
        <w:t xml:space="preserve"> </w:t>
      </w:r>
      <w:r w:rsidR="00B86961" w:rsidRPr="00BC44FA">
        <w:rPr>
          <w:rFonts w:cs="Arial"/>
          <w:sz w:val="24"/>
          <w:szCs w:val="24"/>
        </w:rPr>
        <w:t>mientras que para el 2010 llegó al 62.8% del PIB, mostrando un crecimiento promedio anual del 0.8% y una tendencia no deseada</w:t>
      </w:r>
      <w:r w:rsidR="00296FF9" w:rsidRPr="00BC44FA">
        <w:rPr>
          <w:rFonts w:cs="Arial"/>
          <w:sz w:val="24"/>
          <w:szCs w:val="24"/>
        </w:rPr>
        <w:t>, lo que indica que su desempeño no es el adecuado (</w:t>
      </w:r>
      <w:r>
        <w:rPr>
          <w:rFonts w:cs="Calibri"/>
          <w:sz w:val="24"/>
          <w:szCs w:val="24"/>
          <w:lang w:val="es-MX"/>
        </w:rPr>
        <w:t xml:space="preserve">IARNA-URL y </w:t>
      </w:r>
      <w:r w:rsidR="00296FF9" w:rsidRPr="00BC44FA">
        <w:rPr>
          <w:rFonts w:cs="Calibri"/>
          <w:sz w:val="24"/>
          <w:szCs w:val="24"/>
          <w:lang w:val="es-MX"/>
        </w:rPr>
        <w:t>SEGEPLAN, 2012</w:t>
      </w:r>
      <w:r w:rsidR="00296FF9" w:rsidRPr="00BC44FA">
        <w:rPr>
          <w:rFonts w:cs="Arial"/>
          <w:sz w:val="24"/>
          <w:szCs w:val="24"/>
        </w:rPr>
        <w:t>).</w:t>
      </w:r>
    </w:p>
    <w:p w:rsidR="00B86961" w:rsidRDefault="00B86961" w:rsidP="00296FF9">
      <w:pPr>
        <w:pStyle w:val="Sinespaciado"/>
        <w:ind w:left="360"/>
        <w:jc w:val="both"/>
        <w:rPr>
          <w:rFonts w:cs="Arial"/>
          <w:color w:val="FF0000"/>
          <w:sz w:val="24"/>
          <w:szCs w:val="24"/>
        </w:rPr>
      </w:pPr>
    </w:p>
    <w:p w:rsidR="00B86961" w:rsidRDefault="00B86961" w:rsidP="00296FF9">
      <w:pPr>
        <w:pStyle w:val="Sinespaciado"/>
        <w:ind w:left="360"/>
        <w:jc w:val="both"/>
        <w:rPr>
          <w:rFonts w:cs="Arial"/>
          <w:color w:val="FF0000"/>
          <w:sz w:val="24"/>
          <w:szCs w:val="24"/>
        </w:rPr>
      </w:pPr>
    </w:p>
    <w:p w:rsidR="007F600D" w:rsidRPr="00296FF9" w:rsidRDefault="007F600D" w:rsidP="00BC44FA">
      <w:pPr>
        <w:pStyle w:val="Prrafodelista"/>
        <w:numPr>
          <w:ilvl w:val="0"/>
          <w:numId w:val="67"/>
        </w:numPr>
        <w:autoSpaceDE w:val="0"/>
        <w:autoSpaceDN w:val="0"/>
        <w:adjustRightInd w:val="0"/>
        <w:jc w:val="both"/>
        <w:rPr>
          <w:rFonts w:cs="Calibri"/>
          <w:b/>
          <w:color w:val="365F91"/>
          <w:lang w:eastAsia="es-GT"/>
        </w:rPr>
      </w:pPr>
      <w:r>
        <w:rPr>
          <w:rFonts w:cs="Calibri"/>
          <w:b/>
          <w:color w:val="365F91"/>
          <w:lang w:eastAsia="es-GT"/>
        </w:rPr>
        <w:t>Síntesis de la situación del Sub-</w:t>
      </w:r>
      <w:r w:rsidR="0037653D">
        <w:rPr>
          <w:rFonts w:cs="Calibri"/>
          <w:b/>
          <w:color w:val="365F91"/>
          <w:lang w:eastAsia="es-GT"/>
        </w:rPr>
        <w:t>s</w:t>
      </w:r>
      <w:r>
        <w:rPr>
          <w:rFonts w:cs="Calibri"/>
          <w:b/>
          <w:color w:val="365F91"/>
          <w:lang w:eastAsia="es-GT"/>
        </w:rPr>
        <w:t xml:space="preserve">istema </w:t>
      </w:r>
      <w:r w:rsidR="0037653D">
        <w:rPr>
          <w:rFonts w:cs="Calibri"/>
          <w:b/>
          <w:color w:val="365F91"/>
          <w:lang w:eastAsia="es-GT"/>
        </w:rPr>
        <w:t>e</w:t>
      </w:r>
      <w:r>
        <w:rPr>
          <w:rFonts w:cs="Calibri"/>
          <w:b/>
          <w:color w:val="365F91"/>
          <w:lang w:eastAsia="es-GT"/>
        </w:rPr>
        <w:t>conómico</w:t>
      </w:r>
    </w:p>
    <w:p w:rsidR="001E0F49" w:rsidRPr="00BC44FA" w:rsidRDefault="00F10ADE" w:rsidP="00C470CE">
      <w:pPr>
        <w:pStyle w:val="Sinespaciado"/>
        <w:ind w:left="540"/>
        <w:jc w:val="both"/>
        <w:rPr>
          <w:rFonts w:cs="Arial"/>
          <w:sz w:val="24"/>
          <w:szCs w:val="24"/>
        </w:rPr>
      </w:pPr>
      <w:r w:rsidRPr="00BC44FA">
        <w:rPr>
          <w:rFonts w:cs="Arial"/>
          <w:sz w:val="24"/>
          <w:szCs w:val="24"/>
        </w:rPr>
        <w:t>L</w:t>
      </w:r>
      <w:r w:rsidR="001E0F49" w:rsidRPr="00BC44FA">
        <w:rPr>
          <w:rFonts w:cs="Arial"/>
          <w:sz w:val="24"/>
          <w:szCs w:val="24"/>
        </w:rPr>
        <w:t>os indicadores muestran que el subsistema económico ha mantenido una tendencia negativa tanto en los indicadores de sostenibilidad como en los de desarrollo</w:t>
      </w:r>
      <w:r w:rsidRPr="00BC44FA">
        <w:rPr>
          <w:rFonts w:cs="Arial"/>
          <w:sz w:val="24"/>
          <w:szCs w:val="24"/>
        </w:rPr>
        <w:t xml:space="preserve">, con </w:t>
      </w:r>
      <w:r w:rsidR="001E0F49" w:rsidRPr="00BC44FA">
        <w:rPr>
          <w:rFonts w:cs="Arial"/>
          <w:sz w:val="24"/>
          <w:szCs w:val="24"/>
        </w:rPr>
        <w:t xml:space="preserve">excepción del PIB per cápita. Sin embargo, </w:t>
      </w:r>
      <w:r w:rsidR="00BC44FA" w:rsidRPr="00BC44FA">
        <w:rPr>
          <w:rFonts w:cs="Arial"/>
          <w:sz w:val="24"/>
          <w:szCs w:val="24"/>
        </w:rPr>
        <w:t>como se indicó</w:t>
      </w:r>
      <w:r w:rsidRPr="00BC44FA">
        <w:rPr>
          <w:rFonts w:cs="Arial"/>
          <w:sz w:val="24"/>
          <w:szCs w:val="24"/>
        </w:rPr>
        <w:t xml:space="preserve"> antes, </w:t>
      </w:r>
      <w:r w:rsidR="001E0F49" w:rsidRPr="00BC44FA">
        <w:rPr>
          <w:rFonts w:cs="Arial"/>
          <w:sz w:val="24"/>
          <w:szCs w:val="24"/>
        </w:rPr>
        <w:t>este no mide el bienestar real de la población. Por lo tanto, cuando el PIB por habitante es analizado desde el punto de vista del desempeño, este</w:t>
      </w:r>
      <w:r w:rsidRPr="00BC44FA">
        <w:rPr>
          <w:rFonts w:cs="Arial"/>
          <w:sz w:val="24"/>
          <w:szCs w:val="24"/>
        </w:rPr>
        <w:t>, al igual que el resto de los indicadores muestran una condición desfavorable</w:t>
      </w:r>
      <w:r w:rsidR="001E0F49" w:rsidRPr="00BC44FA">
        <w:rPr>
          <w:rFonts w:cs="Arial"/>
          <w:sz w:val="24"/>
          <w:szCs w:val="24"/>
        </w:rPr>
        <w:t>, evidenciando las falencias que el subsistema económico ha mantenido</w:t>
      </w:r>
      <w:r w:rsidRPr="00BC44FA">
        <w:rPr>
          <w:rFonts w:cs="Arial"/>
          <w:sz w:val="24"/>
          <w:szCs w:val="24"/>
        </w:rPr>
        <w:t xml:space="preserve">. Si se desean revertir estas condiciones, es necesario realizar grandes </w:t>
      </w:r>
      <w:r w:rsidR="001E0F49" w:rsidRPr="00BC44FA">
        <w:rPr>
          <w:rFonts w:cs="Arial"/>
          <w:sz w:val="24"/>
          <w:szCs w:val="24"/>
        </w:rPr>
        <w:t>esfuerzos</w:t>
      </w:r>
      <w:r w:rsidRPr="00BC44FA">
        <w:rPr>
          <w:rFonts w:cs="Arial"/>
          <w:sz w:val="24"/>
          <w:szCs w:val="24"/>
        </w:rPr>
        <w:t xml:space="preserve"> nacionales, como políticas de largo plazo</w:t>
      </w:r>
      <w:r w:rsidR="001E0F49" w:rsidRPr="00BC44FA">
        <w:rPr>
          <w:rFonts w:cs="Arial"/>
          <w:sz w:val="24"/>
          <w:szCs w:val="24"/>
        </w:rPr>
        <w:t>.</w:t>
      </w:r>
    </w:p>
    <w:p w:rsidR="00F66ECE" w:rsidRPr="001A01AB" w:rsidRDefault="00F66ECE" w:rsidP="006A0601">
      <w:pPr>
        <w:ind w:left="360"/>
        <w:jc w:val="both"/>
        <w:rPr>
          <w:rFonts w:ascii="Calibri" w:hAnsi="Calibri" w:cs="Calibri"/>
          <w:lang w:val="es-GT"/>
        </w:rPr>
      </w:pPr>
    </w:p>
    <w:p w:rsidR="006A0601" w:rsidRPr="001A01AB" w:rsidRDefault="006A0601" w:rsidP="006A0601">
      <w:pPr>
        <w:ind w:left="360"/>
        <w:jc w:val="both"/>
        <w:rPr>
          <w:rFonts w:ascii="Calibri" w:hAnsi="Calibri" w:cs="Calibri"/>
          <w:lang w:val="es-GT"/>
        </w:rPr>
      </w:pPr>
    </w:p>
    <w:p w:rsidR="006A0601" w:rsidRPr="001A01AB" w:rsidRDefault="007F6462" w:rsidP="00B45CCC">
      <w:pPr>
        <w:pStyle w:val="Prrafodelista"/>
        <w:numPr>
          <w:ilvl w:val="2"/>
          <w:numId w:val="51"/>
        </w:numPr>
        <w:spacing w:after="120"/>
        <w:jc w:val="both"/>
        <w:rPr>
          <w:rFonts w:cs="Calibri"/>
          <w:b/>
          <w:i/>
          <w:color w:val="365F91"/>
          <w:sz w:val="24"/>
          <w:szCs w:val="24"/>
        </w:rPr>
      </w:pPr>
      <w:r w:rsidRPr="001A01AB">
        <w:rPr>
          <w:rFonts w:cs="Calibri"/>
          <w:b/>
          <w:i/>
          <w:color w:val="365F91"/>
          <w:sz w:val="24"/>
          <w:szCs w:val="24"/>
        </w:rPr>
        <w:t>Subsistema institucional</w:t>
      </w:r>
      <w:r w:rsidR="009B31A0" w:rsidRPr="001A01AB">
        <w:rPr>
          <w:rFonts w:cs="Calibri"/>
          <w:b/>
          <w:i/>
          <w:color w:val="365F91"/>
          <w:sz w:val="24"/>
          <w:szCs w:val="24"/>
        </w:rPr>
        <w:t xml:space="preserve">: </w:t>
      </w:r>
      <w:r w:rsidR="00BC44FA">
        <w:rPr>
          <w:rFonts w:cs="Calibri"/>
          <w:b/>
          <w:i/>
          <w:color w:val="365F91"/>
          <w:sz w:val="24"/>
          <w:szCs w:val="24"/>
        </w:rPr>
        <w:t>m</w:t>
      </w:r>
      <w:r w:rsidR="006A0601" w:rsidRPr="001A01AB">
        <w:rPr>
          <w:rFonts w:cs="Calibri"/>
          <w:b/>
          <w:i/>
          <w:color w:val="365F91"/>
          <w:sz w:val="24"/>
          <w:szCs w:val="24"/>
        </w:rPr>
        <w:t>arco legal y regulatorio relacionado al sector agropecuario y ambiental</w:t>
      </w:r>
    </w:p>
    <w:p w:rsidR="00F10ADE" w:rsidRDefault="00F10ADE" w:rsidP="0049326C">
      <w:pPr>
        <w:ind w:left="360"/>
        <w:jc w:val="both"/>
        <w:rPr>
          <w:rFonts w:ascii="Calibri" w:hAnsi="Calibri" w:cs="Calibri"/>
          <w:lang w:val="es-GT"/>
        </w:rPr>
      </w:pPr>
    </w:p>
    <w:p w:rsidR="006A0601" w:rsidRPr="001A01AB" w:rsidRDefault="006A0601" w:rsidP="0049326C">
      <w:pPr>
        <w:ind w:left="360"/>
        <w:jc w:val="both"/>
        <w:rPr>
          <w:rFonts w:ascii="Calibri" w:hAnsi="Calibri" w:cs="Calibri"/>
          <w:lang w:val="es-GT"/>
        </w:rPr>
      </w:pPr>
      <w:r w:rsidRPr="001A01AB">
        <w:rPr>
          <w:rFonts w:ascii="Calibri" w:hAnsi="Calibri" w:cs="Calibri"/>
          <w:lang w:val="es-GT"/>
        </w:rPr>
        <w:t>Existen múltiples instrumentos legales que rigen la actividad agropecuaria y ambiental en Guatemala. La normativa legal en el país se estructura de</w:t>
      </w:r>
      <w:r w:rsidR="001D4D77">
        <w:rPr>
          <w:rFonts w:ascii="Calibri" w:hAnsi="Calibri" w:cs="Calibri"/>
          <w:lang w:val="es-GT"/>
        </w:rPr>
        <w:t xml:space="preserve"> la siguiente forma: a) Normas c</w:t>
      </w:r>
      <w:r w:rsidRPr="001A01AB">
        <w:rPr>
          <w:rFonts w:ascii="Calibri" w:hAnsi="Calibri" w:cs="Calibri"/>
          <w:lang w:val="es-GT"/>
        </w:rPr>
        <w:t xml:space="preserve">onstitucionales, b) Tratados y </w:t>
      </w:r>
      <w:r w:rsidR="001D4D77" w:rsidRPr="001A01AB">
        <w:rPr>
          <w:rFonts w:ascii="Calibri" w:hAnsi="Calibri" w:cs="Calibri"/>
          <w:lang w:val="es-GT"/>
        </w:rPr>
        <w:t>convenios internacionales</w:t>
      </w:r>
      <w:r w:rsidR="001D4D77">
        <w:rPr>
          <w:rFonts w:ascii="Calibri" w:hAnsi="Calibri" w:cs="Calibri"/>
          <w:lang w:val="es-GT"/>
        </w:rPr>
        <w:t>; c) Leyes g</w:t>
      </w:r>
      <w:r w:rsidRPr="001A01AB">
        <w:rPr>
          <w:rFonts w:ascii="Calibri" w:hAnsi="Calibri" w:cs="Calibri"/>
          <w:lang w:val="es-GT"/>
        </w:rPr>
        <w:t>enerales; d) Le</w:t>
      </w:r>
      <w:r w:rsidR="00BC44FA">
        <w:rPr>
          <w:rFonts w:ascii="Calibri" w:hAnsi="Calibri" w:cs="Calibri"/>
          <w:lang w:val="es-GT"/>
        </w:rPr>
        <w:t xml:space="preserve">yes </w:t>
      </w:r>
      <w:r w:rsidR="001D4D77">
        <w:rPr>
          <w:rFonts w:ascii="Calibri" w:hAnsi="Calibri" w:cs="Calibri"/>
          <w:lang w:val="es-GT"/>
        </w:rPr>
        <w:t>e</w:t>
      </w:r>
      <w:r w:rsidR="00BC44FA">
        <w:rPr>
          <w:rFonts w:ascii="Calibri" w:hAnsi="Calibri" w:cs="Calibri"/>
          <w:lang w:val="es-GT"/>
        </w:rPr>
        <w:t>speciales; e) Reglamentos o</w:t>
      </w:r>
      <w:r w:rsidRPr="001A01AB">
        <w:rPr>
          <w:rFonts w:ascii="Calibri" w:hAnsi="Calibri" w:cs="Calibri"/>
          <w:lang w:val="es-GT"/>
        </w:rPr>
        <w:t xml:space="preserve"> </w:t>
      </w:r>
      <w:r w:rsidR="001D4D77" w:rsidRPr="001A01AB">
        <w:rPr>
          <w:rFonts w:ascii="Calibri" w:hAnsi="Calibri" w:cs="Calibri"/>
          <w:lang w:val="es-GT"/>
        </w:rPr>
        <w:t>acuerdos ejecutivos</w:t>
      </w:r>
      <w:r w:rsidR="001D4D77">
        <w:rPr>
          <w:rFonts w:ascii="Calibri" w:hAnsi="Calibri" w:cs="Calibri"/>
          <w:lang w:val="es-GT"/>
        </w:rPr>
        <w:t>; f) Normas t</w:t>
      </w:r>
      <w:r w:rsidRPr="001A01AB">
        <w:rPr>
          <w:rFonts w:ascii="Calibri" w:hAnsi="Calibri" w:cs="Calibri"/>
          <w:lang w:val="es-GT"/>
        </w:rPr>
        <w:t xml:space="preserve">écnicas; </w:t>
      </w:r>
      <w:r w:rsidR="001D4D77">
        <w:rPr>
          <w:rFonts w:ascii="Calibri" w:hAnsi="Calibri" w:cs="Calibri"/>
          <w:lang w:val="es-GT"/>
        </w:rPr>
        <w:t xml:space="preserve">y </w:t>
      </w:r>
      <w:r w:rsidRPr="001A01AB">
        <w:rPr>
          <w:rFonts w:ascii="Calibri" w:hAnsi="Calibri" w:cs="Calibri"/>
          <w:lang w:val="es-GT"/>
        </w:rPr>
        <w:t xml:space="preserve">g) Resoluciones y </w:t>
      </w:r>
      <w:r w:rsidR="001D4D77" w:rsidRPr="001A01AB">
        <w:rPr>
          <w:rFonts w:ascii="Calibri" w:hAnsi="Calibri" w:cs="Calibri"/>
          <w:lang w:val="es-GT"/>
        </w:rPr>
        <w:lastRenderedPageBreak/>
        <w:t>disposiciones administrativas y políticas</w:t>
      </w:r>
      <w:r w:rsidRPr="001A01AB">
        <w:rPr>
          <w:rFonts w:ascii="Calibri" w:hAnsi="Calibri" w:cs="Calibri"/>
          <w:lang w:val="es-GT"/>
        </w:rPr>
        <w:t>, en todos los temas relevantes para el desarrollo, uso y manejo sostenible de los recursos naturales y del ambiente.</w:t>
      </w:r>
    </w:p>
    <w:p w:rsidR="00E85191" w:rsidRPr="001A01AB" w:rsidRDefault="00E85191" w:rsidP="0049326C">
      <w:pPr>
        <w:ind w:left="360"/>
        <w:jc w:val="both"/>
        <w:rPr>
          <w:rFonts w:ascii="Calibri" w:hAnsi="Calibri" w:cs="Calibri"/>
          <w:lang w:val="es-GT"/>
        </w:rPr>
      </w:pPr>
    </w:p>
    <w:p w:rsidR="00E85191" w:rsidRPr="001A01AB" w:rsidRDefault="00E85191" w:rsidP="0049326C">
      <w:pPr>
        <w:ind w:left="360"/>
        <w:jc w:val="both"/>
        <w:rPr>
          <w:rFonts w:ascii="Calibri" w:hAnsi="Calibri" w:cs="Calibri"/>
          <w:lang w:val="es-GT"/>
        </w:rPr>
      </w:pPr>
      <w:r w:rsidRPr="001A01AB">
        <w:rPr>
          <w:rFonts w:ascii="Calibri" w:hAnsi="Calibri" w:cs="Calibri"/>
          <w:lang w:val="es-GT"/>
        </w:rPr>
        <w:t xml:space="preserve">Para abordar la </w:t>
      </w:r>
      <w:r w:rsidR="0071674E" w:rsidRPr="001A01AB">
        <w:rPr>
          <w:rFonts w:ascii="Calibri" w:hAnsi="Calibri" w:cs="Calibri"/>
          <w:lang w:val="es-GT"/>
        </w:rPr>
        <w:t>temática</w:t>
      </w:r>
      <w:r w:rsidRPr="001A01AB">
        <w:rPr>
          <w:rFonts w:ascii="Calibri" w:hAnsi="Calibri" w:cs="Calibri"/>
          <w:lang w:val="es-GT"/>
        </w:rPr>
        <w:t xml:space="preserve"> relacionada con el </w:t>
      </w:r>
      <w:r w:rsidR="001D4D77" w:rsidRPr="001A01AB">
        <w:rPr>
          <w:rFonts w:ascii="Calibri" w:hAnsi="Calibri" w:cs="Calibri"/>
          <w:lang w:val="es-GT"/>
        </w:rPr>
        <w:t xml:space="preserve">desarrollo rural integral </w:t>
      </w:r>
      <w:r w:rsidRPr="001A01AB">
        <w:rPr>
          <w:rFonts w:ascii="Calibri" w:hAnsi="Calibri" w:cs="Calibri"/>
          <w:lang w:val="es-GT"/>
        </w:rPr>
        <w:t>del país</w:t>
      </w:r>
      <w:r w:rsidR="0071674E" w:rsidRPr="001A01AB">
        <w:rPr>
          <w:rFonts w:ascii="Calibri" w:hAnsi="Calibri" w:cs="Calibri"/>
          <w:lang w:val="es-GT"/>
        </w:rPr>
        <w:t>, es prudente hacer un análisis de las principales políticas sectoriales que lo definen, dentro de las cuales se destacan (CPDRI, 2012):</w:t>
      </w:r>
    </w:p>
    <w:p w:rsidR="006A0601" w:rsidRPr="001A01AB" w:rsidRDefault="006A0601" w:rsidP="0049326C">
      <w:pPr>
        <w:ind w:left="360"/>
        <w:jc w:val="both"/>
        <w:rPr>
          <w:rFonts w:ascii="Calibri" w:hAnsi="Calibri" w:cs="Calibri"/>
          <w:lang w:val="es-GT"/>
        </w:rPr>
      </w:pPr>
    </w:p>
    <w:p w:rsidR="0071674E" w:rsidRPr="001A01AB" w:rsidRDefault="00E85191" w:rsidP="006B0A31">
      <w:pPr>
        <w:pStyle w:val="Prrafodelista"/>
        <w:numPr>
          <w:ilvl w:val="0"/>
          <w:numId w:val="25"/>
        </w:numPr>
        <w:spacing w:after="0" w:line="240" w:lineRule="auto"/>
        <w:jc w:val="both"/>
        <w:rPr>
          <w:rFonts w:cs="Calibri"/>
          <w:sz w:val="24"/>
          <w:szCs w:val="24"/>
        </w:rPr>
      </w:pPr>
      <w:r w:rsidRPr="001A01AB">
        <w:rPr>
          <w:rFonts w:cs="Calibri"/>
          <w:bCs/>
          <w:sz w:val="24"/>
          <w:szCs w:val="24"/>
        </w:rPr>
        <w:t xml:space="preserve">Política Agraria. </w:t>
      </w:r>
      <w:r w:rsidR="001D4D77">
        <w:rPr>
          <w:rFonts w:cs="Calibri"/>
          <w:sz w:val="24"/>
          <w:szCs w:val="24"/>
        </w:rPr>
        <w:t>S</w:t>
      </w:r>
      <w:r w:rsidR="00AC44F0">
        <w:rPr>
          <w:rFonts w:cs="Calibri"/>
          <w:sz w:val="24"/>
          <w:szCs w:val="24"/>
        </w:rPr>
        <w:t xml:space="preserve">e plantea la necesidad de impulsar una nueva política </w:t>
      </w:r>
      <w:r w:rsidRPr="001A01AB">
        <w:rPr>
          <w:rFonts w:cs="Calibri"/>
          <w:sz w:val="24"/>
          <w:szCs w:val="24"/>
        </w:rPr>
        <w:t>para proponer formas novedosas de acceso a activos productivos de manera integral, d</w:t>
      </w:r>
      <w:r w:rsidR="00AC44F0">
        <w:rPr>
          <w:rFonts w:cs="Calibri"/>
          <w:sz w:val="24"/>
          <w:szCs w:val="24"/>
        </w:rPr>
        <w:t>onde la tierra sea uno de ellos. Los activos deben estar dirigido</w:t>
      </w:r>
      <w:r w:rsidRPr="001A01AB">
        <w:rPr>
          <w:rFonts w:cs="Calibri"/>
          <w:sz w:val="24"/>
          <w:szCs w:val="24"/>
        </w:rPr>
        <w:t>s a garantizar la transparencia en los mecanismos de acceso para mujeres y hombres, pero priorizando a las primeras, así como la sostenibilidad productiva que desarrollen las y los beneficiarios.</w:t>
      </w:r>
    </w:p>
    <w:p w:rsidR="0071674E" w:rsidRPr="001A01AB" w:rsidRDefault="0071674E" w:rsidP="0049326C">
      <w:pPr>
        <w:pStyle w:val="Prrafodelista"/>
        <w:spacing w:after="0" w:line="240" w:lineRule="auto"/>
        <w:jc w:val="both"/>
        <w:rPr>
          <w:rFonts w:cs="Calibri"/>
          <w:sz w:val="24"/>
          <w:szCs w:val="24"/>
        </w:rPr>
      </w:pPr>
    </w:p>
    <w:p w:rsidR="00E00918" w:rsidRDefault="00E85191" w:rsidP="00527931">
      <w:pPr>
        <w:pStyle w:val="Prrafodelista"/>
        <w:numPr>
          <w:ilvl w:val="0"/>
          <w:numId w:val="25"/>
        </w:numPr>
        <w:spacing w:after="0" w:line="240" w:lineRule="auto"/>
        <w:jc w:val="both"/>
        <w:rPr>
          <w:rFonts w:cs="Calibri"/>
          <w:sz w:val="24"/>
          <w:szCs w:val="24"/>
        </w:rPr>
      </w:pPr>
      <w:r w:rsidRPr="00527931">
        <w:rPr>
          <w:rFonts w:cs="Calibri"/>
          <w:bCs/>
          <w:sz w:val="24"/>
          <w:szCs w:val="24"/>
        </w:rPr>
        <w:t xml:space="preserve">Política Agrícola, Pecuaria, Forestal e Hidrobiológica. </w:t>
      </w:r>
      <w:r w:rsidR="00527931">
        <w:rPr>
          <w:rFonts w:cs="Calibri"/>
          <w:bCs/>
          <w:sz w:val="24"/>
          <w:szCs w:val="24"/>
        </w:rPr>
        <w:t>En relación al Ministerio de Agricultura, Ganadería y Alimentación (MAGA), la</w:t>
      </w:r>
      <w:r w:rsidR="00AC44F0" w:rsidRPr="00527931">
        <w:rPr>
          <w:rFonts w:cs="Calibri"/>
          <w:bCs/>
          <w:sz w:val="24"/>
          <w:szCs w:val="24"/>
        </w:rPr>
        <w:t xml:space="preserve"> política</w:t>
      </w:r>
      <w:r w:rsidR="00D63761" w:rsidRPr="00527931">
        <w:rPr>
          <w:rFonts w:cs="Calibri"/>
          <w:bCs/>
          <w:sz w:val="24"/>
          <w:szCs w:val="24"/>
        </w:rPr>
        <w:t xml:space="preserve"> indica</w:t>
      </w:r>
      <w:r w:rsidR="00AC44F0" w:rsidRPr="00527931">
        <w:rPr>
          <w:rFonts w:cs="Calibri"/>
          <w:bCs/>
          <w:sz w:val="24"/>
          <w:szCs w:val="24"/>
        </w:rPr>
        <w:t xml:space="preserve"> </w:t>
      </w:r>
      <w:r w:rsidR="00D63761" w:rsidRPr="00527931">
        <w:rPr>
          <w:rFonts w:cs="Calibri"/>
          <w:bCs/>
          <w:sz w:val="24"/>
          <w:szCs w:val="24"/>
        </w:rPr>
        <w:t xml:space="preserve">lo siguiente: i) </w:t>
      </w:r>
      <w:r w:rsidR="00527931">
        <w:rPr>
          <w:rFonts w:cs="Calibri"/>
          <w:bCs/>
          <w:sz w:val="24"/>
          <w:szCs w:val="24"/>
        </w:rPr>
        <w:t xml:space="preserve">que </w:t>
      </w:r>
      <w:r w:rsidRPr="00527931">
        <w:rPr>
          <w:rFonts w:cs="Calibri"/>
          <w:sz w:val="24"/>
          <w:szCs w:val="24"/>
        </w:rPr>
        <w:t>tiene la principal responsabilidad en la activación y adecuación de la Política Nacional de Desarrollo Rural Integral</w:t>
      </w:r>
      <w:r w:rsidR="00D63761" w:rsidRPr="00527931">
        <w:rPr>
          <w:rFonts w:cs="Calibri"/>
          <w:sz w:val="24"/>
          <w:szCs w:val="24"/>
        </w:rPr>
        <w:t xml:space="preserve">; ii) </w:t>
      </w:r>
      <w:r w:rsidR="00527931">
        <w:rPr>
          <w:rFonts w:cs="Calibri"/>
          <w:sz w:val="24"/>
          <w:szCs w:val="24"/>
        </w:rPr>
        <w:t xml:space="preserve">que deberá </w:t>
      </w:r>
      <w:r w:rsidRPr="00527931">
        <w:rPr>
          <w:rFonts w:cs="Calibri"/>
          <w:sz w:val="24"/>
          <w:szCs w:val="24"/>
        </w:rPr>
        <w:t xml:space="preserve">dar continuidad y profundidad a la Política Agropecuaria 2010/2015, que ya ha sido, de alguna manera, adecuada a lo planteado por la </w:t>
      </w:r>
      <w:r w:rsidR="00AC44F0" w:rsidRPr="00527931">
        <w:rPr>
          <w:rFonts w:cs="Calibri"/>
          <w:sz w:val="24"/>
          <w:szCs w:val="24"/>
        </w:rPr>
        <w:t>Política Nacional de Desarrollo Rural Integral (</w:t>
      </w:r>
      <w:r w:rsidRPr="00527931">
        <w:rPr>
          <w:rFonts w:cs="Calibri"/>
          <w:sz w:val="24"/>
          <w:szCs w:val="24"/>
        </w:rPr>
        <w:t>PNDRI</w:t>
      </w:r>
      <w:r w:rsidR="00AC44F0" w:rsidRPr="00527931">
        <w:rPr>
          <w:rFonts w:cs="Calibri"/>
          <w:sz w:val="24"/>
          <w:szCs w:val="24"/>
        </w:rPr>
        <w:t>)</w:t>
      </w:r>
      <w:r w:rsidR="00D63761" w:rsidRPr="00527931">
        <w:rPr>
          <w:rFonts w:cs="Calibri"/>
          <w:sz w:val="24"/>
          <w:szCs w:val="24"/>
        </w:rPr>
        <w:t>; iii)</w:t>
      </w:r>
      <w:r w:rsidRPr="00527931">
        <w:rPr>
          <w:rFonts w:cs="Calibri"/>
          <w:sz w:val="24"/>
          <w:szCs w:val="24"/>
        </w:rPr>
        <w:t xml:space="preserve"> </w:t>
      </w:r>
      <w:r w:rsidR="00527931">
        <w:rPr>
          <w:rFonts w:cs="Calibri"/>
          <w:sz w:val="24"/>
          <w:szCs w:val="24"/>
        </w:rPr>
        <w:t>que</w:t>
      </w:r>
      <w:r w:rsidR="00AC44F0" w:rsidRPr="00527931">
        <w:rPr>
          <w:rFonts w:cs="Calibri"/>
          <w:sz w:val="24"/>
          <w:szCs w:val="24"/>
        </w:rPr>
        <w:t xml:space="preserve"> </w:t>
      </w:r>
      <w:r w:rsidRPr="00527931">
        <w:rPr>
          <w:rFonts w:cs="Calibri"/>
          <w:sz w:val="24"/>
          <w:szCs w:val="24"/>
        </w:rPr>
        <w:t>será absolutamente consecuente con el compromiso de asumir la promoción de la economía campesina como el sujeto priorizado de su política, para lo cual impulsará un programa específico que se consti</w:t>
      </w:r>
      <w:r w:rsidR="00D63761" w:rsidRPr="00527931">
        <w:rPr>
          <w:rFonts w:cs="Calibri"/>
          <w:sz w:val="24"/>
          <w:szCs w:val="24"/>
        </w:rPr>
        <w:t xml:space="preserve">tuirá en su “programa insignia”; iv) </w:t>
      </w:r>
      <w:r w:rsidR="00527931">
        <w:rPr>
          <w:rFonts w:cs="Calibri"/>
          <w:sz w:val="24"/>
          <w:szCs w:val="24"/>
        </w:rPr>
        <w:t>que</w:t>
      </w:r>
      <w:r w:rsidR="00E00918" w:rsidRPr="00527931">
        <w:rPr>
          <w:rFonts w:cs="Calibri"/>
          <w:sz w:val="24"/>
          <w:szCs w:val="24"/>
        </w:rPr>
        <w:t xml:space="preserve"> </w:t>
      </w:r>
      <w:r w:rsidRPr="00527931">
        <w:rPr>
          <w:rFonts w:cs="Calibri"/>
          <w:sz w:val="24"/>
          <w:szCs w:val="24"/>
        </w:rPr>
        <w:t>cumplirá con sus funciones de facilitador, coordinador y promotor de normativa e inversiones que permitan el desarrollo agropecuario, for</w:t>
      </w:r>
      <w:r w:rsidR="00AC44F0" w:rsidRPr="00527931">
        <w:rPr>
          <w:rFonts w:cs="Calibri"/>
          <w:sz w:val="24"/>
          <w:szCs w:val="24"/>
        </w:rPr>
        <w:t>es</w:t>
      </w:r>
      <w:r w:rsidR="00391CD6" w:rsidRPr="00527931">
        <w:rPr>
          <w:rFonts w:cs="Calibri"/>
          <w:sz w:val="24"/>
          <w:szCs w:val="24"/>
        </w:rPr>
        <w:t>tal e hidrobiológico del país</w:t>
      </w:r>
      <w:r w:rsidR="00527931" w:rsidRPr="00527931">
        <w:rPr>
          <w:rFonts w:cs="Calibri"/>
          <w:sz w:val="24"/>
          <w:szCs w:val="24"/>
        </w:rPr>
        <w:t xml:space="preserve">; v) </w:t>
      </w:r>
      <w:r w:rsidR="00527931">
        <w:rPr>
          <w:rFonts w:cs="Calibri"/>
          <w:sz w:val="24"/>
          <w:szCs w:val="24"/>
        </w:rPr>
        <w:t xml:space="preserve">que </w:t>
      </w:r>
      <w:r w:rsidR="00E00918" w:rsidRPr="00527931">
        <w:rPr>
          <w:rFonts w:cs="Calibri"/>
          <w:sz w:val="24"/>
        </w:rPr>
        <w:t>l</w:t>
      </w:r>
      <w:r w:rsidR="002F15F1">
        <w:rPr>
          <w:rFonts w:cs="Calibri"/>
          <w:sz w:val="24"/>
        </w:rPr>
        <w:t>a producción de alimentos</w:t>
      </w:r>
      <w:r w:rsidRPr="00527931">
        <w:rPr>
          <w:rFonts w:cs="Calibri"/>
          <w:sz w:val="24"/>
        </w:rPr>
        <w:t xml:space="preserve"> como la vía sustancial de aportar, mediante la disponibilidad, a la Política de Seguridad Alimentaria y Nutricional, será su responsabilidad fundamental y prioritaria, principalmente promoviendo la economía campesina, que permita la movilidad desde la infra y subsistencia hacia la condición de excedentarios y más allá</w:t>
      </w:r>
      <w:r w:rsidR="00E00918" w:rsidRPr="00527931">
        <w:rPr>
          <w:rFonts w:cs="Calibri"/>
          <w:sz w:val="24"/>
        </w:rPr>
        <w:t>,</w:t>
      </w:r>
      <w:r w:rsidRPr="00527931">
        <w:rPr>
          <w:rFonts w:cs="Calibri"/>
          <w:sz w:val="24"/>
        </w:rPr>
        <w:t xml:space="preserve"> hasta que estos campesinos estén en condicion</w:t>
      </w:r>
      <w:r w:rsidR="00527931">
        <w:rPr>
          <w:rFonts w:cs="Calibri"/>
          <w:sz w:val="24"/>
        </w:rPr>
        <w:t>es de integrarse a los mercados. E</w:t>
      </w:r>
      <w:r w:rsidRPr="00527931">
        <w:rPr>
          <w:rFonts w:cs="Calibri"/>
          <w:sz w:val="24"/>
        </w:rPr>
        <w:t>stas medidas deberán tener en cuenta la poli-act</w:t>
      </w:r>
      <w:r w:rsidR="00E00918" w:rsidRPr="00527931">
        <w:rPr>
          <w:rFonts w:cs="Calibri"/>
          <w:sz w:val="24"/>
        </w:rPr>
        <w:t xml:space="preserve">ividad </w:t>
      </w:r>
      <w:r w:rsidR="00527931">
        <w:rPr>
          <w:rFonts w:cs="Calibri"/>
          <w:sz w:val="24"/>
        </w:rPr>
        <w:t xml:space="preserve">de la economía campesina; vi) </w:t>
      </w:r>
      <w:r w:rsidR="00527931">
        <w:rPr>
          <w:rFonts w:cs="Calibri"/>
          <w:sz w:val="24"/>
          <w:szCs w:val="24"/>
        </w:rPr>
        <w:t xml:space="preserve">que </w:t>
      </w:r>
      <w:r w:rsidRPr="00AC44F0">
        <w:rPr>
          <w:rFonts w:cs="Calibri"/>
          <w:sz w:val="24"/>
          <w:szCs w:val="24"/>
        </w:rPr>
        <w:t xml:space="preserve">contribuirá con la activación de la PNDRI a partir del ámbito de su competencia que se expresa, como ya se dijo </w:t>
      </w:r>
      <w:r w:rsidR="002F15F1">
        <w:rPr>
          <w:rFonts w:cs="Calibri"/>
          <w:sz w:val="24"/>
          <w:szCs w:val="24"/>
        </w:rPr>
        <w:t>anteriormente</w:t>
      </w:r>
      <w:r w:rsidRPr="00AC44F0">
        <w:rPr>
          <w:rFonts w:cs="Calibri"/>
          <w:sz w:val="24"/>
          <w:szCs w:val="24"/>
        </w:rPr>
        <w:t>, en la Política Agrícola, Pecuaria, Forestal e Hidrobiológica y sus instrumentos (incentivos, programas y proyectos, así como sus normas y regulaciones)</w:t>
      </w:r>
      <w:r w:rsidR="00527931">
        <w:rPr>
          <w:rFonts w:cs="Calibri"/>
          <w:sz w:val="24"/>
          <w:szCs w:val="24"/>
        </w:rPr>
        <w:t>,</w:t>
      </w:r>
      <w:r w:rsidRPr="00AC44F0">
        <w:rPr>
          <w:rFonts w:cs="Calibri"/>
          <w:sz w:val="24"/>
          <w:szCs w:val="24"/>
        </w:rPr>
        <w:t xml:space="preserve"> principalmente aquellos activos productivos orientados a aumentar la calidad, rentabilidad y competitividad de la actividad agropecuaria, forestal e hidrobiológica para la promoción de las economías campesinas como el sujeto priorizado. </w:t>
      </w:r>
    </w:p>
    <w:p w:rsidR="00E00918" w:rsidRDefault="00E00918" w:rsidP="00AC44F0">
      <w:pPr>
        <w:pStyle w:val="Prrafodelista"/>
        <w:spacing w:after="0" w:line="240" w:lineRule="auto"/>
        <w:jc w:val="both"/>
        <w:rPr>
          <w:rFonts w:cs="Calibri"/>
          <w:sz w:val="24"/>
          <w:szCs w:val="24"/>
        </w:rPr>
      </w:pPr>
    </w:p>
    <w:p w:rsidR="002F15F1" w:rsidRDefault="00E85191" w:rsidP="00AC44F0">
      <w:pPr>
        <w:pStyle w:val="Prrafodelista"/>
        <w:spacing w:after="0" w:line="240" w:lineRule="auto"/>
        <w:jc w:val="both"/>
        <w:rPr>
          <w:rFonts w:cs="Calibri"/>
          <w:sz w:val="24"/>
          <w:szCs w:val="24"/>
        </w:rPr>
      </w:pPr>
      <w:r w:rsidRPr="00AC44F0">
        <w:rPr>
          <w:rFonts w:cs="Calibri"/>
          <w:sz w:val="24"/>
          <w:szCs w:val="24"/>
        </w:rPr>
        <w:t>Estas políticas y sus instrumentos estarán orientados a facilitar la disponibilidad y el acceso a los alimentos en dos momentos:</w:t>
      </w:r>
      <w:r w:rsidR="00AC44F0" w:rsidRPr="00AC44F0">
        <w:rPr>
          <w:rFonts w:cs="Calibri"/>
          <w:sz w:val="24"/>
          <w:szCs w:val="24"/>
        </w:rPr>
        <w:t xml:space="preserve"> (i</w:t>
      </w:r>
      <w:r w:rsidRPr="00AC44F0">
        <w:rPr>
          <w:rFonts w:cs="Calibri"/>
          <w:sz w:val="24"/>
          <w:szCs w:val="24"/>
        </w:rPr>
        <w:t>) Situaciones de crisis: disponibilidad y acceso de alimentos en los períodos críticos identificados como hambruna estacional, provocada por la carencia, pérdidas y/o afectación</w:t>
      </w:r>
      <w:r w:rsidR="002F15F1">
        <w:rPr>
          <w:rFonts w:cs="Calibri"/>
          <w:sz w:val="24"/>
          <w:szCs w:val="24"/>
        </w:rPr>
        <w:t>,</w:t>
      </w:r>
      <w:r w:rsidRPr="00AC44F0">
        <w:rPr>
          <w:rFonts w:cs="Calibri"/>
          <w:sz w:val="24"/>
          <w:szCs w:val="24"/>
        </w:rPr>
        <w:t xml:space="preserve"> principalmente por eventos climáticos extremos y crisis sociales. En el caso del sujeto priorizado, esta asistencia alimentaria estará dirigida tanto a enfrentar eventos puntuales, como a afrontar los ciclos, cada vez más frecuentes, en los cuales no existen las reservas necesarias. El MAGA implementará los </w:t>
      </w:r>
      <w:r w:rsidR="002F15F1" w:rsidRPr="00AC44F0">
        <w:rPr>
          <w:rFonts w:cs="Calibri"/>
          <w:sz w:val="24"/>
          <w:szCs w:val="24"/>
        </w:rPr>
        <w:t xml:space="preserve">siguientes </w:t>
      </w:r>
      <w:r w:rsidRPr="00AC44F0">
        <w:rPr>
          <w:rFonts w:cs="Calibri"/>
          <w:sz w:val="24"/>
          <w:szCs w:val="24"/>
        </w:rPr>
        <w:lastRenderedPageBreak/>
        <w:t xml:space="preserve">programas y proyectos de asistencia alimentaria: </w:t>
      </w:r>
      <w:r w:rsidR="002F15F1">
        <w:rPr>
          <w:rFonts w:cs="Calibri"/>
          <w:sz w:val="24"/>
          <w:szCs w:val="24"/>
        </w:rPr>
        <w:t>harina fortificada,</w:t>
      </w:r>
      <w:r w:rsidR="002F15F1" w:rsidRPr="00AC44F0">
        <w:rPr>
          <w:rFonts w:cs="Calibri"/>
          <w:sz w:val="24"/>
          <w:szCs w:val="24"/>
        </w:rPr>
        <w:t xml:space="preserve"> bolsa alimentaria y alimentos por acciones</w:t>
      </w:r>
      <w:r w:rsidR="00AC44F0" w:rsidRPr="00AC44F0">
        <w:rPr>
          <w:rFonts w:cs="Calibri"/>
          <w:sz w:val="24"/>
          <w:szCs w:val="24"/>
        </w:rPr>
        <w:t>;</w:t>
      </w:r>
      <w:r w:rsidR="00141A70">
        <w:rPr>
          <w:rFonts w:cs="Calibri"/>
          <w:sz w:val="24"/>
          <w:szCs w:val="24"/>
        </w:rPr>
        <w:t xml:space="preserve"> </w:t>
      </w:r>
      <w:r w:rsidR="00AC44F0" w:rsidRPr="00AC44F0">
        <w:rPr>
          <w:rFonts w:cs="Calibri"/>
          <w:sz w:val="24"/>
          <w:szCs w:val="24"/>
        </w:rPr>
        <w:t>(ii)</w:t>
      </w:r>
      <w:r w:rsidR="00141A70">
        <w:rPr>
          <w:rFonts w:cs="Calibri"/>
          <w:sz w:val="24"/>
          <w:szCs w:val="24"/>
        </w:rPr>
        <w:t xml:space="preserve"> </w:t>
      </w:r>
      <w:r w:rsidRPr="00AC44F0">
        <w:rPr>
          <w:rFonts w:cs="Calibri"/>
          <w:sz w:val="24"/>
          <w:szCs w:val="24"/>
        </w:rPr>
        <w:t xml:space="preserve">Situación permanente: promover, con énfasis en el sujeto priorizado de la PNDRI, la disponibilidad permanente de alimentos y el acceso físico, económico, social, oportuno a ellos, en cantidad y calidad. Se trata, sustancialmente, de crear las condiciones necesarias y suficientes para reactivar los sistemas alimentarios locales sostenibles, que permitan garantizar la seguridad alimentaria y nutricional a largo plazo de toda la población guatemalteca. Esto se realizará mediante la implementación de un sistema de asistencia técnica integrada, basada en el ordenamiento productivo territorial, que promueva el fortalecimiento de las capacidades locales para </w:t>
      </w:r>
      <w:r w:rsidR="002F15F1">
        <w:rPr>
          <w:rFonts w:cs="Calibri"/>
          <w:sz w:val="24"/>
          <w:szCs w:val="24"/>
        </w:rPr>
        <w:t xml:space="preserve">la transferencia de tecnología y el </w:t>
      </w:r>
      <w:r w:rsidRPr="00AC44F0">
        <w:rPr>
          <w:rFonts w:cs="Calibri"/>
          <w:sz w:val="24"/>
          <w:szCs w:val="24"/>
        </w:rPr>
        <w:t xml:space="preserve">acceso a crédito e insumos para hombres y mujeres, pero priorizando a las segundas, para la producción, acopio y comercialización de sus productos, con el propósito de impulsar la productividad de manera sostenible y la articulación de pequeños productores y productoras a las cadenas de valor, favoreciendo la creación de empleos a nivel local. </w:t>
      </w:r>
    </w:p>
    <w:p w:rsidR="002F15F1" w:rsidRDefault="002F15F1" w:rsidP="00AC44F0">
      <w:pPr>
        <w:pStyle w:val="Prrafodelista"/>
        <w:spacing w:after="0" w:line="240" w:lineRule="auto"/>
        <w:jc w:val="both"/>
        <w:rPr>
          <w:rFonts w:cs="Calibri"/>
          <w:sz w:val="24"/>
          <w:szCs w:val="24"/>
        </w:rPr>
      </w:pPr>
    </w:p>
    <w:p w:rsidR="00AC44F0" w:rsidRPr="00AC44F0" w:rsidRDefault="00E85191" w:rsidP="00AC44F0">
      <w:pPr>
        <w:pStyle w:val="Prrafodelista"/>
        <w:spacing w:after="0" w:line="240" w:lineRule="auto"/>
        <w:jc w:val="both"/>
        <w:rPr>
          <w:rFonts w:cs="Calibri"/>
          <w:sz w:val="24"/>
          <w:szCs w:val="24"/>
        </w:rPr>
      </w:pPr>
      <w:r w:rsidRPr="00AC44F0">
        <w:rPr>
          <w:rFonts w:cs="Calibri"/>
          <w:sz w:val="24"/>
          <w:szCs w:val="24"/>
        </w:rPr>
        <w:t>Los programas e instrumento</w:t>
      </w:r>
      <w:r w:rsidR="002F15F1">
        <w:rPr>
          <w:rFonts w:cs="Calibri"/>
          <w:sz w:val="24"/>
          <w:szCs w:val="24"/>
        </w:rPr>
        <w:t>s que el MAGA aplicará son: Triá</w:t>
      </w:r>
      <w:r w:rsidRPr="00AC44F0">
        <w:rPr>
          <w:rFonts w:cs="Calibri"/>
          <w:sz w:val="24"/>
          <w:szCs w:val="24"/>
        </w:rPr>
        <w:t>ngulo de la dignidad; Dotación de insumos; Programa de riegos; Manejo post-cosecha; Generación y transferencia de tecnología a través del Instituto de Ciencia y Tecnología Agrícolas (ICTA) y su propio sistema de extensión; Incentivos forestales y Proyectos de desarrollo con el Fondo Internacional de Desarrollo Agrícola (FIDA) e inversiones productivas en encadenamientos con el Fondo Nacional para la Reactivación y Modernización de la Actividad Agropecuaria (FONAGRO).</w:t>
      </w:r>
    </w:p>
    <w:p w:rsidR="00AC44F0" w:rsidRPr="00AC44F0" w:rsidRDefault="00AC44F0" w:rsidP="00AC44F0">
      <w:pPr>
        <w:pStyle w:val="Prrafodelista"/>
        <w:spacing w:after="0" w:line="240" w:lineRule="auto"/>
        <w:jc w:val="both"/>
        <w:rPr>
          <w:rFonts w:cs="Calibri"/>
          <w:sz w:val="24"/>
          <w:szCs w:val="24"/>
        </w:rPr>
      </w:pPr>
    </w:p>
    <w:p w:rsidR="00E85191" w:rsidRPr="00AC44F0" w:rsidRDefault="002F15F1" w:rsidP="00AC44F0">
      <w:pPr>
        <w:pStyle w:val="Prrafodelista"/>
        <w:spacing w:after="0" w:line="240" w:lineRule="auto"/>
        <w:jc w:val="both"/>
        <w:rPr>
          <w:rFonts w:cs="Calibri"/>
          <w:sz w:val="24"/>
          <w:szCs w:val="24"/>
        </w:rPr>
      </w:pPr>
      <w:r>
        <w:rPr>
          <w:rFonts w:cs="Calibri"/>
          <w:sz w:val="24"/>
          <w:szCs w:val="24"/>
        </w:rPr>
        <w:t>Esta política también indica</w:t>
      </w:r>
      <w:r w:rsidR="00E00918">
        <w:rPr>
          <w:rFonts w:cs="Calibri"/>
          <w:sz w:val="24"/>
          <w:szCs w:val="24"/>
        </w:rPr>
        <w:t xml:space="preserve"> que e</w:t>
      </w:r>
      <w:r w:rsidR="00E85191" w:rsidRPr="00AC44F0">
        <w:rPr>
          <w:rFonts w:cs="Calibri"/>
          <w:sz w:val="24"/>
          <w:szCs w:val="24"/>
        </w:rPr>
        <w:t>l Sistema Nacional de Extensión Rural constituye el riel que le da continuidad y diferenciación al tipo y naturaleza de la intervención guber</w:t>
      </w:r>
      <w:r>
        <w:rPr>
          <w:rFonts w:cs="Calibri"/>
          <w:sz w:val="24"/>
          <w:szCs w:val="24"/>
        </w:rPr>
        <w:t>namental para el impulso de la p</w:t>
      </w:r>
      <w:r w:rsidR="00E85191" w:rsidRPr="00AC44F0">
        <w:rPr>
          <w:rFonts w:cs="Calibri"/>
          <w:sz w:val="24"/>
          <w:szCs w:val="24"/>
        </w:rPr>
        <w:t xml:space="preserve">olítica sectorial del MAGA en relación a la economía campesina como el sujeto priorizado de la PNDRI. Uno de los criterios de acción es la pertinencia cultural y social de la asistencia técnica. El sistema de asistencia técnica integrada estará orientada a potenciar las capacidades de autogestión productiva de los pobladores rurales del país, para lo cual se implementarán las </w:t>
      </w:r>
      <w:r w:rsidRPr="00AC44F0">
        <w:rPr>
          <w:rFonts w:cs="Calibri"/>
          <w:sz w:val="24"/>
          <w:szCs w:val="24"/>
        </w:rPr>
        <w:t xml:space="preserve">siguientes </w:t>
      </w:r>
      <w:r w:rsidR="00E85191" w:rsidRPr="00AC44F0">
        <w:rPr>
          <w:rFonts w:cs="Calibri"/>
          <w:sz w:val="24"/>
          <w:szCs w:val="24"/>
        </w:rPr>
        <w:t xml:space="preserve">líneas de acción: </w:t>
      </w:r>
      <w:r w:rsidRPr="00AC44F0">
        <w:rPr>
          <w:rFonts w:cs="Calibri"/>
          <w:sz w:val="24"/>
          <w:szCs w:val="24"/>
        </w:rPr>
        <w:t>conformación de agencias municipales de exten</w:t>
      </w:r>
      <w:r>
        <w:rPr>
          <w:rFonts w:cs="Calibri"/>
          <w:sz w:val="24"/>
          <w:szCs w:val="24"/>
        </w:rPr>
        <w:t>sión,</w:t>
      </w:r>
      <w:r w:rsidRPr="00AC44F0">
        <w:rPr>
          <w:rFonts w:cs="Calibri"/>
          <w:sz w:val="24"/>
          <w:szCs w:val="24"/>
        </w:rPr>
        <w:t xml:space="preserve"> formación de extensionistas rurales</w:t>
      </w:r>
      <w:r>
        <w:rPr>
          <w:rFonts w:cs="Calibri"/>
          <w:sz w:val="24"/>
          <w:szCs w:val="24"/>
        </w:rPr>
        <w:t>,</w:t>
      </w:r>
      <w:r w:rsidRPr="00AC44F0">
        <w:rPr>
          <w:rFonts w:cs="Calibri"/>
          <w:sz w:val="24"/>
          <w:szCs w:val="24"/>
        </w:rPr>
        <w:t xml:space="preserve"> establecimiento y fortalecimiento de redes de organizacione</w:t>
      </w:r>
      <w:r>
        <w:rPr>
          <w:rFonts w:cs="Calibri"/>
          <w:sz w:val="24"/>
          <w:szCs w:val="24"/>
        </w:rPr>
        <w:t>s para el desarrollo productivo, e</w:t>
      </w:r>
      <w:r w:rsidRPr="00AC44F0">
        <w:rPr>
          <w:rFonts w:cs="Calibri"/>
          <w:sz w:val="24"/>
          <w:szCs w:val="24"/>
        </w:rPr>
        <w:t xml:space="preserve"> integración de grupos emprendedores.</w:t>
      </w:r>
      <w:r>
        <w:rPr>
          <w:rFonts w:cs="Calibri"/>
          <w:sz w:val="24"/>
          <w:szCs w:val="24"/>
        </w:rPr>
        <w:t xml:space="preserve"> </w:t>
      </w:r>
    </w:p>
    <w:p w:rsidR="00E85191" w:rsidRPr="001A01AB" w:rsidRDefault="00E85191" w:rsidP="0049326C">
      <w:pPr>
        <w:tabs>
          <w:tab w:val="left" w:pos="360"/>
        </w:tabs>
        <w:ind w:left="360"/>
        <w:jc w:val="both"/>
        <w:rPr>
          <w:rFonts w:ascii="Calibri" w:hAnsi="Calibri" w:cs="Calibri"/>
          <w:lang w:val="es-GT"/>
        </w:rPr>
      </w:pPr>
    </w:p>
    <w:p w:rsidR="00E85191" w:rsidRPr="001A01AB" w:rsidRDefault="00E85191" w:rsidP="006B0A31">
      <w:pPr>
        <w:pStyle w:val="Prrafodelista"/>
        <w:numPr>
          <w:ilvl w:val="0"/>
          <w:numId w:val="25"/>
        </w:numPr>
        <w:spacing w:after="0" w:line="240" w:lineRule="auto"/>
        <w:jc w:val="both"/>
        <w:rPr>
          <w:rFonts w:cs="Calibri"/>
          <w:bCs/>
          <w:sz w:val="24"/>
          <w:szCs w:val="24"/>
        </w:rPr>
      </w:pPr>
      <w:r w:rsidRPr="001A01AB">
        <w:rPr>
          <w:rFonts w:cs="Calibri"/>
          <w:bCs/>
          <w:sz w:val="24"/>
          <w:szCs w:val="24"/>
        </w:rPr>
        <w:t xml:space="preserve">Política Económica. Esta política sectorial </w:t>
      </w:r>
      <w:r w:rsidR="00E00918">
        <w:rPr>
          <w:rFonts w:cs="Calibri"/>
          <w:bCs/>
          <w:sz w:val="24"/>
          <w:szCs w:val="24"/>
        </w:rPr>
        <w:t>plantea</w:t>
      </w:r>
      <w:r w:rsidRPr="001A01AB">
        <w:rPr>
          <w:rFonts w:cs="Calibri"/>
          <w:bCs/>
          <w:sz w:val="24"/>
          <w:szCs w:val="24"/>
        </w:rPr>
        <w:t xml:space="preserve"> como objetivo fundamental crear las condiciones para que se promueva el empleo decente en el área rural, para lo cual deberá establecerse una articulación con la promoción de la inversión pública y privada en los territorios rurales. </w:t>
      </w:r>
      <w:r w:rsidR="006B1CE3">
        <w:rPr>
          <w:rFonts w:cs="Calibri"/>
          <w:bCs/>
          <w:sz w:val="24"/>
          <w:szCs w:val="24"/>
        </w:rPr>
        <w:t xml:space="preserve">Es particularmente importante darle énfasis a la </w:t>
      </w:r>
      <w:r w:rsidRPr="001A01AB">
        <w:rPr>
          <w:rFonts w:cs="Calibri"/>
          <w:bCs/>
          <w:sz w:val="24"/>
          <w:szCs w:val="24"/>
        </w:rPr>
        <w:t xml:space="preserve">promoción de </w:t>
      </w:r>
      <w:r w:rsidR="006B1CE3">
        <w:rPr>
          <w:rFonts w:cs="Calibri"/>
          <w:bCs/>
          <w:sz w:val="24"/>
          <w:szCs w:val="24"/>
        </w:rPr>
        <w:t xml:space="preserve">las </w:t>
      </w:r>
      <w:r w:rsidRPr="001A01AB">
        <w:rPr>
          <w:rFonts w:cs="Calibri"/>
          <w:bCs/>
          <w:sz w:val="24"/>
          <w:szCs w:val="24"/>
        </w:rPr>
        <w:t>Mipymes. Sin duda es relevante la promoción de la inversión privada en territorios rurales y la construcción y suscripción de un pacto nacional que defina los criterios que la hacen deseable y viable.</w:t>
      </w:r>
    </w:p>
    <w:p w:rsidR="00E85191" w:rsidRPr="001A01AB" w:rsidRDefault="00E85191" w:rsidP="0049326C">
      <w:pPr>
        <w:pStyle w:val="Prrafodelista"/>
        <w:spacing w:after="0" w:line="240" w:lineRule="auto"/>
        <w:jc w:val="both"/>
        <w:rPr>
          <w:rFonts w:cs="Calibri"/>
          <w:bCs/>
          <w:sz w:val="24"/>
          <w:szCs w:val="24"/>
        </w:rPr>
      </w:pPr>
    </w:p>
    <w:p w:rsidR="00E85191" w:rsidRPr="001A01AB" w:rsidRDefault="00E85191" w:rsidP="006B0A31">
      <w:pPr>
        <w:pStyle w:val="Prrafodelista"/>
        <w:numPr>
          <w:ilvl w:val="0"/>
          <w:numId w:val="25"/>
        </w:numPr>
        <w:spacing w:after="0" w:line="240" w:lineRule="auto"/>
        <w:jc w:val="both"/>
        <w:rPr>
          <w:rFonts w:cs="Calibri"/>
          <w:bCs/>
          <w:sz w:val="24"/>
          <w:szCs w:val="24"/>
        </w:rPr>
      </w:pPr>
      <w:r w:rsidRPr="001A01AB">
        <w:rPr>
          <w:rFonts w:cs="Calibri"/>
          <w:bCs/>
          <w:sz w:val="24"/>
          <w:szCs w:val="24"/>
        </w:rPr>
        <w:t xml:space="preserve">Política Social. </w:t>
      </w:r>
      <w:r w:rsidR="00E00918">
        <w:rPr>
          <w:rFonts w:cs="Calibri"/>
          <w:bCs/>
          <w:sz w:val="24"/>
          <w:szCs w:val="24"/>
        </w:rPr>
        <w:t>Plantea que s</w:t>
      </w:r>
      <w:r w:rsidRPr="001A01AB">
        <w:rPr>
          <w:rFonts w:cs="Calibri"/>
          <w:bCs/>
          <w:sz w:val="24"/>
          <w:szCs w:val="24"/>
        </w:rPr>
        <w:t xml:space="preserve">e impulsarán los programas de protección social que sean necesarios para romper el ciclo intergeneracional de reproducción de la pobreza, de </w:t>
      </w:r>
      <w:r w:rsidRPr="001A01AB">
        <w:rPr>
          <w:rFonts w:cs="Calibri"/>
          <w:bCs/>
          <w:sz w:val="24"/>
          <w:szCs w:val="24"/>
        </w:rPr>
        <w:lastRenderedPageBreak/>
        <w:t xml:space="preserve">acuerdo a criterios de focalización y </w:t>
      </w:r>
      <w:r w:rsidR="006B1CE3">
        <w:rPr>
          <w:rFonts w:cs="Calibri"/>
          <w:bCs/>
          <w:sz w:val="24"/>
          <w:szCs w:val="24"/>
        </w:rPr>
        <w:t>sin ningún sesgo clientelar. L</w:t>
      </w:r>
      <w:r w:rsidRPr="001A01AB">
        <w:rPr>
          <w:rFonts w:cs="Calibri"/>
          <w:bCs/>
          <w:sz w:val="24"/>
          <w:szCs w:val="24"/>
        </w:rPr>
        <w:t xml:space="preserve">os programas sociales deberán servir como articuladores de las políticas sociales, especialmente de salud y educación, </w:t>
      </w:r>
      <w:r w:rsidR="006B1CE3">
        <w:rPr>
          <w:rFonts w:cs="Calibri"/>
          <w:bCs/>
          <w:sz w:val="24"/>
          <w:szCs w:val="24"/>
        </w:rPr>
        <w:t>y estar</w:t>
      </w:r>
      <w:r w:rsidRPr="001A01AB">
        <w:rPr>
          <w:rFonts w:cs="Calibri"/>
          <w:bCs/>
          <w:sz w:val="24"/>
          <w:szCs w:val="24"/>
        </w:rPr>
        <w:t xml:space="preserve"> dirigidos a evitar la d</w:t>
      </w:r>
      <w:r w:rsidR="006B1CE3">
        <w:rPr>
          <w:rFonts w:cs="Calibri"/>
          <w:bCs/>
          <w:sz w:val="24"/>
          <w:szCs w:val="24"/>
        </w:rPr>
        <w:t xml:space="preserve">esnutrición infantil, </w:t>
      </w:r>
      <w:r w:rsidRPr="001A01AB">
        <w:rPr>
          <w:rFonts w:cs="Calibri"/>
          <w:bCs/>
          <w:sz w:val="24"/>
          <w:szCs w:val="24"/>
        </w:rPr>
        <w:t>a impulsar la ampliación de la cobertura educativa y evitar el ausentismo escolar de las niñas y niños</w:t>
      </w:r>
      <w:r w:rsidR="006B1CE3">
        <w:rPr>
          <w:rFonts w:cs="Calibri"/>
          <w:bCs/>
          <w:sz w:val="24"/>
          <w:szCs w:val="24"/>
        </w:rPr>
        <w:t xml:space="preserve">. Asimismo, promoverán </w:t>
      </w:r>
      <w:r w:rsidRPr="001A01AB">
        <w:rPr>
          <w:rFonts w:cs="Calibri"/>
          <w:bCs/>
          <w:sz w:val="24"/>
          <w:szCs w:val="24"/>
        </w:rPr>
        <w:t>controles y acciones de salud primaria que contribuyan a prevenir y enfrentar la desnutrición infantil y sus consecuencias.</w:t>
      </w:r>
    </w:p>
    <w:p w:rsidR="00E85191" w:rsidRPr="001A01AB" w:rsidRDefault="00E85191" w:rsidP="0049326C">
      <w:pPr>
        <w:pStyle w:val="Prrafodelista"/>
        <w:spacing w:after="0" w:line="240" w:lineRule="auto"/>
        <w:jc w:val="both"/>
        <w:rPr>
          <w:rFonts w:cs="Calibri"/>
          <w:bCs/>
          <w:sz w:val="24"/>
          <w:szCs w:val="24"/>
        </w:rPr>
      </w:pPr>
    </w:p>
    <w:p w:rsidR="00E85191" w:rsidRPr="001A01AB" w:rsidRDefault="00E85191" w:rsidP="006B0A31">
      <w:pPr>
        <w:pStyle w:val="Prrafodelista"/>
        <w:numPr>
          <w:ilvl w:val="0"/>
          <w:numId w:val="25"/>
        </w:numPr>
        <w:spacing w:after="0" w:line="240" w:lineRule="auto"/>
        <w:jc w:val="both"/>
        <w:rPr>
          <w:rFonts w:cs="Calibri"/>
          <w:bCs/>
          <w:sz w:val="24"/>
          <w:szCs w:val="24"/>
        </w:rPr>
      </w:pPr>
      <w:r w:rsidRPr="001A01AB">
        <w:rPr>
          <w:rFonts w:cs="Calibri"/>
          <w:bCs/>
          <w:sz w:val="24"/>
          <w:szCs w:val="24"/>
        </w:rPr>
        <w:t>Política Laboral. E</w:t>
      </w:r>
      <w:r w:rsidR="006B1CE3">
        <w:rPr>
          <w:rFonts w:cs="Calibri"/>
          <w:bCs/>
          <w:sz w:val="24"/>
          <w:szCs w:val="24"/>
        </w:rPr>
        <w:t>l propósito de e</w:t>
      </w:r>
      <w:r w:rsidRPr="001A01AB">
        <w:rPr>
          <w:rFonts w:cs="Calibri"/>
          <w:bCs/>
          <w:sz w:val="24"/>
          <w:szCs w:val="24"/>
        </w:rPr>
        <w:t xml:space="preserve">sta política sectorial </w:t>
      </w:r>
      <w:r w:rsidR="00E00918">
        <w:rPr>
          <w:rFonts w:cs="Calibri"/>
          <w:bCs/>
          <w:sz w:val="24"/>
          <w:szCs w:val="24"/>
        </w:rPr>
        <w:t>es</w:t>
      </w:r>
      <w:r w:rsidR="00141A70">
        <w:rPr>
          <w:rFonts w:cs="Calibri"/>
          <w:bCs/>
          <w:sz w:val="24"/>
          <w:szCs w:val="24"/>
        </w:rPr>
        <w:t xml:space="preserve"> </w:t>
      </w:r>
      <w:r w:rsidRPr="001A01AB">
        <w:rPr>
          <w:rFonts w:cs="Calibri"/>
          <w:bCs/>
          <w:sz w:val="24"/>
          <w:szCs w:val="24"/>
        </w:rPr>
        <w:t>garantizar el pago del salario mínimo en el campo, así como el empleo decente en general. El énfasis se hará en la supervisión de los empleadores rurales más significativos, por parte del Ministerio de Trabajo.</w:t>
      </w:r>
    </w:p>
    <w:p w:rsidR="00E85191" w:rsidRPr="001A01AB" w:rsidRDefault="00E85191" w:rsidP="0049326C">
      <w:pPr>
        <w:pStyle w:val="Prrafodelista"/>
        <w:spacing w:after="0" w:line="240" w:lineRule="auto"/>
        <w:jc w:val="both"/>
        <w:rPr>
          <w:rFonts w:cs="Calibri"/>
          <w:bCs/>
          <w:sz w:val="24"/>
          <w:szCs w:val="24"/>
        </w:rPr>
      </w:pPr>
    </w:p>
    <w:p w:rsidR="00E85191" w:rsidRPr="001A01AB" w:rsidRDefault="006B1CE3" w:rsidP="006B0A31">
      <w:pPr>
        <w:pStyle w:val="Prrafodelista"/>
        <w:numPr>
          <w:ilvl w:val="0"/>
          <w:numId w:val="25"/>
        </w:numPr>
        <w:spacing w:after="0" w:line="240" w:lineRule="auto"/>
        <w:jc w:val="both"/>
        <w:rPr>
          <w:rFonts w:cs="Calibri"/>
          <w:bCs/>
          <w:sz w:val="24"/>
          <w:szCs w:val="24"/>
        </w:rPr>
      </w:pPr>
      <w:r>
        <w:rPr>
          <w:rFonts w:cs="Calibri"/>
          <w:bCs/>
          <w:sz w:val="24"/>
          <w:szCs w:val="24"/>
        </w:rPr>
        <w:t>Política de Participación Social y Desarrollo P</w:t>
      </w:r>
      <w:r w:rsidR="00E85191" w:rsidRPr="001A01AB">
        <w:rPr>
          <w:rFonts w:cs="Calibri"/>
          <w:bCs/>
          <w:sz w:val="24"/>
          <w:szCs w:val="24"/>
        </w:rPr>
        <w:t>olítico.</w:t>
      </w:r>
      <w:r w:rsidR="00E00918">
        <w:rPr>
          <w:rFonts w:cs="Calibri"/>
          <w:bCs/>
          <w:sz w:val="24"/>
          <w:szCs w:val="24"/>
        </w:rPr>
        <w:t xml:space="preserve"> </w:t>
      </w:r>
      <w:r>
        <w:rPr>
          <w:rFonts w:cs="Calibri"/>
          <w:bCs/>
          <w:sz w:val="24"/>
          <w:szCs w:val="24"/>
        </w:rPr>
        <w:t>E</w:t>
      </w:r>
      <w:r w:rsidR="00E00918">
        <w:rPr>
          <w:rFonts w:cs="Calibri"/>
          <w:bCs/>
          <w:sz w:val="24"/>
          <w:szCs w:val="24"/>
        </w:rPr>
        <w:t>l</w:t>
      </w:r>
      <w:r w:rsidR="00141A70">
        <w:rPr>
          <w:rFonts w:cs="Calibri"/>
          <w:bCs/>
          <w:sz w:val="24"/>
          <w:szCs w:val="24"/>
        </w:rPr>
        <w:t xml:space="preserve"> </w:t>
      </w:r>
      <w:r w:rsidR="00E85191" w:rsidRPr="001A01AB">
        <w:rPr>
          <w:rFonts w:cs="Calibri"/>
          <w:bCs/>
          <w:sz w:val="24"/>
          <w:szCs w:val="24"/>
        </w:rPr>
        <w:t>propósito principal de esta política será promover la unidad de las organizaciones campesinas y, en general, de las organizaciones sociales existentes en los territorios rurales, para fortalecer las capacidades de negociac</w:t>
      </w:r>
      <w:r>
        <w:rPr>
          <w:rFonts w:cs="Calibri"/>
          <w:bCs/>
          <w:sz w:val="24"/>
          <w:szCs w:val="24"/>
        </w:rPr>
        <w:t xml:space="preserve">ión de la población priorizada </w:t>
      </w:r>
      <w:r w:rsidR="00E85191" w:rsidRPr="001A01AB">
        <w:rPr>
          <w:rFonts w:cs="Calibri"/>
          <w:bCs/>
          <w:sz w:val="24"/>
          <w:szCs w:val="24"/>
        </w:rPr>
        <w:t>e</w:t>
      </w:r>
      <w:r>
        <w:rPr>
          <w:rFonts w:cs="Calibri"/>
          <w:bCs/>
          <w:sz w:val="24"/>
          <w:szCs w:val="24"/>
        </w:rPr>
        <w:t>n</w:t>
      </w:r>
      <w:r w:rsidR="00E85191" w:rsidRPr="001A01AB">
        <w:rPr>
          <w:rFonts w:cs="Calibri"/>
          <w:bCs/>
          <w:sz w:val="24"/>
          <w:szCs w:val="24"/>
        </w:rPr>
        <w:t xml:space="preserve"> la PNDRI. Es fundamental la existencia de una visión de mediano y largo plazo, para que en estos procesos participativos las organizaciones sociales tengan la capacidad de mantener una visión estratégica y un horizonte nacional, por encima de las vicisitudes coyunturales que caracterizan las luchas sociales y los intereses particulares que siempre existen. Para el gobierno, este fortalecimiento y unificación de las organizaciones campesinas será una ventaja en términos de capacidades de negociación, certeza y confianza con las mismas. La participación social sin duda contribuye sustancialmente a la gobernabilidad de las políticas públicas correspondientes.</w:t>
      </w:r>
    </w:p>
    <w:p w:rsidR="00E85191" w:rsidRPr="001A01AB" w:rsidRDefault="00E85191" w:rsidP="0049326C">
      <w:pPr>
        <w:pStyle w:val="Prrafodelista"/>
        <w:spacing w:after="0" w:line="240" w:lineRule="auto"/>
        <w:jc w:val="both"/>
        <w:rPr>
          <w:rFonts w:cs="Calibri"/>
          <w:bCs/>
          <w:sz w:val="24"/>
          <w:szCs w:val="24"/>
        </w:rPr>
      </w:pPr>
    </w:p>
    <w:p w:rsidR="00E85191" w:rsidRPr="001A01AB" w:rsidRDefault="00E85191" w:rsidP="006B0A31">
      <w:pPr>
        <w:pStyle w:val="Prrafodelista"/>
        <w:numPr>
          <w:ilvl w:val="0"/>
          <w:numId w:val="25"/>
        </w:numPr>
        <w:spacing w:after="0" w:line="240" w:lineRule="auto"/>
        <w:jc w:val="both"/>
        <w:rPr>
          <w:rFonts w:cs="Calibri"/>
          <w:bCs/>
          <w:sz w:val="24"/>
          <w:szCs w:val="24"/>
        </w:rPr>
      </w:pPr>
      <w:r w:rsidRPr="001A01AB">
        <w:rPr>
          <w:rFonts w:cs="Calibri"/>
          <w:bCs/>
          <w:sz w:val="24"/>
          <w:szCs w:val="24"/>
        </w:rPr>
        <w:t>Políticas de reducción de vulnerabilidad y gestión de riegos.</w:t>
      </w:r>
      <w:r w:rsidR="0049326C" w:rsidRPr="001A01AB">
        <w:rPr>
          <w:rFonts w:cs="Calibri"/>
          <w:bCs/>
          <w:sz w:val="24"/>
          <w:szCs w:val="24"/>
        </w:rPr>
        <w:t xml:space="preserve"> </w:t>
      </w:r>
      <w:r w:rsidR="00863303">
        <w:rPr>
          <w:rFonts w:cs="Calibri"/>
          <w:bCs/>
          <w:sz w:val="24"/>
          <w:szCs w:val="24"/>
        </w:rPr>
        <w:t>Su propósito es</w:t>
      </w:r>
      <w:r w:rsidR="00E00918">
        <w:rPr>
          <w:rFonts w:cs="Calibri"/>
          <w:bCs/>
          <w:sz w:val="24"/>
          <w:szCs w:val="24"/>
        </w:rPr>
        <w:t xml:space="preserve"> </w:t>
      </w:r>
      <w:r w:rsidRPr="001A01AB">
        <w:rPr>
          <w:rFonts w:cs="Calibri"/>
          <w:bCs/>
          <w:sz w:val="24"/>
          <w:szCs w:val="24"/>
        </w:rPr>
        <w:t>enfrentar los r</w:t>
      </w:r>
      <w:r w:rsidR="00863303">
        <w:rPr>
          <w:rFonts w:cs="Calibri"/>
          <w:bCs/>
          <w:sz w:val="24"/>
          <w:szCs w:val="24"/>
        </w:rPr>
        <w:t>iesgos inminentes relacionados con</w:t>
      </w:r>
      <w:r w:rsidRPr="001A01AB">
        <w:rPr>
          <w:rFonts w:cs="Calibri"/>
          <w:bCs/>
          <w:sz w:val="24"/>
          <w:szCs w:val="24"/>
        </w:rPr>
        <w:t xml:space="preserve"> las condiciones extremas del clima, como </w:t>
      </w:r>
      <w:r w:rsidR="00E00918">
        <w:rPr>
          <w:rFonts w:cs="Calibri"/>
          <w:bCs/>
          <w:sz w:val="24"/>
          <w:szCs w:val="24"/>
        </w:rPr>
        <w:t xml:space="preserve">las </w:t>
      </w:r>
      <w:r w:rsidRPr="001A01AB">
        <w:rPr>
          <w:rFonts w:cs="Calibri"/>
          <w:bCs/>
          <w:sz w:val="24"/>
          <w:szCs w:val="24"/>
        </w:rPr>
        <w:t>inundaciones, sequías y heladas, que normalmente se traducen en crisis alimentarias, por agotamiento de las reservas de alimentos de las familias rurales. La política consistirá en procurar la capacidad instalada local y municipal con sistemas de alerta temprana, que permitan reducir los riesgos en pérdidas materiales y humanas</w:t>
      </w:r>
      <w:r w:rsidR="00863303">
        <w:rPr>
          <w:rFonts w:cs="Calibri"/>
          <w:bCs/>
          <w:sz w:val="24"/>
          <w:szCs w:val="24"/>
        </w:rPr>
        <w:t>,</w:t>
      </w:r>
      <w:r w:rsidRPr="001A01AB">
        <w:rPr>
          <w:rFonts w:cs="Calibri"/>
          <w:bCs/>
          <w:sz w:val="24"/>
          <w:szCs w:val="24"/>
        </w:rPr>
        <w:t xml:space="preserve"> y también lograr el aprovisionamiento de alimentos. </w:t>
      </w:r>
      <w:r w:rsidR="00E00918">
        <w:rPr>
          <w:rFonts w:cs="Calibri"/>
          <w:bCs/>
          <w:sz w:val="24"/>
          <w:szCs w:val="24"/>
        </w:rPr>
        <w:t>Indican que l</w:t>
      </w:r>
      <w:r w:rsidRPr="001A01AB">
        <w:rPr>
          <w:rFonts w:cs="Calibri"/>
          <w:bCs/>
          <w:sz w:val="24"/>
          <w:szCs w:val="24"/>
        </w:rPr>
        <w:t>a política deberá articularse con las instancias que a nivel nacional atienden la problemática.</w:t>
      </w:r>
    </w:p>
    <w:p w:rsidR="00E85191" w:rsidRPr="001A01AB" w:rsidRDefault="00E85191" w:rsidP="0049326C">
      <w:pPr>
        <w:pStyle w:val="Prrafodelista"/>
        <w:spacing w:after="0" w:line="240" w:lineRule="auto"/>
        <w:jc w:val="both"/>
        <w:rPr>
          <w:rFonts w:cs="Calibri"/>
          <w:bCs/>
          <w:sz w:val="24"/>
          <w:szCs w:val="24"/>
        </w:rPr>
      </w:pPr>
    </w:p>
    <w:p w:rsidR="00E85191" w:rsidRDefault="00E85191" w:rsidP="006B0A31">
      <w:pPr>
        <w:pStyle w:val="Prrafodelista"/>
        <w:numPr>
          <w:ilvl w:val="0"/>
          <w:numId w:val="25"/>
        </w:numPr>
        <w:spacing w:after="0" w:line="240" w:lineRule="auto"/>
        <w:jc w:val="both"/>
        <w:rPr>
          <w:rFonts w:cs="Calibri"/>
          <w:bCs/>
          <w:sz w:val="24"/>
          <w:szCs w:val="24"/>
        </w:rPr>
      </w:pPr>
      <w:r w:rsidRPr="001A01AB">
        <w:rPr>
          <w:rFonts w:cs="Calibri"/>
          <w:bCs/>
          <w:sz w:val="24"/>
          <w:szCs w:val="24"/>
        </w:rPr>
        <w:t>Política de Soberanía Alimentaria y S</w:t>
      </w:r>
      <w:r w:rsidR="00E00918">
        <w:rPr>
          <w:rFonts w:cs="Calibri"/>
          <w:bCs/>
          <w:sz w:val="24"/>
          <w:szCs w:val="24"/>
        </w:rPr>
        <w:t>eguridad Alimentaria y Nutricional (S</w:t>
      </w:r>
      <w:r w:rsidRPr="001A01AB">
        <w:rPr>
          <w:rFonts w:cs="Calibri"/>
          <w:bCs/>
          <w:sz w:val="24"/>
          <w:szCs w:val="24"/>
        </w:rPr>
        <w:t>AN</w:t>
      </w:r>
      <w:r w:rsidR="00E00918">
        <w:rPr>
          <w:rFonts w:cs="Calibri"/>
          <w:bCs/>
          <w:sz w:val="24"/>
          <w:szCs w:val="24"/>
        </w:rPr>
        <w:t>)</w:t>
      </w:r>
      <w:r w:rsidRPr="001A01AB">
        <w:rPr>
          <w:rFonts w:cs="Calibri"/>
          <w:bCs/>
          <w:sz w:val="24"/>
          <w:szCs w:val="24"/>
        </w:rPr>
        <w:t xml:space="preserve">. </w:t>
      </w:r>
      <w:r w:rsidR="00E00918">
        <w:rPr>
          <w:rFonts w:cs="Calibri"/>
          <w:bCs/>
          <w:sz w:val="24"/>
          <w:szCs w:val="24"/>
        </w:rPr>
        <w:t>Indica que l</w:t>
      </w:r>
      <w:r w:rsidRPr="001A01AB">
        <w:rPr>
          <w:rFonts w:cs="Calibri"/>
          <w:bCs/>
          <w:sz w:val="24"/>
          <w:szCs w:val="24"/>
        </w:rPr>
        <w:t>a soberanía alimentaria deberá considerarse como un horizonte deseable que guíe la orientación de las políticas de SAN. La política de seguridad alimentaria y nutricional deberá focalizarse en los 166 municipios vulnerables. Est</w:t>
      </w:r>
      <w:r w:rsidR="00E00918">
        <w:rPr>
          <w:rFonts w:cs="Calibri"/>
          <w:bCs/>
          <w:sz w:val="24"/>
          <w:szCs w:val="24"/>
        </w:rPr>
        <w:t>a</w:t>
      </w:r>
      <w:r w:rsidRPr="001A01AB">
        <w:rPr>
          <w:rFonts w:cs="Calibri"/>
          <w:bCs/>
          <w:sz w:val="24"/>
          <w:szCs w:val="24"/>
        </w:rPr>
        <w:t>, sin dejar de estar en condici</w:t>
      </w:r>
      <w:r w:rsidR="00863303">
        <w:rPr>
          <w:rFonts w:cs="Calibri"/>
          <w:bCs/>
          <w:sz w:val="24"/>
          <w:szCs w:val="24"/>
        </w:rPr>
        <w:t>ones de responder oportunamente</w:t>
      </w:r>
      <w:r w:rsidRPr="001A01AB">
        <w:rPr>
          <w:rFonts w:cs="Calibri"/>
          <w:bCs/>
          <w:sz w:val="24"/>
          <w:szCs w:val="24"/>
        </w:rPr>
        <w:t xml:space="preserve"> mediante la asistencia alimentaria, debe ser siempre considerada como temporal y asumir que la producción y el empleo son las dimensiones sustanciales a impulsar para que haya disponibilidad y acceso. La promoción de la economía campesina como el sujeto priorizado de la PNDRI contribuirá entonces</w:t>
      </w:r>
      <w:r w:rsidR="00863303">
        <w:rPr>
          <w:rFonts w:cs="Calibri"/>
          <w:bCs/>
          <w:sz w:val="24"/>
          <w:szCs w:val="24"/>
        </w:rPr>
        <w:t>,</w:t>
      </w:r>
      <w:r w:rsidRPr="001A01AB">
        <w:rPr>
          <w:rFonts w:cs="Calibri"/>
          <w:bCs/>
          <w:sz w:val="24"/>
          <w:szCs w:val="24"/>
        </w:rPr>
        <w:t xml:space="preserve"> a </w:t>
      </w:r>
      <w:r w:rsidR="00863303">
        <w:rPr>
          <w:rFonts w:cs="Calibri"/>
          <w:bCs/>
          <w:sz w:val="24"/>
          <w:szCs w:val="24"/>
        </w:rPr>
        <w:t>l</w:t>
      </w:r>
      <w:r w:rsidRPr="001A01AB">
        <w:rPr>
          <w:rFonts w:cs="Calibri"/>
          <w:bCs/>
          <w:sz w:val="24"/>
          <w:szCs w:val="24"/>
        </w:rPr>
        <w:t xml:space="preserve">os componentes de disponibilidad y acceso de la </w:t>
      </w:r>
      <w:r w:rsidR="00863303" w:rsidRPr="001A01AB">
        <w:rPr>
          <w:rFonts w:cs="Calibri"/>
          <w:bCs/>
          <w:sz w:val="24"/>
          <w:szCs w:val="24"/>
        </w:rPr>
        <w:t xml:space="preserve">Política Nacional </w:t>
      </w:r>
      <w:r w:rsidR="00863303">
        <w:rPr>
          <w:rFonts w:cs="Calibri"/>
          <w:bCs/>
          <w:sz w:val="24"/>
          <w:szCs w:val="24"/>
        </w:rPr>
        <w:t>d</w:t>
      </w:r>
      <w:r w:rsidR="00863303" w:rsidRPr="001A01AB">
        <w:rPr>
          <w:rFonts w:cs="Calibri"/>
          <w:bCs/>
          <w:sz w:val="24"/>
          <w:szCs w:val="24"/>
        </w:rPr>
        <w:t xml:space="preserve">e Seguridad Alimentaria </w:t>
      </w:r>
      <w:r w:rsidR="00863303">
        <w:rPr>
          <w:rFonts w:cs="Calibri"/>
          <w:bCs/>
          <w:sz w:val="24"/>
          <w:szCs w:val="24"/>
        </w:rPr>
        <w:t>y</w:t>
      </w:r>
      <w:r w:rsidR="00863303" w:rsidRPr="001A01AB">
        <w:rPr>
          <w:rFonts w:cs="Calibri"/>
          <w:bCs/>
          <w:sz w:val="24"/>
          <w:szCs w:val="24"/>
        </w:rPr>
        <w:t xml:space="preserve"> Nutricional</w:t>
      </w:r>
      <w:r w:rsidRPr="001A01AB">
        <w:rPr>
          <w:rFonts w:cs="Calibri"/>
          <w:bCs/>
          <w:sz w:val="24"/>
          <w:szCs w:val="24"/>
        </w:rPr>
        <w:t>.</w:t>
      </w:r>
    </w:p>
    <w:p w:rsidR="00863303" w:rsidRPr="00863303" w:rsidRDefault="00863303" w:rsidP="00863303">
      <w:pPr>
        <w:pStyle w:val="Prrafodelista"/>
        <w:rPr>
          <w:rFonts w:cs="Calibri"/>
          <w:bCs/>
          <w:sz w:val="24"/>
          <w:szCs w:val="24"/>
        </w:rPr>
      </w:pPr>
    </w:p>
    <w:p w:rsidR="00E85191" w:rsidRPr="001A01AB" w:rsidRDefault="00E85191" w:rsidP="006B0A31">
      <w:pPr>
        <w:pStyle w:val="Prrafodelista"/>
        <w:numPr>
          <w:ilvl w:val="0"/>
          <w:numId w:val="25"/>
        </w:numPr>
        <w:spacing w:after="0" w:line="240" w:lineRule="auto"/>
        <w:jc w:val="both"/>
        <w:rPr>
          <w:rFonts w:cs="Calibri"/>
          <w:bCs/>
          <w:sz w:val="24"/>
          <w:szCs w:val="24"/>
        </w:rPr>
      </w:pPr>
      <w:r w:rsidRPr="001A01AB">
        <w:rPr>
          <w:rFonts w:cs="Calibri"/>
          <w:bCs/>
          <w:sz w:val="24"/>
          <w:szCs w:val="24"/>
        </w:rPr>
        <w:t xml:space="preserve">Política Cultural. Esta política se expresará, </w:t>
      </w:r>
      <w:r w:rsidR="00E00918">
        <w:rPr>
          <w:rFonts w:cs="Calibri"/>
          <w:bCs/>
          <w:sz w:val="24"/>
          <w:szCs w:val="24"/>
        </w:rPr>
        <w:t>según plantea</w:t>
      </w:r>
      <w:r w:rsidRPr="001A01AB">
        <w:rPr>
          <w:rFonts w:cs="Calibri"/>
          <w:bCs/>
          <w:sz w:val="24"/>
          <w:szCs w:val="24"/>
        </w:rPr>
        <w:t>, principalmente en términos de garantizar la pertinencia cultural del resto de políticas sectoriales que se impulsen para promover la economía campesina. En este sentido</w:t>
      </w:r>
      <w:r w:rsidR="00F166D9">
        <w:rPr>
          <w:rFonts w:cs="Calibri"/>
          <w:bCs/>
          <w:sz w:val="24"/>
          <w:szCs w:val="24"/>
        </w:rPr>
        <w:t>,</w:t>
      </w:r>
      <w:r w:rsidRPr="001A01AB">
        <w:rPr>
          <w:rFonts w:cs="Calibri"/>
          <w:bCs/>
          <w:sz w:val="24"/>
          <w:szCs w:val="24"/>
        </w:rPr>
        <w:t xml:space="preserve"> se coordinará con el Ministerio de Cultura y Deportes, para que sea este quien proponga los criterios de pertinencia cultural en lo rural y en particular</w:t>
      </w:r>
      <w:r w:rsidR="00F166D9">
        <w:rPr>
          <w:rFonts w:cs="Calibri"/>
          <w:bCs/>
          <w:sz w:val="24"/>
          <w:szCs w:val="24"/>
        </w:rPr>
        <w:t>,</w:t>
      </w:r>
      <w:r w:rsidRPr="001A01AB">
        <w:rPr>
          <w:rFonts w:cs="Calibri"/>
          <w:bCs/>
          <w:sz w:val="24"/>
          <w:szCs w:val="24"/>
        </w:rPr>
        <w:t xml:space="preserve"> en lo que se relacione con la PNDRI.</w:t>
      </w:r>
    </w:p>
    <w:p w:rsidR="00E85191" w:rsidRPr="001A01AB" w:rsidRDefault="00E85191" w:rsidP="0049326C">
      <w:pPr>
        <w:pStyle w:val="Prrafodelista"/>
        <w:spacing w:after="0" w:line="240" w:lineRule="auto"/>
        <w:jc w:val="both"/>
        <w:rPr>
          <w:rFonts w:cs="Calibri"/>
          <w:bCs/>
          <w:sz w:val="24"/>
          <w:szCs w:val="24"/>
        </w:rPr>
      </w:pPr>
    </w:p>
    <w:p w:rsidR="00E85191" w:rsidRPr="001A01AB" w:rsidRDefault="00E85191" w:rsidP="006B0A31">
      <w:pPr>
        <w:pStyle w:val="Prrafodelista"/>
        <w:numPr>
          <w:ilvl w:val="0"/>
          <w:numId w:val="25"/>
        </w:numPr>
        <w:spacing w:after="0" w:line="240" w:lineRule="auto"/>
        <w:jc w:val="both"/>
        <w:rPr>
          <w:rFonts w:cs="Calibri"/>
          <w:bCs/>
          <w:sz w:val="24"/>
          <w:szCs w:val="24"/>
        </w:rPr>
      </w:pPr>
      <w:r w:rsidRPr="001A01AB">
        <w:rPr>
          <w:rFonts w:cs="Calibri"/>
          <w:bCs/>
          <w:sz w:val="24"/>
          <w:szCs w:val="24"/>
        </w:rPr>
        <w:t>Política Socio Ambiental. La prioridad de esta política</w:t>
      </w:r>
      <w:r w:rsidR="00F166D9">
        <w:rPr>
          <w:rFonts w:cs="Calibri"/>
          <w:bCs/>
          <w:sz w:val="24"/>
          <w:szCs w:val="24"/>
        </w:rPr>
        <w:t xml:space="preserve"> </w:t>
      </w:r>
      <w:r w:rsidRPr="001A01AB">
        <w:rPr>
          <w:rFonts w:cs="Calibri"/>
          <w:bCs/>
          <w:sz w:val="24"/>
          <w:szCs w:val="24"/>
        </w:rPr>
        <w:t>será garantizar la sostenibilidad ambiental de las políticas dirigidas a promover la economía campesina. En particular</w:t>
      </w:r>
      <w:r w:rsidR="00F166D9">
        <w:rPr>
          <w:rFonts w:cs="Calibri"/>
          <w:bCs/>
          <w:sz w:val="24"/>
          <w:szCs w:val="24"/>
        </w:rPr>
        <w:t>,</w:t>
      </w:r>
      <w:r w:rsidRPr="001A01AB">
        <w:rPr>
          <w:rFonts w:cs="Calibri"/>
          <w:bCs/>
          <w:sz w:val="24"/>
          <w:szCs w:val="24"/>
        </w:rPr>
        <w:t xml:space="preserve"> será importante articular con la PNDRI los temas relacionados con ordenamiento territorial, manejo integrado de cuencas y de los recursos hídricos; así como el manejo sostenible de los bosques, particularmente relacionado con la obtención de leña.</w:t>
      </w:r>
    </w:p>
    <w:p w:rsidR="00E85191" w:rsidRPr="001A01AB" w:rsidRDefault="00E85191" w:rsidP="0049326C">
      <w:pPr>
        <w:pStyle w:val="Prrafodelista"/>
        <w:spacing w:after="0" w:line="240" w:lineRule="auto"/>
        <w:jc w:val="both"/>
        <w:rPr>
          <w:rFonts w:cs="Calibri"/>
          <w:bCs/>
          <w:sz w:val="24"/>
          <w:szCs w:val="24"/>
        </w:rPr>
      </w:pPr>
    </w:p>
    <w:p w:rsidR="00220D4B" w:rsidRPr="001A01AB" w:rsidRDefault="00E85191" w:rsidP="006B0A31">
      <w:pPr>
        <w:pStyle w:val="Prrafodelista"/>
        <w:numPr>
          <w:ilvl w:val="0"/>
          <w:numId w:val="25"/>
        </w:numPr>
        <w:spacing w:after="0" w:line="240" w:lineRule="auto"/>
        <w:jc w:val="both"/>
        <w:rPr>
          <w:rFonts w:cs="Calibri"/>
          <w:bCs/>
          <w:sz w:val="24"/>
          <w:szCs w:val="24"/>
        </w:rPr>
      </w:pPr>
      <w:r w:rsidRPr="001A01AB">
        <w:rPr>
          <w:rFonts w:cs="Calibri"/>
          <w:bCs/>
          <w:sz w:val="24"/>
          <w:szCs w:val="24"/>
        </w:rPr>
        <w:t xml:space="preserve">Política de equidad de género. </w:t>
      </w:r>
      <w:r w:rsidR="00E00918">
        <w:rPr>
          <w:rFonts w:cs="Calibri"/>
          <w:bCs/>
          <w:sz w:val="24"/>
          <w:szCs w:val="24"/>
        </w:rPr>
        <w:t>Plantea que l</w:t>
      </w:r>
      <w:r w:rsidRPr="001A01AB">
        <w:rPr>
          <w:rFonts w:cs="Calibri"/>
          <w:bCs/>
          <w:sz w:val="24"/>
          <w:szCs w:val="24"/>
        </w:rPr>
        <w:t>a promoción de la economía campesina tendrá como uno de sus propósitos fundamentales el empoderamiento económico de las mujeres, con lo cual se estará potenciando positivamente el impacto de esta política en el combate a la pobreza y el impulso del desarrollo rural integral.</w:t>
      </w:r>
    </w:p>
    <w:p w:rsidR="00220D4B" w:rsidRPr="001A01AB" w:rsidRDefault="00220D4B" w:rsidP="0049326C">
      <w:pPr>
        <w:ind w:left="360"/>
        <w:jc w:val="both"/>
        <w:rPr>
          <w:rFonts w:ascii="Calibri" w:hAnsi="Calibri" w:cs="Calibri"/>
          <w:lang w:val="es-GT"/>
        </w:rPr>
      </w:pPr>
    </w:p>
    <w:p w:rsidR="00B033C8" w:rsidRDefault="00B033C8"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Default="00EF11ED" w:rsidP="0049326C">
      <w:pPr>
        <w:ind w:left="360"/>
        <w:jc w:val="both"/>
        <w:rPr>
          <w:rFonts w:ascii="Calibri" w:hAnsi="Calibri" w:cs="Calibri"/>
          <w:lang w:val="es-GT"/>
        </w:rPr>
      </w:pPr>
    </w:p>
    <w:p w:rsidR="00EF11ED" w:rsidRPr="001A01AB" w:rsidRDefault="00EF11ED" w:rsidP="0049326C">
      <w:pPr>
        <w:ind w:left="360"/>
        <w:jc w:val="both"/>
        <w:rPr>
          <w:rFonts w:ascii="Calibri" w:hAnsi="Calibri" w:cs="Calibri"/>
          <w:lang w:val="es-GT"/>
        </w:rPr>
      </w:pPr>
    </w:p>
    <w:p w:rsidR="00523BC1" w:rsidRDefault="00523BC1" w:rsidP="0049326C">
      <w:pPr>
        <w:jc w:val="both"/>
        <w:rPr>
          <w:rFonts w:ascii="Calibri" w:hAnsi="Calibri" w:cs="Calibri"/>
          <w:lang w:val="es-GT"/>
        </w:rPr>
      </w:pPr>
    </w:p>
    <w:p w:rsidR="00523BC1" w:rsidRDefault="00523BC1" w:rsidP="0049326C">
      <w:pPr>
        <w:jc w:val="both"/>
        <w:rPr>
          <w:rFonts w:ascii="Calibri" w:hAnsi="Calibri" w:cs="Calibri"/>
          <w:lang w:val="es-GT"/>
        </w:rPr>
      </w:pPr>
    </w:p>
    <w:p w:rsidR="00523BC1" w:rsidRDefault="00523BC1" w:rsidP="0049326C">
      <w:pPr>
        <w:jc w:val="both"/>
        <w:rPr>
          <w:rFonts w:ascii="Calibri" w:hAnsi="Calibri" w:cs="Calibri"/>
          <w:lang w:val="es-GT"/>
        </w:rPr>
      </w:pPr>
    </w:p>
    <w:p w:rsidR="00523BC1" w:rsidRDefault="00523BC1" w:rsidP="0049326C">
      <w:pPr>
        <w:jc w:val="both"/>
        <w:rPr>
          <w:rFonts w:ascii="Calibri" w:hAnsi="Calibri" w:cs="Calibri"/>
          <w:lang w:val="es-GT"/>
        </w:rPr>
      </w:pPr>
    </w:p>
    <w:p w:rsidR="006E7802" w:rsidRPr="001A01AB" w:rsidRDefault="006E7802"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89" w:name="_Toc340065162"/>
      <w:bookmarkStart w:id="90" w:name="_Toc340065254"/>
      <w:bookmarkStart w:id="91" w:name="_Toc340565846"/>
      <w:bookmarkStart w:id="92" w:name="_Toc347841296"/>
      <w:r w:rsidRPr="001A01AB">
        <w:rPr>
          <w:rFonts w:cs="Calibri"/>
          <w:b/>
          <w:color w:val="365F91"/>
          <w:sz w:val="28"/>
          <w:lang w:eastAsia="es-GT"/>
        </w:rPr>
        <w:lastRenderedPageBreak/>
        <w:t>Vínculos entre la agricultura y la pobreza</w:t>
      </w:r>
      <w:r w:rsidR="00003CC0" w:rsidRPr="001A01AB">
        <w:rPr>
          <w:rFonts w:cs="Calibri"/>
          <w:b/>
          <w:color w:val="365F91"/>
          <w:sz w:val="28"/>
          <w:lang w:eastAsia="es-GT"/>
        </w:rPr>
        <w:t xml:space="preserve"> rural</w:t>
      </w:r>
      <w:bookmarkEnd w:id="89"/>
      <w:bookmarkEnd w:id="90"/>
      <w:bookmarkEnd w:id="91"/>
      <w:bookmarkEnd w:id="92"/>
    </w:p>
    <w:p w:rsidR="006E7802" w:rsidRPr="001A01AB" w:rsidRDefault="006E7802" w:rsidP="002B21B9">
      <w:pPr>
        <w:ind w:left="360"/>
        <w:jc w:val="both"/>
        <w:rPr>
          <w:rFonts w:ascii="Calibri" w:hAnsi="Calibri" w:cs="Calibri"/>
          <w:lang w:val="es-GT"/>
        </w:rPr>
      </w:pPr>
    </w:p>
    <w:p w:rsidR="00374112" w:rsidRPr="001A01AB" w:rsidRDefault="00374112" w:rsidP="002B21B9">
      <w:pPr>
        <w:autoSpaceDE w:val="0"/>
        <w:autoSpaceDN w:val="0"/>
        <w:adjustRightInd w:val="0"/>
        <w:ind w:left="360"/>
        <w:jc w:val="both"/>
        <w:rPr>
          <w:rFonts w:ascii="Calibri" w:hAnsi="Calibri" w:cs="Calibri"/>
          <w:lang w:val="es-GT"/>
        </w:rPr>
      </w:pPr>
      <w:r w:rsidRPr="001A01AB">
        <w:rPr>
          <w:rFonts w:ascii="Calibri" w:hAnsi="Calibri" w:cs="Calibri"/>
          <w:lang w:val="es-GT"/>
        </w:rPr>
        <w:t>Los sistemas productivos basados en el uso intensivo, extractivo e insostenible del patrimonio natural, han incrementado su degradación y desvalorización. Un patrimonio natural deteriorado, con ecosistemas frágiles, reduce la producción de</w:t>
      </w:r>
      <w:r w:rsidR="00F362BF" w:rsidRPr="001A01AB">
        <w:rPr>
          <w:rFonts w:ascii="Calibri" w:hAnsi="Calibri" w:cs="Calibri"/>
          <w:lang w:val="es-GT"/>
        </w:rPr>
        <w:t>l</w:t>
      </w:r>
      <w:r w:rsidRPr="001A01AB">
        <w:rPr>
          <w:rFonts w:ascii="Calibri" w:hAnsi="Calibri" w:cs="Calibri"/>
          <w:lang w:val="es-GT"/>
        </w:rPr>
        <w:t xml:space="preserve"> capital natural. Bajo estas circunstancias, los sistemas y procesos naturales</w:t>
      </w:r>
      <w:r w:rsidR="00371E5F">
        <w:rPr>
          <w:rFonts w:ascii="Calibri" w:hAnsi="Calibri" w:cs="Calibri"/>
          <w:lang w:val="es-GT"/>
        </w:rPr>
        <w:t>,</w:t>
      </w:r>
      <w:r w:rsidRPr="001A01AB">
        <w:rPr>
          <w:rFonts w:ascii="Calibri" w:hAnsi="Calibri" w:cs="Calibri"/>
          <w:lang w:val="es-GT"/>
        </w:rPr>
        <w:t xml:space="preserve"> en lugar de contribuir a potenciar el desarrollo humano</w:t>
      </w:r>
      <w:r w:rsidR="00371E5F">
        <w:rPr>
          <w:rFonts w:ascii="Calibri" w:hAnsi="Calibri" w:cs="Calibri"/>
          <w:lang w:val="es-GT"/>
        </w:rPr>
        <w:t>,</w:t>
      </w:r>
      <w:r w:rsidRPr="001A01AB">
        <w:rPr>
          <w:rFonts w:ascii="Calibri" w:hAnsi="Calibri" w:cs="Calibri"/>
          <w:lang w:val="es-GT"/>
        </w:rPr>
        <w:t xml:space="preserve"> se convierten en un factor limitante debido a que el deterioro de este patrimonio tiende a favorecer los conflictos sociales, la vulnerabilidad territorial y ambiental, el deterioro de la salud humana, la disminución de la productividad y del ingreso y finalmente, el deterioro </w:t>
      </w:r>
      <w:r w:rsidR="00371E5F">
        <w:rPr>
          <w:rFonts w:ascii="Calibri" w:hAnsi="Calibri" w:cs="Calibri"/>
          <w:lang w:val="es-GT"/>
        </w:rPr>
        <w:t xml:space="preserve">de </w:t>
      </w:r>
      <w:r w:rsidRPr="001A01AB">
        <w:rPr>
          <w:rFonts w:ascii="Calibri" w:hAnsi="Calibri" w:cs="Calibri"/>
          <w:lang w:val="es-GT"/>
        </w:rPr>
        <w:t xml:space="preserve">la calidad de vida de las poblacionales más dependientes de los sistemas naturales. </w:t>
      </w:r>
    </w:p>
    <w:p w:rsidR="00374112" w:rsidRPr="001A01AB" w:rsidRDefault="00374112" w:rsidP="002B21B9">
      <w:pPr>
        <w:autoSpaceDE w:val="0"/>
        <w:autoSpaceDN w:val="0"/>
        <w:adjustRightInd w:val="0"/>
        <w:ind w:left="360"/>
        <w:jc w:val="both"/>
        <w:rPr>
          <w:rFonts w:ascii="Calibri" w:hAnsi="Calibri" w:cs="Calibri"/>
          <w:lang w:val="es-GT"/>
        </w:rPr>
      </w:pPr>
    </w:p>
    <w:p w:rsidR="00374112" w:rsidRPr="001A01AB" w:rsidRDefault="00374112" w:rsidP="002B21B9">
      <w:pPr>
        <w:autoSpaceDE w:val="0"/>
        <w:autoSpaceDN w:val="0"/>
        <w:adjustRightInd w:val="0"/>
        <w:ind w:left="360"/>
        <w:jc w:val="both"/>
        <w:rPr>
          <w:rFonts w:ascii="Calibri" w:hAnsi="Calibri" w:cs="Calibri"/>
          <w:lang w:val="es-GT"/>
        </w:rPr>
      </w:pPr>
      <w:r w:rsidRPr="001A01AB">
        <w:rPr>
          <w:rFonts w:ascii="Calibri" w:hAnsi="Calibri" w:cs="Calibri"/>
          <w:lang w:val="es-GT"/>
        </w:rPr>
        <w:t>El sistema productivo actual en Guatemala considera a los ecosistemas, y los bienes y servicios que estos aportan, como recursos de libre acceso, sin valor intrínseco o económico que refleje su escasez y calidad (se agotan y se degradan para todos). Frente a esta ausencia de valor de los ecosistemas no se producen inversiones públicas y privadas y</w:t>
      </w:r>
      <w:r w:rsidR="00371E5F">
        <w:rPr>
          <w:rFonts w:ascii="Calibri" w:hAnsi="Calibri" w:cs="Calibri"/>
          <w:lang w:val="es-GT"/>
        </w:rPr>
        <w:t>,</w:t>
      </w:r>
      <w:r w:rsidRPr="001A01AB">
        <w:rPr>
          <w:rFonts w:ascii="Calibri" w:hAnsi="Calibri" w:cs="Calibri"/>
          <w:lang w:val="es-GT"/>
        </w:rPr>
        <w:t xml:space="preserve"> por lo tanto</w:t>
      </w:r>
      <w:r w:rsidR="00371E5F">
        <w:rPr>
          <w:rFonts w:ascii="Calibri" w:hAnsi="Calibri" w:cs="Calibri"/>
          <w:lang w:val="es-GT"/>
        </w:rPr>
        <w:t>,</w:t>
      </w:r>
      <w:r w:rsidRPr="001A01AB">
        <w:rPr>
          <w:rFonts w:ascii="Calibri" w:hAnsi="Calibri" w:cs="Calibri"/>
          <w:lang w:val="es-GT"/>
        </w:rPr>
        <w:t xml:space="preserve"> se induce a un proceso de deterioro que a su vez exacerba las condiciones de pobreza, las que inducen a más deterioro ambiental. </w:t>
      </w:r>
    </w:p>
    <w:p w:rsidR="00374112" w:rsidRPr="001A01AB" w:rsidRDefault="00374112" w:rsidP="002B21B9">
      <w:pPr>
        <w:autoSpaceDE w:val="0"/>
        <w:autoSpaceDN w:val="0"/>
        <w:adjustRightInd w:val="0"/>
        <w:ind w:left="360"/>
        <w:jc w:val="both"/>
        <w:rPr>
          <w:rFonts w:ascii="Calibri" w:hAnsi="Calibri" w:cs="Calibri"/>
          <w:lang w:val="es-GT"/>
        </w:rPr>
      </w:pPr>
    </w:p>
    <w:p w:rsidR="00374112" w:rsidRPr="001A01AB" w:rsidRDefault="00374112" w:rsidP="002B21B9">
      <w:pPr>
        <w:autoSpaceDE w:val="0"/>
        <w:autoSpaceDN w:val="0"/>
        <w:adjustRightInd w:val="0"/>
        <w:ind w:left="360"/>
        <w:jc w:val="both"/>
        <w:rPr>
          <w:rFonts w:ascii="Calibri" w:hAnsi="Calibri" w:cs="Calibri"/>
          <w:lang w:val="es-GT"/>
        </w:rPr>
      </w:pPr>
      <w:r w:rsidRPr="001A01AB">
        <w:rPr>
          <w:rFonts w:ascii="Calibri" w:hAnsi="Calibri" w:cs="Calibri"/>
          <w:lang w:val="es-GT"/>
        </w:rPr>
        <w:t xml:space="preserve">En el ámbito de las políticas ambientales públicas, las mismas no han </w:t>
      </w:r>
      <w:r w:rsidR="000B68AD">
        <w:rPr>
          <w:rFonts w:ascii="Calibri" w:hAnsi="Calibri" w:cs="Calibri"/>
          <w:lang w:val="es-GT"/>
        </w:rPr>
        <w:t>logrado</w:t>
      </w:r>
      <w:r w:rsidRPr="001A01AB">
        <w:rPr>
          <w:rFonts w:ascii="Calibri" w:hAnsi="Calibri" w:cs="Calibri"/>
          <w:lang w:val="es-GT"/>
        </w:rPr>
        <w:t xml:space="preserve"> detener el creciente deterioro ambiental; se trata, más bien, de instrumentos diseñados para salvaguardar el sistema productivo en el que se basa el crecimiento económico. Esto provoca que en Guatemala exista una gestión ambiental que prioriza las necesidades del modelo productivo, </w:t>
      </w:r>
      <w:r w:rsidR="00371E5F">
        <w:rPr>
          <w:rFonts w:ascii="Calibri" w:hAnsi="Calibri" w:cs="Calibri"/>
          <w:lang w:val="es-GT"/>
        </w:rPr>
        <w:t xml:space="preserve">y </w:t>
      </w:r>
      <w:r w:rsidRPr="001A01AB">
        <w:rPr>
          <w:rFonts w:ascii="Calibri" w:hAnsi="Calibri" w:cs="Calibri"/>
          <w:lang w:val="es-GT"/>
        </w:rPr>
        <w:t>no el buen aprovechamiento de los recursos y el cuidado del ambiente. Una gestión que está más comprometida con la ganancia y la competencia desigual, y con las prioridades de las élites políticas y económicas, que con la atención de la problemática ambiental que se ha generado a lo largo de los años (</w:t>
      </w:r>
      <w:r w:rsidRPr="00371E5F">
        <w:rPr>
          <w:rFonts w:ascii="Calibri" w:hAnsi="Calibri" w:cs="Calibri"/>
          <w:highlight w:val="magenta"/>
          <w:lang w:val="es-GT"/>
        </w:rPr>
        <w:t>Monterroso, 2012).</w:t>
      </w:r>
    </w:p>
    <w:p w:rsidR="00374112" w:rsidRPr="001A01AB" w:rsidRDefault="00374112" w:rsidP="002B21B9">
      <w:pPr>
        <w:autoSpaceDE w:val="0"/>
        <w:autoSpaceDN w:val="0"/>
        <w:adjustRightInd w:val="0"/>
        <w:ind w:left="360"/>
        <w:jc w:val="both"/>
        <w:rPr>
          <w:rFonts w:ascii="Calibri" w:hAnsi="Calibri" w:cs="Calibri"/>
          <w:lang w:val="es-GT"/>
        </w:rPr>
      </w:pPr>
    </w:p>
    <w:p w:rsidR="00374112" w:rsidRPr="001A01AB" w:rsidRDefault="00374112" w:rsidP="002B21B9">
      <w:pPr>
        <w:autoSpaceDE w:val="0"/>
        <w:autoSpaceDN w:val="0"/>
        <w:adjustRightInd w:val="0"/>
        <w:ind w:left="360"/>
        <w:jc w:val="both"/>
        <w:rPr>
          <w:rFonts w:ascii="Calibri" w:hAnsi="Calibri" w:cs="Calibri"/>
          <w:lang w:val="es-GT"/>
        </w:rPr>
      </w:pPr>
      <w:r w:rsidRPr="001A01AB">
        <w:rPr>
          <w:rFonts w:ascii="Calibri" w:hAnsi="Calibri" w:cs="Calibri"/>
          <w:lang w:val="es-GT"/>
        </w:rPr>
        <w:t>Varios autores con visiones integrales sobre el desarrollo (Sen, 2006; Sachs y Warner, 1997; Stiglitz, 2006; Gallopín, 2003), advierten que, a pesar de sus efectos adversos, el crecimiento de la economía es, bajo ciertas condiciones, un medio para lograr el desarrollo. Una de esas condiciones es que el crecimiento económico debe mantener un equilibrio con otros ámbitos (naturales, sociales e institucionales). En ese sentido, desde la perspectiva del sistema natural, se necesita i</w:t>
      </w:r>
      <w:r w:rsidR="00371E5F">
        <w:rPr>
          <w:rFonts w:ascii="Calibri" w:hAnsi="Calibri" w:cs="Calibri"/>
          <w:lang w:val="es-GT"/>
        </w:rPr>
        <w:t>ncrementar, o al menos mantener</w:t>
      </w:r>
      <w:r w:rsidRPr="001A01AB">
        <w:rPr>
          <w:rFonts w:ascii="Calibri" w:hAnsi="Calibri" w:cs="Calibri"/>
          <w:lang w:val="es-GT"/>
        </w:rPr>
        <w:t xml:space="preserve"> la base natural del país (capital natural). En términos prácticos, lo que se requiere es balancear las cuentas económicas y ambientales en la búsqueda de saldos positivos, sostenibles a través del tiempo.</w:t>
      </w:r>
    </w:p>
    <w:p w:rsidR="00374112" w:rsidRPr="001A01AB" w:rsidRDefault="00374112" w:rsidP="002B21B9">
      <w:pPr>
        <w:autoSpaceDE w:val="0"/>
        <w:autoSpaceDN w:val="0"/>
        <w:adjustRightInd w:val="0"/>
        <w:ind w:left="360"/>
        <w:jc w:val="both"/>
        <w:rPr>
          <w:rFonts w:ascii="Calibri" w:hAnsi="Calibri" w:cs="Calibri"/>
          <w:lang w:val="es-GT"/>
        </w:rPr>
      </w:pPr>
    </w:p>
    <w:p w:rsidR="00374112" w:rsidRPr="001A01AB" w:rsidRDefault="00374112" w:rsidP="002B21B9">
      <w:pPr>
        <w:autoSpaceDE w:val="0"/>
        <w:autoSpaceDN w:val="0"/>
        <w:adjustRightInd w:val="0"/>
        <w:ind w:left="360"/>
        <w:jc w:val="both"/>
        <w:rPr>
          <w:rFonts w:ascii="Calibri" w:hAnsi="Calibri" w:cs="Calibri"/>
          <w:lang w:val="es-GT"/>
        </w:rPr>
      </w:pPr>
      <w:r w:rsidRPr="001A01AB">
        <w:rPr>
          <w:rFonts w:ascii="Calibri" w:hAnsi="Calibri" w:cs="Calibri"/>
          <w:lang w:val="es-GT"/>
        </w:rPr>
        <w:t>Desde esta perspectiva, es necesario procurar no caer en la trampa de considerar que la población pobre es la principal responsable de la degradación ambiental. Existen datos que demuestran que el aparato productivo económico es, por mucho, el principal responsable de la degradación ambiental.</w:t>
      </w:r>
      <w:r w:rsidR="00141A70">
        <w:rPr>
          <w:rFonts w:ascii="Calibri" w:hAnsi="Calibri" w:cs="Calibri"/>
          <w:lang w:val="es-GT"/>
        </w:rPr>
        <w:t xml:space="preserve"> </w:t>
      </w:r>
      <w:r w:rsidRPr="001A01AB">
        <w:rPr>
          <w:rFonts w:ascii="Calibri" w:hAnsi="Calibri" w:cs="Calibri"/>
          <w:lang w:val="es-GT"/>
        </w:rPr>
        <w:t xml:space="preserve">A continuación, algunos datos que soportan esta aseveración: </w:t>
      </w:r>
    </w:p>
    <w:p w:rsidR="00374112" w:rsidRPr="001A01AB" w:rsidRDefault="00374112" w:rsidP="002B21B9">
      <w:pPr>
        <w:autoSpaceDE w:val="0"/>
        <w:autoSpaceDN w:val="0"/>
        <w:adjustRightInd w:val="0"/>
        <w:ind w:left="360"/>
        <w:jc w:val="both"/>
        <w:rPr>
          <w:rFonts w:ascii="Calibri" w:hAnsi="Calibri" w:cs="Calibri"/>
          <w:color w:val="1A1A1A"/>
          <w:lang w:val="es-GT"/>
        </w:rPr>
      </w:pPr>
    </w:p>
    <w:p w:rsidR="0024530E" w:rsidRPr="001A01AB" w:rsidRDefault="0024530E" w:rsidP="002B21B9">
      <w:pPr>
        <w:autoSpaceDE w:val="0"/>
        <w:autoSpaceDN w:val="0"/>
        <w:adjustRightInd w:val="0"/>
        <w:ind w:left="360"/>
        <w:jc w:val="both"/>
        <w:rPr>
          <w:rFonts w:ascii="Calibri" w:hAnsi="Calibri" w:cs="Calibri"/>
          <w:color w:val="1A1A1A"/>
          <w:lang w:val="es-GT"/>
        </w:rPr>
      </w:pPr>
    </w:p>
    <w:p w:rsidR="00374112" w:rsidRPr="001A01AB" w:rsidRDefault="00374112"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93" w:name="_Toc340065163"/>
      <w:bookmarkStart w:id="94" w:name="_Toc340065255"/>
      <w:bookmarkStart w:id="95" w:name="_Toc340565847"/>
      <w:bookmarkStart w:id="96" w:name="_Toc347841297"/>
      <w:r w:rsidRPr="001A01AB">
        <w:rPr>
          <w:rFonts w:cs="Calibri"/>
          <w:b/>
          <w:color w:val="365F91"/>
          <w:sz w:val="28"/>
          <w:lang w:eastAsia="es-GT"/>
        </w:rPr>
        <w:lastRenderedPageBreak/>
        <w:t>Relación entre el aparato productivo económico y la degradación ambiental</w:t>
      </w:r>
      <w:bookmarkEnd w:id="93"/>
      <w:bookmarkEnd w:id="94"/>
      <w:bookmarkEnd w:id="95"/>
      <w:bookmarkEnd w:id="96"/>
    </w:p>
    <w:p w:rsidR="00374112" w:rsidRPr="001A01AB" w:rsidRDefault="00374112" w:rsidP="00003CC0">
      <w:pPr>
        <w:autoSpaceDE w:val="0"/>
        <w:autoSpaceDN w:val="0"/>
        <w:adjustRightInd w:val="0"/>
        <w:ind w:left="360"/>
        <w:jc w:val="both"/>
        <w:rPr>
          <w:rFonts w:ascii="Calibri" w:hAnsi="Calibri" w:cs="Calibri"/>
          <w:lang w:val="es-GT"/>
        </w:rPr>
      </w:pPr>
      <w:r w:rsidRPr="001A01AB">
        <w:rPr>
          <w:rFonts w:ascii="Calibri" w:hAnsi="Calibri" w:cs="Calibri"/>
          <w:lang w:val="es-GT"/>
        </w:rPr>
        <w:t>Guatemala se encuentra entre los países con las tasas más altas de extracción de bienes naturales por unidad de superficie.</w:t>
      </w:r>
      <w:r w:rsidR="00141A70">
        <w:rPr>
          <w:rFonts w:ascii="Calibri" w:hAnsi="Calibri" w:cs="Calibri"/>
          <w:lang w:val="es-GT"/>
        </w:rPr>
        <w:t xml:space="preserve"> </w:t>
      </w:r>
      <w:r w:rsidRPr="001A01AB">
        <w:rPr>
          <w:rFonts w:ascii="Calibri" w:hAnsi="Calibri" w:cs="Calibri"/>
          <w:lang w:val="es-GT"/>
        </w:rPr>
        <w:t>La masa promedio extraída alcanza las 5.7 toneladas por hectárea por año, de las cuales, el 69.0% corresponde a biomasa, 29.3% a materiales para la construcción, 1.3% a combustibles fósiles y el resto a minerales. Este valor super</w:t>
      </w:r>
      <w:r w:rsidR="004247D4" w:rsidRPr="001A01AB">
        <w:rPr>
          <w:rFonts w:ascii="Calibri" w:hAnsi="Calibri" w:cs="Calibri"/>
          <w:lang w:val="es-GT"/>
        </w:rPr>
        <w:t xml:space="preserve">a </w:t>
      </w:r>
      <w:r w:rsidRPr="001A01AB">
        <w:rPr>
          <w:rFonts w:ascii="Calibri" w:hAnsi="Calibri" w:cs="Calibri"/>
          <w:lang w:val="es-GT"/>
        </w:rPr>
        <w:t>la media de países con similares condiciones de desarrollo, que es de 4.8 toneladas por hectárea por año.</w:t>
      </w:r>
      <w:r w:rsidR="00141A70">
        <w:rPr>
          <w:rFonts w:ascii="Calibri" w:hAnsi="Calibri" w:cs="Calibri"/>
          <w:lang w:val="es-GT"/>
        </w:rPr>
        <w:t xml:space="preserve"> </w:t>
      </w:r>
      <w:r w:rsidRPr="001A01AB">
        <w:rPr>
          <w:rFonts w:ascii="Calibri" w:hAnsi="Calibri" w:cs="Calibri"/>
          <w:lang w:val="es-GT"/>
        </w:rPr>
        <w:t>También excede ampliamente a la media mundial de 3.6 toneladas por hectárea por año.</w:t>
      </w:r>
    </w:p>
    <w:p w:rsidR="00374112" w:rsidRPr="001A01AB" w:rsidRDefault="00374112" w:rsidP="00003CC0">
      <w:pPr>
        <w:autoSpaceDE w:val="0"/>
        <w:autoSpaceDN w:val="0"/>
        <w:adjustRightInd w:val="0"/>
        <w:ind w:left="360"/>
        <w:jc w:val="both"/>
        <w:rPr>
          <w:rFonts w:ascii="Calibri" w:hAnsi="Calibri" w:cs="Calibri"/>
          <w:lang w:val="es-GT"/>
        </w:rPr>
      </w:pPr>
    </w:p>
    <w:p w:rsidR="00374112" w:rsidRPr="001A01AB" w:rsidRDefault="00374112" w:rsidP="00003CC0">
      <w:pPr>
        <w:autoSpaceDE w:val="0"/>
        <w:autoSpaceDN w:val="0"/>
        <w:adjustRightInd w:val="0"/>
        <w:ind w:left="360"/>
        <w:jc w:val="both"/>
        <w:rPr>
          <w:rFonts w:ascii="Calibri" w:hAnsi="Calibri" w:cs="Calibri"/>
          <w:lang w:val="es-GT"/>
        </w:rPr>
      </w:pPr>
      <w:r w:rsidRPr="001A01AB">
        <w:rPr>
          <w:rFonts w:ascii="Calibri" w:hAnsi="Calibri" w:cs="Calibri"/>
          <w:lang w:val="es-GT"/>
        </w:rPr>
        <w:t>Las actividades extractivas, en total, inducen un nivel de “erosión” potencial de las tierras del orden de las 3.4 toneladas de suelo perdido por cada tonelada de biomasa extraída. Las actividades extractivas agrícolas, ganaderas y mineras son responsables de “sobreuso” en al menos el 15% del territorio nacional. Evidentemente, las industrias extractivas degradan, contaminan e inevitablemente agotan los bienes y servicios naturales. Dicho en términos concretos, las industrias extractivas han degradado tierras, contaminado cuerpos de agua, agotado bosques de todo tipo –manglares, pinos, encinos, cedros, caobas, pinabetes, entre otros–, poblaciones marinas y, en general, poblaciones silvestres de flora y fauna.</w:t>
      </w:r>
    </w:p>
    <w:p w:rsidR="00374112" w:rsidRPr="001A01AB" w:rsidRDefault="00374112" w:rsidP="00003CC0">
      <w:pPr>
        <w:autoSpaceDE w:val="0"/>
        <w:autoSpaceDN w:val="0"/>
        <w:adjustRightInd w:val="0"/>
        <w:ind w:left="360"/>
        <w:jc w:val="both"/>
        <w:rPr>
          <w:rFonts w:ascii="Calibri" w:hAnsi="Calibri" w:cs="Calibri"/>
          <w:lang w:val="es-GT"/>
        </w:rPr>
      </w:pPr>
    </w:p>
    <w:p w:rsidR="00374112" w:rsidRDefault="00832C29" w:rsidP="00BE624A">
      <w:pPr>
        <w:autoSpaceDE w:val="0"/>
        <w:autoSpaceDN w:val="0"/>
        <w:adjustRightInd w:val="0"/>
        <w:spacing w:after="60"/>
        <w:ind w:left="360"/>
        <w:jc w:val="both"/>
        <w:rPr>
          <w:rFonts w:ascii="Calibri" w:hAnsi="Calibri" w:cs="Calibri"/>
          <w:lang w:val="es-GT"/>
        </w:rPr>
      </w:pPr>
      <w:r>
        <w:rPr>
          <w:rFonts w:ascii="Calibri" w:hAnsi="Calibri" w:cs="Calibri"/>
          <w:lang w:val="es-GT"/>
        </w:rPr>
        <w:t>Utilizando nuevamente al sistema socioecológico como marco analítico es posible destacar algunos desbalances en materia de desarrollo, siendo los principales</w:t>
      </w:r>
      <w:r w:rsidR="00374112" w:rsidRPr="001A01AB">
        <w:rPr>
          <w:rFonts w:ascii="Calibri" w:hAnsi="Calibri" w:cs="Calibri"/>
          <w:lang w:val="es-GT"/>
        </w:rPr>
        <w:t>:</w:t>
      </w:r>
    </w:p>
    <w:p w:rsidR="00832C29" w:rsidRDefault="00832C29" w:rsidP="00832C29">
      <w:pPr>
        <w:autoSpaceDE w:val="0"/>
        <w:autoSpaceDN w:val="0"/>
        <w:adjustRightInd w:val="0"/>
        <w:spacing w:after="60"/>
        <w:ind w:left="720"/>
        <w:jc w:val="both"/>
        <w:rPr>
          <w:rFonts w:ascii="Calibri" w:hAnsi="Calibri" w:cs="Calibri"/>
          <w:color w:val="1A1A1A"/>
          <w:lang w:val="es-GT"/>
        </w:rPr>
      </w:pPr>
    </w:p>
    <w:p w:rsidR="00374112" w:rsidRPr="001A01AB" w:rsidRDefault="00374112" w:rsidP="006B0A31">
      <w:pPr>
        <w:numPr>
          <w:ilvl w:val="0"/>
          <w:numId w:val="23"/>
        </w:numPr>
        <w:autoSpaceDE w:val="0"/>
        <w:autoSpaceDN w:val="0"/>
        <w:adjustRightInd w:val="0"/>
        <w:spacing w:after="60"/>
        <w:jc w:val="both"/>
        <w:rPr>
          <w:rFonts w:ascii="Calibri" w:hAnsi="Calibri" w:cs="Calibri"/>
          <w:color w:val="1A1A1A"/>
          <w:lang w:val="es-GT"/>
        </w:rPr>
      </w:pPr>
      <w:r w:rsidRPr="001A01AB">
        <w:rPr>
          <w:rFonts w:ascii="Calibri" w:hAnsi="Calibri" w:cs="Calibri"/>
          <w:color w:val="1A1A1A"/>
          <w:lang w:val="es-GT"/>
        </w:rPr>
        <w:t xml:space="preserve">El capital natural se </w:t>
      </w:r>
      <w:r w:rsidR="00832C29">
        <w:rPr>
          <w:rFonts w:ascii="Calibri" w:hAnsi="Calibri" w:cs="Calibri"/>
          <w:color w:val="1A1A1A"/>
          <w:lang w:val="es-GT"/>
        </w:rPr>
        <w:t>redu</w:t>
      </w:r>
      <w:r w:rsidRPr="001A01AB">
        <w:rPr>
          <w:rFonts w:ascii="Calibri" w:hAnsi="Calibri" w:cs="Calibri"/>
          <w:color w:val="1A1A1A"/>
          <w:lang w:val="es-GT"/>
        </w:rPr>
        <w:t>c</w:t>
      </w:r>
      <w:r w:rsidR="00832C29">
        <w:rPr>
          <w:rFonts w:ascii="Calibri" w:hAnsi="Calibri" w:cs="Calibri"/>
          <w:color w:val="1A1A1A"/>
          <w:lang w:val="es-GT"/>
        </w:rPr>
        <w:t>e sostenidamente</w:t>
      </w:r>
      <w:r w:rsidRPr="001A01AB">
        <w:rPr>
          <w:rFonts w:ascii="Calibri" w:hAnsi="Calibri" w:cs="Calibri"/>
          <w:color w:val="1A1A1A"/>
          <w:lang w:val="es-GT"/>
        </w:rPr>
        <w:t xml:space="preserve">, </w:t>
      </w:r>
      <w:r w:rsidR="00832C29">
        <w:rPr>
          <w:rFonts w:ascii="Calibri" w:hAnsi="Calibri" w:cs="Calibri"/>
          <w:color w:val="1A1A1A"/>
          <w:lang w:val="es-GT"/>
        </w:rPr>
        <w:t>contribuyendo a fortalecer la vulnerabilidad del sistema país.</w:t>
      </w:r>
    </w:p>
    <w:p w:rsidR="00374112" w:rsidRPr="001A01AB" w:rsidRDefault="00374112" w:rsidP="006B0A31">
      <w:pPr>
        <w:numPr>
          <w:ilvl w:val="0"/>
          <w:numId w:val="23"/>
        </w:numPr>
        <w:autoSpaceDE w:val="0"/>
        <w:autoSpaceDN w:val="0"/>
        <w:adjustRightInd w:val="0"/>
        <w:spacing w:after="60"/>
        <w:jc w:val="both"/>
        <w:rPr>
          <w:rFonts w:ascii="Calibri" w:hAnsi="Calibri" w:cs="Calibri"/>
          <w:color w:val="1A1A1A"/>
          <w:lang w:val="es-GT"/>
        </w:rPr>
      </w:pPr>
      <w:r w:rsidRPr="001A01AB">
        <w:rPr>
          <w:rFonts w:ascii="Calibri" w:hAnsi="Calibri" w:cs="Calibri"/>
          <w:color w:val="1A1A1A"/>
          <w:lang w:val="es-GT"/>
        </w:rPr>
        <w:t xml:space="preserve">Los elevados flujos </w:t>
      </w:r>
      <w:r w:rsidR="009D2448">
        <w:rPr>
          <w:rFonts w:ascii="Calibri" w:hAnsi="Calibri" w:cs="Calibri"/>
          <w:color w:val="1A1A1A"/>
          <w:lang w:val="es-GT"/>
        </w:rPr>
        <w:t xml:space="preserve">de materiales y energía </w:t>
      </w:r>
      <w:r w:rsidRPr="001A01AB">
        <w:rPr>
          <w:rFonts w:ascii="Calibri" w:hAnsi="Calibri" w:cs="Calibri"/>
          <w:color w:val="1A1A1A"/>
          <w:lang w:val="es-GT"/>
        </w:rPr>
        <w:t xml:space="preserve">que van del subsistema natural al subsistema económico, </w:t>
      </w:r>
      <w:r w:rsidR="009D2448">
        <w:rPr>
          <w:rFonts w:ascii="Calibri" w:hAnsi="Calibri" w:cs="Calibri"/>
          <w:color w:val="1A1A1A"/>
          <w:lang w:val="es-GT"/>
        </w:rPr>
        <w:t xml:space="preserve">agotan bienes naturales en proporciones dramáticas, tal como se ha señalado anteriormente. Por ejemplo, la </w:t>
      </w:r>
      <w:r w:rsidRPr="001A01AB">
        <w:rPr>
          <w:rFonts w:ascii="Calibri" w:hAnsi="Calibri" w:cs="Calibri"/>
          <w:color w:val="1A1A1A"/>
          <w:lang w:val="es-GT"/>
        </w:rPr>
        <w:t>deforesta</w:t>
      </w:r>
      <w:r w:rsidR="009D2448">
        <w:rPr>
          <w:rFonts w:ascii="Calibri" w:hAnsi="Calibri" w:cs="Calibri"/>
          <w:color w:val="1A1A1A"/>
          <w:lang w:val="es-GT"/>
        </w:rPr>
        <w:t xml:space="preserve">ción anual bruta de 132,000 ha; la </w:t>
      </w:r>
      <w:r w:rsidRPr="001A01AB">
        <w:rPr>
          <w:rFonts w:ascii="Calibri" w:hAnsi="Calibri" w:cs="Calibri"/>
          <w:color w:val="1A1A1A"/>
          <w:lang w:val="es-GT"/>
        </w:rPr>
        <w:t>extracción de 31.6 millones de m</w:t>
      </w:r>
      <w:r w:rsidRPr="001A01AB">
        <w:rPr>
          <w:rFonts w:ascii="Calibri" w:hAnsi="Calibri" w:cs="Calibri"/>
          <w:color w:val="1A1A1A"/>
          <w:vertAlign w:val="superscript"/>
          <w:lang w:val="es-GT"/>
        </w:rPr>
        <w:t>3</w:t>
      </w:r>
      <w:r w:rsidRPr="001A01AB">
        <w:rPr>
          <w:rFonts w:ascii="Calibri" w:hAnsi="Calibri" w:cs="Calibri"/>
          <w:color w:val="1A1A1A"/>
          <w:lang w:val="es-GT"/>
        </w:rPr>
        <w:t xml:space="preserve"> de madera</w:t>
      </w:r>
      <w:r w:rsidR="009D2448">
        <w:rPr>
          <w:rFonts w:ascii="Calibri" w:hAnsi="Calibri" w:cs="Calibri"/>
          <w:color w:val="1A1A1A"/>
          <w:lang w:val="es-GT"/>
        </w:rPr>
        <w:t xml:space="preserve"> de cuyo total un 95% fluye de manera ilegal en el ter</w:t>
      </w:r>
      <w:r w:rsidR="00371E5F">
        <w:rPr>
          <w:rFonts w:ascii="Calibri" w:hAnsi="Calibri" w:cs="Calibri"/>
          <w:color w:val="1A1A1A"/>
          <w:lang w:val="es-GT"/>
        </w:rPr>
        <w:t>ritorio nacional o fuera de éste</w:t>
      </w:r>
      <w:r w:rsidR="009D2448">
        <w:rPr>
          <w:rFonts w:ascii="Calibri" w:hAnsi="Calibri" w:cs="Calibri"/>
          <w:color w:val="1A1A1A"/>
          <w:lang w:val="es-GT"/>
        </w:rPr>
        <w:t>; el</w:t>
      </w:r>
      <w:r w:rsidRPr="001A01AB">
        <w:rPr>
          <w:rFonts w:ascii="Calibri" w:hAnsi="Calibri" w:cs="Calibri"/>
          <w:color w:val="1A1A1A"/>
          <w:lang w:val="es-GT"/>
        </w:rPr>
        <w:t xml:space="preserve"> uso </w:t>
      </w:r>
      <w:r w:rsidR="009D2448">
        <w:rPr>
          <w:rFonts w:ascii="Calibri" w:hAnsi="Calibri" w:cs="Calibri"/>
          <w:color w:val="1A1A1A"/>
          <w:lang w:val="es-GT"/>
        </w:rPr>
        <w:t xml:space="preserve">dominantemente </w:t>
      </w:r>
      <w:r w:rsidRPr="001A01AB">
        <w:rPr>
          <w:rFonts w:ascii="Calibri" w:hAnsi="Calibri" w:cs="Calibri"/>
          <w:color w:val="1A1A1A"/>
          <w:lang w:val="es-GT"/>
        </w:rPr>
        <w:t>extractivo de 20,000 millones de m</w:t>
      </w:r>
      <w:r w:rsidRPr="001A01AB">
        <w:rPr>
          <w:rFonts w:ascii="Calibri" w:hAnsi="Calibri" w:cs="Calibri"/>
          <w:color w:val="1A1A1A"/>
          <w:vertAlign w:val="superscript"/>
          <w:lang w:val="es-GT"/>
        </w:rPr>
        <w:t>3</w:t>
      </w:r>
      <w:r w:rsidRPr="001A01AB">
        <w:rPr>
          <w:rFonts w:ascii="Calibri" w:hAnsi="Calibri" w:cs="Calibri"/>
          <w:color w:val="1A1A1A"/>
          <w:lang w:val="es-GT"/>
        </w:rPr>
        <w:t xml:space="preserve"> de agua</w:t>
      </w:r>
      <w:r w:rsidR="009D2448">
        <w:rPr>
          <w:rFonts w:ascii="Calibri" w:hAnsi="Calibri" w:cs="Calibri"/>
          <w:color w:val="1A1A1A"/>
          <w:lang w:val="es-GT"/>
        </w:rPr>
        <w:t>; la</w:t>
      </w:r>
      <w:r w:rsidRPr="001A01AB">
        <w:rPr>
          <w:rFonts w:ascii="Calibri" w:hAnsi="Calibri" w:cs="Calibri"/>
          <w:color w:val="1A1A1A"/>
          <w:lang w:val="es-GT"/>
        </w:rPr>
        <w:t xml:space="preserve"> extracción de 40 millones de toneladas de recursos</w:t>
      </w:r>
      <w:r w:rsidR="009D2448">
        <w:rPr>
          <w:rFonts w:ascii="Calibri" w:hAnsi="Calibri" w:cs="Calibri"/>
          <w:color w:val="1A1A1A"/>
          <w:lang w:val="es-GT"/>
        </w:rPr>
        <w:t xml:space="preserve"> del subsuelo, con las consecuente conflictividad social que inducen;</w:t>
      </w:r>
      <w:r w:rsidRPr="001A01AB">
        <w:rPr>
          <w:rFonts w:ascii="Calibri" w:hAnsi="Calibri" w:cs="Calibri"/>
          <w:color w:val="1A1A1A"/>
          <w:lang w:val="es-GT"/>
        </w:rPr>
        <w:t xml:space="preserve"> </w:t>
      </w:r>
      <w:r w:rsidR="009D2448">
        <w:rPr>
          <w:rFonts w:ascii="Calibri" w:hAnsi="Calibri" w:cs="Calibri"/>
          <w:color w:val="1A1A1A"/>
          <w:lang w:val="es-GT"/>
        </w:rPr>
        <w:t>entre otros. Todos estos eventos</w:t>
      </w:r>
      <w:r w:rsidRPr="001A01AB">
        <w:rPr>
          <w:rFonts w:ascii="Calibri" w:hAnsi="Calibri" w:cs="Calibri"/>
          <w:color w:val="1A1A1A"/>
          <w:lang w:val="es-GT"/>
        </w:rPr>
        <w:t xml:space="preserve"> rebasan la capacidad de recuperación de la naturaleza, lo que produce degradación y agotamiento. </w:t>
      </w:r>
    </w:p>
    <w:p w:rsidR="00374112" w:rsidRPr="001A01AB" w:rsidRDefault="00374112" w:rsidP="006B0A31">
      <w:pPr>
        <w:numPr>
          <w:ilvl w:val="0"/>
          <w:numId w:val="23"/>
        </w:numPr>
        <w:autoSpaceDE w:val="0"/>
        <w:autoSpaceDN w:val="0"/>
        <w:adjustRightInd w:val="0"/>
        <w:spacing w:after="60"/>
        <w:jc w:val="both"/>
        <w:rPr>
          <w:rFonts w:ascii="Calibri" w:hAnsi="Calibri" w:cs="Calibri"/>
          <w:color w:val="1A1A1A"/>
          <w:lang w:val="es-GT"/>
        </w:rPr>
      </w:pPr>
      <w:r w:rsidRPr="001A01AB">
        <w:rPr>
          <w:rFonts w:ascii="Calibri" w:hAnsi="Calibri" w:cs="Calibri"/>
          <w:color w:val="1A1A1A"/>
          <w:lang w:val="es-GT"/>
        </w:rPr>
        <w:t xml:space="preserve">Existe también un elevado flujo </w:t>
      </w:r>
      <w:r w:rsidR="009D2448">
        <w:rPr>
          <w:rFonts w:ascii="Calibri" w:hAnsi="Calibri" w:cs="Calibri"/>
          <w:color w:val="1A1A1A"/>
          <w:lang w:val="es-GT"/>
        </w:rPr>
        <w:t xml:space="preserve">de contaminantes </w:t>
      </w:r>
      <w:r w:rsidRPr="001A01AB">
        <w:rPr>
          <w:rFonts w:ascii="Calibri" w:hAnsi="Calibri" w:cs="Calibri"/>
          <w:color w:val="1A1A1A"/>
          <w:lang w:val="es-GT"/>
        </w:rPr>
        <w:t>que va del subsistema económico al subsistema natural</w:t>
      </w:r>
      <w:r w:rsidR="00BE624A" w:rsidRPr="001A01AB">
        <w:rPr>
          <w:rFonts w:ascii="Calibri" w:hAnsi="Calibri" w:cs="Calibri"/>
          <w:color w:val="1A1A1A"/>
          <w:lang w:val="es-GT"/>
        </w:rPr>
        <w:t xml:space="preserve">, </w:t>
      </w:r>
      <w:r w:rsidR="00371E5F">
        <w:rPr>
          <w:rFonts w:ascii="Calibri" w:hAnsi="Calibri" w:cs="Calibri"/>
          <w:color w:val="1A1A1A"/>
          <w:lang w:val="es-GT"/>
        </w:rPr>
        <w:t>principalmente</w:t>
      </w:r>
      <w:r w:rsidR="009D2448">
        <w:rPr>
          <w:rFonts w:ascii="Calibri" w:hAnsi="Calibri" w:cs="Calibri"/>
          <w:color w:val="1A1A1A"/>
          <w:lang w:val="es-GT"/>
        </w:rPr>
        <w:t xml:space="preserve"> la</w:t>
      </w:r>
      <w:r w:rsidRPr="001A01AB">
        <w:rPr>
          <w:rFonts w:ascii="Calibri" w:hAnsi="Calibri" w:cs="Calibri"/>
          <w:color w:val="1A1A1A"/>
          <w:lang w:val="es-GT"/>
        </w:rPr>
        <w:t xml:space="preserve"> generación de 116 millones de toneladas de desechos sólidos</w:t>
      </w:r>
      <w:r w:rsidR="009D2448">
        <w:rPr>
          <w:rFonts w:ascii="Calibri" w:hAnsi="Calibri" w:cs="Calibri"/>
          <w:color w:val="1A1A1A"/>
          <w:lang w:val="es-GT"/>
        </w:rPr>
        <w:t xml:space="preserve"> anuales; la</w:t>
      </w:r>
      <w:r w:rsidRPr="001A01AB">
        <w:rPr>
          <w:rFonts w:ascii="Calibri" w:hAnsi="Calibri" w:cs="Calibri"/>
          <w:color w:val="1A1A1A"/>
          <w:lang w:val="es-GT"/>
        </w:rPr>
        <w:t xml:space="preserve"> generación de 10,000 millones de m</w:t>
      </w:r>
      <w:r w:rsidRPr="001A01AB">
        <w:rPr>
          <w:rFonts w:ascii="Calibri" w:hAnsi="Calibri" w:cs="Calibri"/>
          <w:color w:val="1A1A1A"/>
          <w:vertAlign w:val="superscript"/>
          <w:lang w:val="es-GT"/>
        </w:rPr>
        <w:t>3</w:t>
      </w:r>
      <w:r w:rsidRPr="001A01AB">
        <w:rPr>
          <w:rFonts w:ascii="Calibri" w:hAnsi="Calibri" w:cs="Calibri"/>
          <w:color w:val="1A1A1A"/>
          <w:lang w:val="es-GT"/>
        </w:rPr>
        <w:t xml:space="preserve"> de aguas residuales</w:t>
      </w:r>
      <w:r w:rsidR="009D2448">
        <w:rPr>
          <w:rFonts w:ascii="Calibri" w:hAnsi="Calibri" w:cs="Calibri"/>
          <w:color w:val="1A1A1A"/>
          <w:lang w:val="es-GT"/>
        </w:rPr>
        <w:t xml:space="preserve"> anuales y la</w:t>
      </w:r>
      <w:r w:rsidRPr="001A01AB">
        <w:rPr>
          <w:rFonts w:ascii="Calibri" w:hAnsi="Calibri" w:cs="Calibri"/>
          <w:color w:val="1A1A1A"/>
          <w:lang w:val="es-GT"/>
        </w:rPr>
        <w:t xml:space="preserve"> emisión de 48 millones de toneladas de CO</w:t>
      </w:r>
      <w:r w:rsidRPr="001A01AB">
        <w:rPr>
          <w:rFonts w:ascii="Calibri" w:hAnsi="Calibri" w:cs="Calibri"/>
          <w:color w:val="1A1A1A"/>
          <w:vertAlign w:val="subscript"/>
          <w:lang w:val="es-GT"/>
        </w:rPr>
        <w:t>2</w:t>
      </w:r>
      <w:r w:rsidR="00BE624A" w:rsidRPr="001A01AB">
        <w:rPr>
          <w:rFonts w:ascii="Calibri" w:hAnsi="Calibri" w:cs="Calibri"/>
          <w:color w:val="1A1A1A"/>
          <w:vertAlign w:val="subscript"/>
          <w:lang w:val="es-GT"/>
        </w:rPr>
        <w:t>-</w:t>
      </w:r>
      <w:r w:rsidRPr="001A01AB">
        <w:rPr>
          <w:rFonts w:ascii="Calibri" w:hAnsi="Calibri" w:cs="Calibri"/>
          <w:color w:val="1A1A1A"/>
          <w:lang w:val="es-GT"/>
        </w:rPr>
        <w:t xml:space="preserve"> </w:t>
      </w:r>
      <w:r w:rsidR="009D2448">
        <w:rPr>
          <w:rFonts w:ascii="Calibri" w:hAnsi="Calibri" w:cs="Calibri"/>
          <w:color w:val="1A1A1A"/>
          <w:lang w:val="es-GT"/>
        </w:rPr>
        <w:t>equivalente. Estos</w:t>
      </w:r>
      <w:r w:rsidRPr="001A01AB">
        <w:rPr>
          <w:rFonts w:ascii="Calibri" w:hAnsi="Calibri" w:cs="Calibri"/>
          <w:color w:val="1A1A1A"/>
          <w:lang w:val="es-GT"/>
        </w:rPr>
        <w:t xml:space="preserve"> flujo</w:t>
      </w:r>
      <w:r w:rsidR="009D2448">
        <w:rPr>
          <w:rFonts w:ascii="Calibri" w:hAnsi="Calibri" w:cs="Calibri"/>
          <w:color w:val="1A1A1A"/>
          <w:lang w:val="es-GT"/>
        </w:rPr>
        <w:t>s</w:t>
      </w:r>
      <w:r w:rsidRPr="001A01AB">
        <w:rPr>
          <w:rFonts w:ascii="Calibri" w:hAnsi="Calibri" w:cs="Calibri"/>
          <w:color w:val="1A1A1A"/>
          <w:lang w:val="es-GT"/>
        </w:rPr>
        <w:t xml:space="preserve"> produce</w:t>
      </w:r>
      <w:r w:rsidR="00371E5F">
        <w:rPr>
          <w:rFonts w:ascii="Calibri" w:hAnsi="Calibri" w:cs="Calibri"/>
          <w:color w:val="1A1A1A"/>
          <w:lang w:val="es-GT"/>
        </w:rPr>
        <w:t>n</w:t>
      </w:r>
      <w:r w:rsidRPr="001A01AB">
        <w:rPr>
          <w:rFonts w:ascii="Calibri" w:hAnsi="Calibri" w:cs="Calibri"/>
          <w:color w:val="1A1A1A"/>
          <w:lang w:val="es-GT"/>
        </w:rPr>
        <w:t xml:space="preserve"> degradación y contaminación.</w:t>
      </w:r>
    </w:p>
    <w:p w:rsidR="00374112" w:rsidRDefault="00374112" w:rsidP="006B0A31">
      <w:pPr>
        <w:numPr>
          <w:ilvl w:val="0"/>
          <w:numId w:val="23"/>
        </w:numPr>
        <w:autoSpaceDE w:val="0"/>
        <w:autoSpaceDN w:val="0"/>
        <w:adjustRightInd w:val="0"/>
        <w:spacing w:after="60"/>
        <w:jc w:val="both"/>
        <w:rPr>
          <w:rFonts w:ascii="Calibri" w:hAnsi="Calibri" w:cs="Calibri"/>
          <w:color w:val="1A1A1A"/>
          <w:lang w:val="es-GT"/>
        </w:rPr>
      </w:pPr>
      <w:r w:rsidRPr="001A01AB">
        <w:rPr>
          <w:rFonts w:ascii="Calibri" w:hAnsi="Calibri" w:cs="Calibri"/>
          <w:color w:val="1A1A1A"/>
          <w:lang w:val="es-GT"/>
        </w:rPr>
        <w:t>Los flujos de financiamiento de las instituciones a la naturaleza son limitados, lo que explica las relaciones no sostenibles.</w:t>
      </w:r>
    </w:p>
    <w:p w:rsidR="00B27A5B" w:rsidRPr="00B27A5B" w:rsidRDefault="00B27A5B" w:rsidP="006B0A31">
      <w:pPr>
        <w:numPr>
          <w:ilvl w:val="0"/>
          <w:numId w:val="23"/>
        </w:numPr>
        <w:autoSpaceDE w:val="0"/>
        <w:autoSpaceDN w:val="0"/>
        <w:adjustRightInd w:val="0"/>
        <w:spacing w:after="60"/>
        <w:jc w:val="both"/>
        <w:rPr>
          <w:rFonts w:ascii="Calibri" w:hAnsi="Calibri" w:cs="Calibri"/>
          <w:color w:val="1A1A1A"/>
          <w:lang w:val="es-GT"/>
        </w:rPr>
      </w:pPr>
      <w:r w:rsidRPr="00B27A5B">
        <w:rPr>
          <w:rFonts w:ascii="Calibri" w:hAnsi="Calibri" w:cs="Calibri"/>
          <w:color w:val="1A1A1A"/>
          <w:lang w:val="es-GT"/>
        </w:rPr>
        <w:t>Eficiencia e intensidad del sistema: Los indicadores relevantes en esta dimensión son: 15% del territorio nacional e</w:t>
      </w:r>
      <w:r w:rsidR="00371E5F">
        <w:rPr>
          <w:rFonts w:ascii="Calibri" w:hAnsi="Calibri" w:cs="Calibri"/>
          <w:color w:val="1A1A1A"/>
          <w:lang w:val="es-GT"/>
        </w:rPr>
        <w:t>stá e</w:t>
      </w:r>
      <w:r w:rsidRPr="00B27A5B">
        <w:rPr>
          <w:rFonts w:ascii="Calibri" w:hAnsi="Calibri" w:cs="Calibri"/>
          <w:color w:val="1A1A1A"/>
          <w:lang w:val="es-GT"/>
        </w:rPr>
        <w:t xml:space="preserve">n condiciones de sobre uso, </w:t>
      </w:r>
      <w:r w:rsidR="00371E5F">
        <w:rPr>
          <w:rFonts w:ascii="Calibri" w:hAnsi="Calibri" w:cs="Calibri"/>
          <w:color w:val="1A1A1A"/>
          <w:lang w:val="es-GT"/>
        </w:rPr>
        <w:t xml:space="preserve">la </w:t>
      </w:r>
      <w:r w:rsidRPr="00B27A5B">
        <w:rPr>
          <w:rFonts w:ascii="Calibri" w:hAnsi="Calibri" w:cs="Calibri"/>
          <w:color w:val="1A1A1A"/>
          <w:lang w:val="es-GT"/>
        </w:rPr>
        <w:t xml:space="preserve">erosión anual </w:t>
      </w:r>
      <w:r w:rsidR="00371E5F">
        <w:rPr>
          <w:rFonts w:ascii="Calibri" w:hAnsi="Calibri" w:cs="Calibri"/>
          <w:color w:val="1A1A1A"/>
          <w:lang w:val="es-GT"/>
        </w:rPr>
        <w:t xml:space="preserve">es </w:t>
      </w:r>
      <w:r w:rsidRPr="00B27A5B">
        <w:rPr>
          <w:rFonts w:ascii="Calibri" w:hAnsi="Calibri" w:cs="Calibri"/>
          <w:color w:val="1A1A1A"/>
          <w:lang w:val="es-GT"/>
        </w:rPr>
        <w:t xml:space="preserve">de 148 millones de toneladas de suelo, </w:t>
      </w:r>
      <w:r w:rsidR="00371E5F">
        <w:rPr>
          <w:rFonts w:ascii="Calibri" w:hAnsi="Calibri" w:cs="Calibri"/>
          <w:color w:val="1A1A1A"/>
          <w:lang w:val="es-GT"/>
        </w:rPr>
        <w:t xml:space="preserve">y la </w:t>
      </w:r>
      <w:r w:rsidRPr="00B27A5B">
        <w:rPr>
          <w:rFonts w:ascii="Calibri" w:hAnsi="Calibri" w:cs="Calibri"/>
          <w:color w:val="1A1A1A"/>
          <w:lang w:val="es-GT"/>
        </w:rPr>
        <w:t>efectividad en el manejo de áreas protegidas</w:t>
      </w:r>
      <w:r w:rsidR="00371E5F">
        <w:rPr>
          <w:rFonts w:ascii="Calibri" w:hAnsi="Calibri" w:cs="Calibri"/>
          <w:color w:val="1A1A1A"/>
          <w:lang w:val="es-GT"/>
        </w:rPr>
        <w:t xml:space="preserve"> es </w:t>
      </w:r>
      <w:r w:rsidR="00371E5F" w:rsidRPr="00B27A5B">
        <w:rPr>
          <w:rFonts w:ascii="Calibri" w:hAnsi="Calibri" w:cs="Calibri"/>
          <w:color w:val="1A1A1A"/>
          <w:lang w:val="es-GT"/>
        </w:rPr>
        <w:t>mediana</w:t>
      </w:r>
      <w:r w:rsidRPr="00B27A5B">
        <w:rPr>
          <w:rFonts w:ascii="Calibri" w:hAnsi="Calibri" w:cs="Calibri"/>
          <w:color w:val="1A1A1A"/>
          <w:lang w:val="es-GT"/>
        </w:rPr>
        <w:t>.</w:t>
      </w:r>
    </w:p>
    <w:p w:rsidR="00B27A5B" w:rsidRDefault="00B27A5B" w:rsidP="00B27A5B">
      <w:pPr>
        <w:numPr>
          <w:ilvl w:val="0"/>
          <w:numId w:val="23"/>
        </w:numPr>
        <w:autoSpaceDE w:val="0"/>
        <w:autoSpaceDN w:val="0"/>
        <w:adjustRightInd w:val="0"/>
        <w:spacing w:after="60"/>
        <w:jc w:val="both"/>
        <w:rPr>
          <w:rFonts w:ascii="Calibri" w:hAnsi="Calibri" w:cs="Calibri"/>
          <w:color w:val="1A1A1A"/>
          <w:lang w:val="es-GT"/>
        </w:rPr>
      </w:pPr>
      <w:r>
        <w:rPr>
          <w:rFonts w:ascii="Calibri" w:hAnsi="Calibri" w:cs="Calibri"/>
          <w:color w:val="1A1A1A"/>
          <w:lang w:val="es-GT"/>
        </w:rPr>
        <w:lastRenderedPageBreak/>
        <w:t xml:space="preserve">El subsistema económico es altamente concentrador y excluyente: Los índices de Gini de </w:t>
      </w:r>
      <w:r w:rsidR="00374112" w:rsidRPr="001A01AB">
        <w:rPr>
          <w:rFonts w:ascii="Calibri" w:hAnsi="Calibri" w:cs="Calibri"/>
          <w:color w:val="1A1A1A"/>
          <w:lang w:val="es-GT"/>
        </w:rPr>
        <w:t>distribución del in</w:t>
      </w:r>
      <w:r>
        <w:rPr>
          <w:rFonts w:ascii="Calibri" w:hAnsi="Calibri" w:cs="Calibri"/>
          <w:color w:val="1A1A1A"/>
          <w:lang w:val="es-GT"/>
        </w:rPr>
        <w:t xml:space="preserve">greso (índice de GINI de 0.54) y de </w:t>
      </w:r>
      <w:r w:rsidR="00374112" w:rsidRPr="001A01AB">
        <w:rPr>
          <w:rFonts w:ascii="Calibri" w:hAnsi="Calibri" w:cs="Calibri"/>
          <w:color w:val="1A1A1A"/>
          <w:lang w:val="es-GT"/>
        </w:rPr>
        <w:t xml:space="preserve">concentración de la </w:t>
      </w:r>
      <w:r>
        <w:rPr>
          <w:rFonts w:ascii="Calibri" w:hAnsi="Calibri" w:cs="Calibri"/>
          <w:color w:val="1A1A1A"/>
          <w:lang w:val="es-GT"/>
        </w:rPr>
        <w:t>tierra (índice</w:t>
      </w:r>
      <w:r w:rsidR="00BC44FA">
        <w:rPr>
          <w:rFonts w:ascii="Calibri" w:hAnsi="Calibri" w:cs="Calibri"/>
          <w:color w:val="1A1A1A"/>
          <w:lang w:val="es-GT"/>
        </w:rPr>
        <w:t xml:space="preserve"> de GINI de 0.84), así como el Í</w:t>
      </w:r>
      <w:r>
        <w:rPr>
          <w:rFonts w:ascii="Calibri" w:hAnsi="Calibri" w:cs="Calibri"/>
          <w:color w:val="1A1A1A"/>
          <w:lang w:val="es-GT"/>
        </w:rPr>
        <w:t>ndice de D</w:t>
      </w:r>
      <w:r w:rsidR="00374112" w:rsidRPr="001A01AB">
        <w:rPr>
          <w:rFonts w:ascii="Calibri" w:hAnsi="Calibri" w:cs="Calibri"/>
          <w:color w:val="1A1A1A"/>
          <w:lang w:val="es-GT"/>
        </w:rPr>
        <w:t xml:space="preserve">esarrollo </w:t>
      </w:r>
      <w:r>
        <w:rPr>
          <w:rFonts w:ascii="Calibri" w:hAnsi="Calibri" w:cs="Calibri"/>
          <w:color w:val="1A1A1A"/>
          <w:lang w:val="es-GT"/>
        </w:rPr>
        <w:t xml:space="preserve">Humano (IDH de 0.54), son indicativos de estos </w:t>
      </w:r>
      <w:r w:rsidR="00832C29">
        <w:rPr>
          <w:rFonts w:ascii="Calibri" w:hAnsi="Calibri" w:cs="Calibri"/>
          <w:color w:val="1A1A1A"/>
          <w:lang w:val="es-GT"/>
        </w:rPr>
        <w:t>rasgos</w:t>
      </w:r>
      <w:r>
        <w:rPr>
          <w:rFonts w:ascii="Calibri" w:hAnsi="Calibri" w:cs="Calibri"/>
          <w:color w:val="1A1A1A"/>
          <w:lang w:val="es-GT"/>
        </w:rPr>
        <w:t>.</w:t>
      </w:r>
    </w:p>
    <w:p w:rsidR="00B27A5B" w:rsidRDefault="00374112" w:rsidP="00374112">
      <w:pPr>
        <w:numPr>
          <w:ilvl w:val="0"/>
          <w:numId w:val="23"/>
        </w:numPr>
        <w:autoSpaceDE w:val="0"/>
        <w:autoSpaceDN w:val="0"/>
        <w:adjustRightInd w:val="0"/>
        <w:spacing w:after="60"/>
        <w:jc w:val="both"/>
        <w:rPr>
          <w:rFonts w:ascii="Calibri" w:hAnsi="Calibri" w:cs="Calibri"/>
          <w:color w:val="1A1A1A"/>
          <w:lang w:val="es-GT"/>
        </w:rPr>
      </w:pPr>
      <w:r w:rsidRPr="00B27A5B">
        <w:rPr>
          <w:rFonts w:ascii="Calibri" w:hAnsi="Calibri" w:cs="Calibri"/>
          <w:color w:val="1A1A1A"/>
          <w:lang w:val="es-GT"/>
        </w:rPr>
        <w:t>Los desbalances hacen que el sistema sea insostenible</w:t>
      </w:r>
      <w:r w:rsidR="00B27A5B" w:rsidRPr="00B27A5B">
        <w:rPr>
          <w:rFonts w:ascii="Calibri" w:hAnsi="Calibri" w:cs="Calibri"/>
          <w:color w:val="1A1A1A"/>
          <w:lang w:val="es-GT"/>
        </w:rPr>
        <w:t>.</w:t>
      </w:r>
    </w:p>
    <w:p w:rsidR="00B27A5B" w:rsidRDefault="00B27A5B" w:rsidP="00B27A5B">
      <w:pPr>
        <w:autoSpaceDE w:val="0"/>
        <w:autoSpaceDN w:val="0"/>
        <w:adjustRightInd w:val="0"/>
        <w:spacing w:after="60"/>
        <w:ind w:left="360"/>
        <w:jc w:val="both"/>
        <w:rPr>
          <w:rFonts w:ascii="Calibri" w:hAnsi="Calibri" w:cs="Calibri"/>
          <w:color w:val="1A1A1A"/>
          <w:lang w:val="es-GT"/>
        </w:rPr>
      </w:pPr>
    </w:p>
    <w:p w:rsidR="00B27A5B" w:rsidRDefault="00B27A5B" w:rsidP="00B27A5B">
      <w:pPr>
        <w:autoSpaceDE w:val="0"/>
        <w:autoSpaceDN w:val="0"/>
        <w:adjustRightInd w:val="0"/>
        <w:spacing w:after="60"/>
        <w:ind w:left="360"/>
        <w:jc w:val="both"/>
        <w:rPr>
          <w:rFonts w:ascii="Calibri" w:hAnsi="Calibri" w:cs="Calibri"/>
          <w:color w:val="1A1A1A"/>
          <w:lang w:val="es-GT"/>
        </w:rPr>
      </w:pPr>
      <w:r w:rsidRPr="00B27A5B">
        <w:rPr>
          <w:rFonts w:ascii="Calibri" w:hAnsi="Calibri" w:cs="Calibri"/>
          <w:color w:val="1A1A1A"/>
          <w:lang w:val="es-GT"/>
        </w:rPr>
        <w:t xml:space="preserve"> </w:t>
      </w:r>
      <w:r w:rsidR="00374112" w:rsidRPr="00B27A5B">
        <w:rPr>
          <w:rFonts w:ascii="Calibri" w:hAnsi="Calibri" w:cs="Calibri"/>
          <w:color w:val="1A1A1A"/>
          <w:lang w:val="es-GT"/>
        </w:rPr>
        <w:t xml:space="preserve">La </w:t>
      </w:r>
      <w:r>
        <w:rPr>
          <w:rFonts w:ascii="Calibri" w:hAnsi="Calibri" w:cs="Calibri"/>
          <w:color w:val="1A1A1A"/>
          <w:lang w:val="es-GT"/>
        </w:rPr>
        <w:t>F</w:t>
      </w:r>
      <w:r w:rsidR="00374112" w:rsidRPr="00B27A5B">
        <w:rPr>
          <w:rFonts w:ascii="Calibri" w:hAnsi="Calibri" w:cs="Calibri"/>
          <w:color w:val="1A1A1A"/>
          <w:lang w:val="es-GT"/>
        </w:rPr>
        <w:t>igura</w:t>
      </w:r>
      <w:r>
        <w:rPr>
          <w:rFonts w:ascii="Calibri" w:hAnsi="Calibri" w:cs="Calibri"/>
          <w:color w:val="1A1A1A"/>
          <w:lang w:val="es-GT"/>
        </w:rPr>
        <w:t xml:space="preserve"> </w:t>
      </w:r>
      <w:r w:rsidR="000C27D7">
        <w:rPr>
          <w:rFonts w:ascii="Calibri" w:hAnsi="Calibri" w:cs="Calibri"/>
          <w:color w:val="1A1A1A"/>
          <w:lang w:val="es-GT"/>
        </w:rPr>
        <w:t>20</w:t>
      </w:r>
      <w:r w:rsidR="00374112" w:rsidRPr="00B27A5B">
        <w:rPr>
          <w:rFonts w:ascii="Calibri" w:hAnsi="Calibri" w:cs="Calibri"/>
          <w:color w:val="1A1A1A"/>
          <w:lang w:val="es-GT"/>
        </w:rPr>
        <w:t xml:space="preserve"> muestra esquemáticamente est</w:t>
      </w:r>
      <w:r>
        <w:rPr>
          <w:rFonts w:ascii="Calibri" w:hAnsi="Calibri" w:cs="Calibri"/>
          <w:color w:val="1A1A1A"/>
          <w:lang w:val="es-GT"/>
        </w:rPr>
        <w:t>as relaciones.</w:t>
      </w:r>
    </w:p>
    <w:p w:rsidR="00B27A5B" w:rsidRDefault="00B27A5B" w:rsidP="00B27A5B">
      <w:pPr>
        <w:autoSpaceDE w:val="0"/>
        <w:autoSpaceDN w:val="0"/>
        <w:adjustRightInd w:val="0"/>
        <w:spacing w:after="60"/>
        <w:ind w:left="360"/>
        <w:jc w:val="both"/>
        <w:rPr>
          <w:rFonts w:ascii="Calibri" w:hAnsi="Calibri" w:cs="Calibri"/>
          <w:color w:val="1A1A1A"/>
          <w:lang w:val="es-GT"/>
        </w:rPr>
      </w:pPr>
    </w:p>
    <w:p w:rsidR="00B27A5B" w:rsidRPr="00B27A5B" w:rsidRDefault="00B27A5B" w:rsidP="00B27A5B">
      <w:pPr>
        <w:autoSpaceDE w:val="0"/>
        <w:autoSpaceDN w:val="0"/>
        <w:adjustRightInd w:val="0"/>
        <w:spacing w:after="60"/>
        <w:ind w:left="360"/>
        <w:jc w:val="both"/>
        <w:rPr>
          <w:rFonts w:ascii="Calibri" w:hAnsi="Calibri" w:cs="Calibri"/>
          <w:color w:val="1A1A1A"/>
          <w:lang w:val="es-GT"/>
        </w:rPr>
        <w:sectPr w:rsidR="00B27A5B" w:rsidRPr="00B27A5B" w:rsidSect="00F92C0A">
          <w:pgSz w:w="12240" w:h="15840" w:code="1"/>
          <w:pgMar w:top="1440" w:right="1152" w:bottom="1440" w:left="1440" w:header="720" w:footer="720" w:gutter="0"/>
          <w:cols w:space="720"/>
          <w:docGrid w:linePitch="360"/>
        </w:sectPr>
      </w:pPr>
    </w:p>
    <w:p w:rsidR="007C4F20" w:rsidRPr="00224B57" w:rsidRDefault="007C4F20" w:rsidP="00224B57">
      <w:pPr>
        <w:spacing w:after="120"/>
        <w:jc w:val="center"/>
        <w:rPr>
          <w:rFonts w:ascii="Calibri" w:eastAsia="Calibri" w:hAnsi="Calibri" w:cs="Calibri"/>
          <w:b/>
          <w:color w:val="365F91"/>
          <w:sz w:val="22"/>
          <w:szCs w:val="22"/>
          <w:lang w:val="es-GT"/>
        </w:rPr>
      </w:pPr>
      <w:bookmarkStart w:id="97" w:name="_Toc347841243"/>
      <w:r w:rsidRPr="001A01AB">
        <w:rPr>
          <w:rFonts w:ascii="Calibri" w:eastAsia="Calibri" w:hAnsi="Calibri" w:cs="Calibri"/>
          <w:b/>
          <w:color w:val="365F91"/>
          <w:sz w:val="22"/>
          <w:szCs w:val="22"/>
          <w:lang w:val="es-GT"/>
        </w:rPr>
        <w:lastRenderedPageBreak/>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20</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Desempeño sistémico pobre y desbalanceado</w:t>
      </w:r>
      <w:bookmarkEnd w:id="97"/>
    </w:p>
    <w:p w:rsidR="00374112" w:rsidRPr="001A01AB" w:rsidRDefault="00544A9F" w:rsidP="007C4F20">
      <w:pPr>
        <w:autoSpaceDE w:val="0"/>
        <w:autoSpaceDN w:val="0"/>
        <w:adjustRightInd w:val="0"/>
        <w:jc w:val="center"/>
        <w:rPr>
          <w:rFonts w:ascii="Calibri" w:hAnsi="Calibri" w:cs="Calibri"/>
          <w:color w:val="1A1A1A"/>
          <w:lang w:val="es-GT"/>
        </w:rPr>
      </w:pPr>
      <w:r>
        <w:rPr>
          <w:rFonts w:ascii="Calibri" w:hAnsi="Calibri" w:cs="Calibri"/>
          <w:noProof/>
          <w:color w:val="1A1A1A"/>
          <w:lang w:val="es-GT" w:eastAsia="es-GT"/>
        </w:rPr>
        <w:drawing>
          <wp:inline distT="0" distB="0" distL="0" distR="0" wp14:anchorId="5B0A4331" wp14:editId="33C08F3C">
            <wp:extent cx="7877175" cy="5667375"/>
            <wp:effectExtent l="0" t="0" r="9525" b="9525"/>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33">
                      <a:extLst>
                        <a:ext uri="{28A0092B-C50C-407E-A947-70E740481C1C}">
                          <a14:useLocalDpi xmlns:a14="http://schemas.microsoft.com/office/drawing/2010/main" val="0"/>
                        </a:ext>
                      </a:extLst>
                    </a:blip>
                    <a:srcRect b="3668"/>
                    <a:stretch>
                      <a:fillRect/>
                    </a:stretch>
                  </pic:blipFill>
                  <pic:spPr bwMode="auto">
                    <a:xfrm>
                      <a:off x="0" y="0"/>
                      <a:ext cx="7877175" cy="5667375"/>
                    </a:xfrm>
                    <a:prstGeom prst="rect">
                      <a:avLst/>
                    </a:prstGeom>
                    <a:noFill/>
                    <a:ln>
                      <a:noFill/>
                    </a:ln>
                  </pic:spPr>
                </pic:pic>
              </a:graphicData>
            </a:graphic>
          </wp:inline>
        </w:drawing>
      </w:r>
    </w:p>
    <w:p w:rsidR="007C4F20" w:rsidRPr="001A01AB" w:rsidRDefault="00371E5F" w:rsidP="007C4F20">
      <w:pPr>
        <w:autoSpaceDE w:val="0"/>
        <w:autoSpaceDN w:val="0"/>
        <w:adjustRightInd w:val="0"/>
        <w:ind w:left="360"/>
        <w:jc w:val="right"/>
        <w:rPr>
          <w:rFonts w:ascii="Calibri" w:hAnsi="Calibri" w:cs="Calibri"/>
          <w:lang w:val="es-GT"/>
        </w:rPr>
      </w:pPr>
      <w:r>
        <w:rPr>
          <w:rFonts w:ascii="Calibri" w:hAnsi="Calibri" w:cs="Calibri"/>
          <w:sz w:val="20"/>
          <w:lang w:val="es-GT"/>
        </w:rPr>
        <w:t>Fuente: IARNA-URL (</w:t>
      </w:r>
      <w:r w:rsidR="00374112" w:rsidRPr="001A01AB">
        <w:rPr>
          <w:rFonts w:ascii="Calibri" w:hAnsi="Calibri" w:cs="Calibri"/>
          <w:sz w:val="20"/>
          <w:lang w:val="es-GT"/>
        </w:rPr>
        <w:t>2012</w:t>
      </w:r>
      <w:r>
        <w:rPr>
          <w:rFonts w:ascii="Calibri" w:hAnsi="Calibri" w:cs="Calibri"/>
          <w:sz w:val="20"/>
          <w:lang w:val="es-GT"/>
        </w:rPr>
        <w:t>).</w:t>
      </w:r>
      <w:r w:rsidR="00141A70">
        <w:rPr>
          <w:rFonts w:ascii="Calibri" w:hAnsi="Calibri" w:cs="Calibri"/>
          <w:sz w:val="20"/>
          <w:lang w:val="es-GT"/>
        </w:rPr>
        <w:t xml:space="preserve"> </w:t>
      </w:r>
    </w:p>
    <w:p w:rsidR="007C4F20" w:rsidRPr="001A01AB" w:rsidRDefault="007C4F20" w:rsidP="00374112">
      <w:pPr>
        <w:autoSpaceDE w:val="0"/>
        <w:autoSpaceDN w:val="0"/>
        <w:adjustRightInd w:val="0"/>
        <w:jc w:val="both"/>
        <w:rPr>
          <w:rFonts w:ascii="Calibri" w:hAnsi="Calibri" w:cs="Calibri"/>
          <w:lang w:val="es-GT"/>
        </w:rPr>
        <w:sectPr w:rsidR="007C4F20" w:rsidRPr="001A01AB" w:rsidSect="007C4F20">
          <w:pgSz w:w="15840" w:h="12240" w:orient="landscape" w:code="1"/>
          <w:pgMar w:top="1440" w:right="1440" w:bottom="1152" w:left="1440" w:header="720" w:footer="720" w:gutter="0"/>
          <w:cols w:space="720"/>
          <w:docGrid w:linePitch="360"/>
        </w:sectPr>
      </w:pPr>
    </w:p>
    <w:p w:rsidR="00424E4D" w:rsidRPr="001A01AB" w:rsidRDefault="00424E4D"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98" w:name="_Toc340065164"/>
      <w:bookmarkStart w:id="99" w:name="_Toc340065256"/>
      <w:bookmarkStart w:id="100" w:name="_Toc340565848"/>
      <w:bookmarkStart w:id="101" w:name="_Toc347841298"/>
      <w:r w:rsidRPr="001A01AB">
        <w:rPr>
          <w:rFonts w:cs="Calibri"/>
          <w:b/>
          <w:color w:val="365F91"/>
          <w:sz w:val="28"/>
          <w:lang w:eastAsia="es-GT"/>
        </w:rPr>
        <w:lastRenderedPageBreak/>
        <w:t>Responsabilidades sectoriales</w:t>
      </w:r>
      <w:bookmarkEnd w:id="98"/>
      <w:bookmarkEnd w:id="99"/>
      <w:bookmarkEnd w:id="100"/>
      <w:bookmarkEnd w:id="101"/>
    </w:p>
    <w:p w:rsidR="00424E4D" w:rsidRPr="001A01AB" w:rsidRDefault="00424E4D" w:rsidP="00374112">
      <w:pPr>
        <w:autoSpaceDE w:val="0"/>
        <w:autoSpaceDN w:val="0"/>
        <w:adjustRightInd w:val="0"/>
        <w:jc w:val="both"/>
        <w:rPr>
          <w:rFonts w:ascii="Calibri" w:hAnsi="Calibri" w:cs="Calibri"/>
          <w:lang w:val="es-GT"/>
        </w:rPr>
      </w:pPr>
    </w:p>
    <w:p w:rsidR="00374112" w:rsidRPr="00422741" w:rsidRDefault="008B5C4C" w:rsidP="00422741">
      <w:pPr>
        <w:autoSpaceDE w:val="0"/>
        <w:autoSpaceDN w:val="0"/>
        <w:adjustRightInd w:val="0"/>
        <w:jc w:val="both"/>
        <w:rPr>
          <w:rStyle w:val="eacep1"/>
          <w:rFonts w:ascii="Calibri" w:eastAsia="Arial Unicode MS" w:hAnsi="Calibri" w:cs="Calibri"/>
          <w:lang w:val="es-GT"/>
        </w:rPr>
      </w:pPr>
      <w:r w:rsidRPr="00422741">
        <w:rPr>
          <w:rStyle w:val="eacep1"/>
          <w:rFonts w:ascii="Calibri" w:eastAsia="Arial Unicode MS" w:hAnsi="Calibri" w:cs="Calibri"/>
          <w:lang w:val="es-GT"/>
        </w:rPr>
        <w:t>Las cuentas verdes, también llamadas “cuentas ambientales y económicas integradas” o “cuentas satélites” surgen como complemento a la frialdad ambiental de las cuentas nacionales</w:t>
      </w:r>
    </w:p>
    <w:p w:rsidR="008B5C4C" w:rsidRPr="00422741" w:rsidRDefault="008B5C4C" w:rsidP="00422741">
      <w:pPr>
        <w:autoSpaceDE w:val="0"/>
        <w:autoSpaceDN w:val="0"/>
        <w:adjustRightInd w:val="0"/>
        <w:jc w:val="both"/>
        <w:rPr>
          <w:rStyle w:val="eacep1"/>
          <w:rFonts w:ascii="Calibri" w:eastAsia="Arial Unicode MS" w:hAnsi="Calibri" w:cs="Calibri"/>
          <w:lang w:val="es-GT"/>
        </w:rPr>
      </w:pPr>
    </w:p>
    <w:p w:rsidR="008B5C4C" w:rsidRDefault="008B5C4C" w:rsidP="00422741">
      <w:pPr>
        <w:jc w:val="both"/>
        <w:rPr>
          <w:rStyle w:val="eacep1"/>
          <w:rFonts w:ascii="Calibri" w:eastAsia="Arial Unicode MS" w:hAnsi="Calibri" w:cs="Calibri"/>
          <w:lang w:val="es-GT"/>
        </w:rPr>
      </w:pPr>
      <w:r w:rsidRPr="00422741">
        <w:rPr>
          <w:rStyle w:val="eacep1"/>
          <w:rFonts w:ascii="Calibri" w:eastAsia="Arial Unicode MS" w:hAnsi="Calibri" w:cs="Calibri"/>
          <w:lang w:val="es-GT"/>
        </w:rPr>
        <w:t>Las cuentas nacionales -las que suelen recu</w:t>
      </w:r>
      <w:r w:rsidR="00371E5F">
        <w:rPr>
          <w:rStyle w:val="eacep1"/>
          <w:rFonts w:ascii="Calibri" w:eastAsia="Arial Unicode MS" w:hAnsi="Calibri" w:cs="Calibri"/>
          <w:lang w:val="es-GT"/>
        </w:rPr>
        <w:t>rrir al Producto Interno Bruto (</w:t>
      </w:r>
      <w:r w:rsidRPr="00422741">
        <w:rPr>
          <w:rStyle w:val="eacep1"/>
          <w:rFonts w:ascii="Calibri" w:eastAsia="Arial Unicode MS" w:hAnsi="Calibri" w:cs="Calibri"/>
          <w:lang w:val="es-GT"/>
        </w:rPr>
        <w:t>PIB</w:t>
      </w:r>
      <w:r w:rsidR="00371E5F">
        <w:rPr>
          <w:rStyle w:val="eacep1"/>
          <w:rFonts w:ascii="Calibri" w:eastAsia="Arial Unicode MS" w:hAnsi="Calibri" w:cs="Calibri"/>
          <w:lang w:val="es-GT"/>
        </w:rPr>
        <w:t>)</w:t>
      </w:r>
      <w:r w:rsidRPr="00422741">
        <w:rPr>
          <w:rStyle w:val="eacep1"/>
          <w:rFonts w:ascii="Calibri" w:eastAsia="Arial Unicode MS" w:hAnsi="Calibri" w:cs="Calibri"/>
          <w:lang w:val="es-GT"/>
        </w:rPr>
        <w:t>, como indicador insignia de la economía- consideran todo lo que tiene un valor económico -lo que tiene precio- tanto si tiene implicaciones positivas como negativas para la sociedad. Así, por ejemplo, los costos laborales, los desastres, los accidentes y por supuesto los costos ambientales, contribuyen a la suma global de bienes y servicios,</w:t>
      </w:r>
      <w:r w:rsidR="00141A70">
        <w:rPr>
          <w:rStyle w:val="eacep1"/>
          <w:rFonts w:ascii="Calibri" w:eastAsia="Arial Unicode MS" w:hAnsi="Calibri" w:cs="Calibri"/>
          <w:lang w:val="es-GT"/>
        </w:rPr>
        <w:t xml:space="preserve"> </w:t>
      </w:r>
      <w:r w:rsidRPr="00422741">
        <w:rPr>
          <w:rStyle w:val="eacep1"/>
          <w:rFonts w:ascii="Calibri" w:eastAsia="Arial Unicode MS" w:hAnsi="Calibri" w:cs="Calibri"/>
          <w:lang w:val="es-GT"/>
        </w:rPr>
        <w:t>por lo tanto al “crecimiento económico” incluso “al desarrollo”, como algunos economistas clásicos plantean.</w:t>
      </w:r>
    </w:p>
    <w:p w:rsidR="00422741" w:rsidRPr="00422741" w:rsidRDefault="00422741" w:rsidP="00422741">
      <w:pPr>
        <w:jc w:val="both"/>
        <w:rPr>
          <w:rStyle w:val="eacep1"/>
          <w:rFonts w:ascii="Calibri" w:eastAsia="Arial Unicode MS" w:hAnsi="Calibri" w:cs="Calibri"/>
          <w:lang w:val="es-GT"/>
        </w:rPr>
      </w:pPr>
    </w:p>
    <w:p w:rsidR="008B5C4C" w:rsidRDefault="008B5C4C" w:rsidP="00422741">
      <w:pPr>
        <w:jc w:val="both"/>
        <w:rPr>
          <w:rStyle w:val="eacep1"/>
          <w:rFonts w:ascii="Calibri" w:eastAsia="Arial Unicode MS" w:hAnsi="Calibri" w:cs="Calibri"/>
          <w:lang w:val="es-GT"/>
        </w:rPr>
      </w:pPr>
      <w:r w:rsidRPr="00422741">
        <w:rPr>
          <w:rStyle w:val="eacep1"/>
          <w:rFonts w:ascii="Calibri" w:eastAsia="Arial Unicode MS" w:hAnsi="Calibri" w:cs="Calibri"/>
          <w:lang w:val="es-GT"/>
        </w:rPr>
        <w:t>La cuentas verdes, al ser concebidas como “cuentas satélites” en relación a las cuentas nacionales, proporcionan elementos fundamentales que pueden conducir a transformaciones, socialmente convenientes, de las políticas económicas</w:t>
      </w:r>
      <w:r w:rsidR="00371E5F">
        <w:rPr>
          <w:rStyle w:val="eacep1"/>
          <w:rFonts w:ascii="Calibri" w:eastAsia="Arial Unicode MS" w:hAnsi="Calibri" w:cs="Calibri"/>
          <w:lang w:val="es-GT"/>
        </w:rPr>
        <w:t>,</w:t>
      </w:r>
      <w:r w:rsidRPr="00422741">
        <w:rPr>
          <w:rStyle w:val="eacep1"/>
          <w:rFonts w:ascii="Calibri" w:eastAsia="Arial Unicode MS" w:hAnsi="Calibri" w:cs="Calibri"/>
          <w:lang w:val="es-GT"/>
        </w:rPr>
        <w:t xml:space="preserve"> lo cual solo será posible con una férrea voluntad política de parte del Gobierno o en última instancia</w:t>
      </w:r>
      <w:r w:rsidR="00141A70">
        <w:rPr>
          <w:rStyle w:val="eacep1"/>
          <w:rFonts w:ascii="Calibri" w:eastAsia="Arial Unicode MS" w:hAnsi="Calibri" w:cs="Calibri"/>
          <w:lang w:val="es-GT"/>
        </w:rPr>
        <w:t xml:space="preserve"> </w:t>
      </w:r>
      <w:r w:rsidRPr="00422741">
        <w:rPr>
          <w:rStyle w:val="eacep1"/>
          <w:rFonts w:ascii="Calibri" w:eastAsia="Arial Unicode MS" w:hAnsi="Calibri" w:cs="Calibri"/>
          <w:lang w:val="es-GT"/>
        </w:rPr>
        <w:t>a partir de las exigencias de la sociedad</w:t>
      </w:r>
      <w:r w:rsidR="00422741">
        <w:rPr>
          <w:rStyle w:val="eacep1"/>
          <w:rFonts w:ascii="Calibri" w:eastAsia="Arial Unicode MS" w:hAnsi="Calibri" w:cs="Calibri"/>
          <w:lang w:val="es-GT"/>
        </w:rPr>
        <w:t>.</w:t>
      </w:r>
      <w:r w:rsidRPr="00422741">
        <w:rPr>
          <w:rStyle w:val="eacep1"/>
          <w:rFonts w:ascii="Calibri" w:eastAsia="Arial Unicode MS" w:hAnsi="Calibri" w:cs="Calibri"/>
          <w:lang w:val="es-GT"/>
        </w:rPr>
        <w:t xml:space="preserve"> </w:t>
      </w:r>
    </w:p>
    <w:p w:rsidR="00422741" w:rsidRPr="00422741" w:rsidRDefault="00422741" w:rsidP="00422741">
      <w:pPr>
        <w:jc w:val="both"/>
        <w:rPr>
          <w:rStyle w:val="eacep1"/>
          <w:rFonts w:ascii="Calibri" w:eastAsia="Arial Unicode MS" w:hAnsi="Calibri" w:cs="Calibri"/>
          <w:lang w:val="es-GT"/>
        </w:rPr>
      </w:pPr>
    </w:p>
    <w:p w:rsidR="008B5C4C" w:rsidRPr="00422741" w:rsidRDefault="008B5C4C" w:rsidP="00422741">
      <w:pPr>
        <w:autoSpaceDE w:val="0"/>
        <w:autoSpaceDN w:val="0"/>
        <w:adjustRightInd w:val="0"/>
        <w:jc w:val="both"/>
        <w:rPr>
          <w:rStyle w:val="eacep1"/>
          <w:rFonts w:ascii="Calibri" w:eastAsia="Arial Unicode MS" w:hAnsi="Calibri" w:cs="Calibri"/>
          <w:lang w:val="es-GT"/>
        </w:rPr>
      </w:pPr>
      <w:r w:rsidRPr="00422741">
        <w:rPr>
          <w:rFonts w:ascii="Calibri" w:hAnsi="Calibri" w:cs="Calibri"/>
          <w:lang w:val="es-GT"/>
        </w:rPr>
        <w:t>Las cuentas verdes se construyen a partir de un proceso metodológico riguroso en términos matemáticos y estadísticos</w:t>
      </w:r>
      <w:r w:rsidR="00BC44FA">
        <w:rPr>
          <w:rFonts w:ascii="Calibri" w:hAnsi="Calibri" w:cs="Calibri"/>
          <w:lang w:val="es-GT"/>
        </w:rPr>
        <w:t>,</w:t>
      </w:r>
      <w:r w:rsidRPr="00422741">
        <w:rPr>
          <w:rFonts w:ascii="Calibri" w:hAnsi="Calibri" w:cs="Calibri"/>
          <w:lang w:val="es-GT"/>
        </w:rPr>
        <w:t xml:space="preserve"> e intensivo en materia de información. Es un proceso multidisciplinario que garantiza, para un periodo determinado, un conocimiento muy preciso de la disponibilidad de bienes y servicios ambientales; un análisis del flujo de esos bienes y servicios desde la naturaleza a la economía y el flujo de residuos y emisiones en la dirección contraria; identificando y estudiando modalidades, patrones de uso, intensidades, eficiencias y los actores que intervienen en estos flujos. También permite revisar el papel de las instituciones en la relación economía-ambiente, a través del estudio del nivel de inversión pública y privada en la </w:t>
      </w:r>
      <w:r w:rsidR="00422741" w:rsidRPr="00422741">
        <w:rPr>
          <w:rFonts w:ascii="Calibri" w:hAnsi="Calibri" w:cs="Calibri"/>
          <w:lang w:val="es-GT"/>
        </w:rPr>
        <w:t>gestión</w:t>
      </w:r>
      <w:r w:rsidRPr="00422741">
        <w:rPr>
          <w:rFonts w:ascii="Calibri" w:hAnsi="Calibri" w:cs="Calibri"/>
          <w:lang w:val="es-GT"/>
        </w:rPr>
        <w:t xml:space="preserve"> ambiental. Finalmente, el proceso permite hacer ajustes a los indicadores económicos tradiciones a partir de la evidencia de agotamiento, deterioro y contaminación ambiental, por ejemplo, el PIB ambientalmente corregido.</w:t>
      </w:r>
    </w:p>
    <w:p w:rsidR="008B5C4C" w:rsidRPr="00422741" w:rsidRDefault="008B5C4C" w:rsidP="00422741">
      <w:pPr>
        <w:autoSpaceDE w:val="0"/>
        <w:autoSpaceDN w:val="0"/>
        <w:adjustRightInd w:val="0"/>
        <w:jc w:val="both"/>
        <w:rPr>
          <w:rStyle w:val="eacep1"/>
          <w:rFonts w:ascii="Calibri" w:eastAsia="Arial Unicode MS" w:hAnsi="Calibri" w:cs="Calibri"/>
          <w:lang w:val="es-GT"/>
        </w:rPr>
      </w:pPr>
    </w:p>
    <w:p w:rsidR="008B5C4C" w:rsidRPr="00422741" w:rsidRDefault="008B5C4C" w:rsidP="00422741">
      <w:pPr>
        <w:jc w:val="both"/>
        <w:rPr>
          <w:rFonts w:ascii="Calibri" w:hAnsi="Calibri" w:cs="Calibri"/>
          <w:lang w:val="es-GT"/>
        </w:rPr>
      </w:pPr>
      <w:r w:rsidRPr="00422741">
        <w:rPr>
          <w:rFonts w:ascii="Calibri" w:hAnsi="Calibri" w:cs="Calibri"/>
          <w:lang w:val="es-GT"/>
        </w:rPr>
        <w:t>Interesantes hallazgos de las relaciones entre 130 sectores de la economía nacional y la naturaleza, están disponibles para “las cuentas” de bosque, agua, energía y emisiones, pesca y acuicultura, tierra y ecosistemas, r</w:t>
      </w:r>
      <w:r w:rsidR="00C97497">
        <w:rPr>
          <w:rFonts w:ascii="Calibri" w:hAnsi="Calibri" w:cs="Calibri"/>
          <w:lang w:val="es-GT"/>
        </w:rPr>
        <w:t>ecursos del subsuelo y residuos;</w:t>
      </w:r>
      <w:r w:rsidRPr="00422741">
        <w:rPr>
          <w:rFonts w:ascii="Calibri" w:hAnsi="Calibri" w:cs="Calibri"/>
          <w:lang w:val="es-GT"/>
        </w:rPr>
        <w:t xml:space="preserve"> así como un análisis detallado de los gastos y transacciones ambientales globales a nivel del gobierno central, los gobiernos departamentales y los gobiernos municipales. Adicionalmente,</w:t>
      </w:r>
      <w:r w:rsidR="00141A70">
        <w:rPr>
          <w:rFonts w:ascii="Calibri" w:hAnsi="Calibri" w:cs="Calibri"/>
          <w:lang w:val="es-GT"/>
        </w:rPr>
        <w:t xml:space="preserve"> </w:t>
      </w:r>
      <w:r w:rsidRPr="00422741">
        <w:rPr>
          <w:rFonts w:ascii="Calibri" w:hAnsi="Calibri" w:cs="Calibri"/>
          <w:lang w:val="es-GT"/>
        </w:rPr>
        <w:t>se analizan las relaciones economía y naturaleza desde el punto de vista sectorial para la agricultura, la construcción, la industria forestal, la pesca y acuacultura y el turismo.</w:t>
      </w:r>
    </w:p>
    <w:p w:rsidR="008B5C4C" w:rsidRPr="00422741" w:rsidRDefault="008B5C4C" w:rsidP="00422741">
      <w:pPr>
        <w:autoSpaceDE w:val="0"/>
        <w:autoSpaceDN w:val="0"/>
        <w:adjustRightInd w:val="0"/>
        <w:jc w:val="both"/>
        <w:rPr>
          <w:rStyle w:val="eacep1"/>
          <w:rFonts w:ascii="Calibri" w:eastAsia="Arial Unicode MS" w:hAnsi="Calibri" w:cs="Calibri"/>
          <w:lang w:val="es-GT"/>
        </w:rPr>
      </w:pPr>
    </w:p>
    <w:p w:rsidR="008B5C4C" w:rsidRDefault="008B5C4C" w:rsidP="00422741">
      <w:pPr>
        <w:jc w:val="both"/>
        <w:rPr>
          <w:rFonts w:ascii="Calibri" w:hAnsi="Calibri" w:cs="Calibri"/>
          <w:lang w:val="es-GT"/>
        </w:rPr>
      </w:pPr>
      <w:r w:rsidRPr="00422741">
        <w:rPr>
          <w:rFonts w:ascii="Calibri" w:hAnsi="Calibri" w:cs="Calibri"/>
          <w:lang w:val="es-GT"/>
        </w:rPr>
        <w:t>En relación a la “cuenta de bosques”</w:t>
      </w:r>
      <w:r w:rsidR="00141A70">
        <w:rPr>
          <w:rFonts w:ascii="Calibri" w:hAnsi="Calibri" w:cs="Calibri"/>
          <w:lang w:val="es-GT"/>
        </w:rPr>
        <w:t xml:space="preserve"> </w:t>
      </w:r>
      <w:r w:rsidRPr="00422741">
        <w:rPr>
          <w:rFonts w:ascii="Calibri" w:hAnsi="Calibri" w:cs="Calibri"/>
          <w:lang w:val="es-GT"/>
        </w:rPr>
        <w:t xml:space="preserve">destaca: (i) El aporte anual promedio de los bosques a la economía nacional es, al menos, de 2.58% del PIB, es decir, 2.7 veces más que el valor reportado en las cuentas nacionales; (ii) La depreciación de los bosques -por usos sostenibles y no sostenibles, legales e ilegales- es del orden del 0.94% del PIB, casi un 37% del aporte al PIB; (iii) Estas cifras son consistentes con las enormes dimensiones de la deforestación nacional (poco </w:t>
      </w:r>
      <w:r w:rsidR="00BC44FA" w:rsidRPr="00422741">
        <w:rPr>
          <w:rFonts w:ascii="Calibri" w:hAnsi="Calibri" w:cs="Calibri"/>
          <w:lang w:val="es-GT"/>
        </w:rPr>
        <w:t>más</w:t>
      </w:r>
      <w:r w:rsidRPr="00422741">
        <w:rPr>
          <w:rFonts w:ascii="Calibri" w:hAnsi="Calibri" w:cs="Calibri"/>
          <w:lang w:val="es-GT"/>
        </w:rPr>
        <w:t xml:space="preserve"> de </w:t>
      </w:r>
      <w:r w:rsidR="00422741">
        <w:rPr>
          <w:rFonts w:ascii="Calibri" w:hAnsi="Calibri" w:cs="Calibri"/>
          <w:lang w:val="es-GT"/>
        </w:rPr>
        <w:t>132</w:t>
      </w:r>
      <w:r w:rsidRPr="00422741">
        <w:rPr>
          <w:rFonts w:ascii="Calibri" w:hAnsi="Calibri" w:cs="Calibri"/>
          <w:lang w:val="es-GT"/>
        </w:rPr>
        <w:t>,000 hectáreas anual</w:t>
      </w:r>
      <w:r w:rsidR="00C97497">
        <w:rPr>
          <w:rFonts w:ascii="Calibri" w:hAnsi="Calibri" w:cs="Calibri"/>
          <w:lang w:val="es-GT"/>
        </w:rPr>
        <w:t>es de pé</w:t>
      </w:r>
      <w:r w:rsidRPr="00422741">
        <w:rPr>
          <w:rFonts w:ascii="Calibri" w:hAnsi="Calibri" w:cs="Calibri"/>
          <w:lang w:val="es-GT"/>
        </w:rPr>
        <w:t>rdida bruta para el periodo 200</w:t>
      </w:r>
      <w:r w:rsidR="00422741">
        <w:rPr>
          <w:rFonts w:ascii="Calibri" w:hAnsi="Calibri" w:cs="Calibri"/>
          <w:lang w:val="es-GT"/>
        </w:rPr>
        <w:t>6</w:t>
      </w:r>
      <w:r w:rsidRPr="00422741">
        <w:rPr>
          <w:rFonts w:ascii="Calibri" w:hAnsi="Calibri" w:cs="Calibri"/>
          <w:lang w:val="es-GT"/>
        </w:rPr>
        <w:t>-20</w:t>
      </w:r>
      <w:r w:rsidR="00422741">
        <w:rPr>
          <w:rFonts w:ascii="Calibri" w:hAnsi="Calibri" w:cs="Calibri"/>
          <w:lang w:val="es-GT"/>
        </w:rPr>
        <w:t xml:space="preserve">10 como se </w:t>
      </w:r>
      <w:r w:rsidR="00BC44FA">
        <w:rPr>
          <w:rFonts w:ascii="Calibri" w:hAnsi="Calibri" w:cs="Calibri"/>
          <w:lang w:val="es-GT"/>
        </w:rPr>
        <w:t>indicó</w:t>
      </w:r>
      <w:r w:rsidR="00422741">
        <w:rPr>
          <w:rFonts w:ascii="Calibri" w:hAnsi="Calibri" w:cs="Calibri"/>
          <w:lang w:val="es-GT"/>
        </w:rPr>
        <w:t xml:space="preserve"> </w:t>
      </w:r>
      <w:r w:rsidR="00422741">
        <w:rPr>
          <w:rFonts w:ascii="Calibri" w:hAnsi="Calibri" w:cs="Calibri"/>
          <w:lang w:val="es-GT"/>
        </w:rPr>
        <w:lastRenderedPageBreak/>
        <w:t>anteriormente</w:t>
      </w:r>
      <w:r w:rsidRPr="00422741">
        <w:rPr>
          <w:rFonts w:ascii="Calibri" w:hAnsi="Calibri" w:cs="Calibri"/>
          <w:lang w:val="es-GT"/>
        </w:rPr>
        <w:t>) y también ponen en relieve la inviabilidad del sector forestal en el largo plazo; (iv) Los hogares, principalmente para satisfacer demandas energética (67.3%), las industrias de fabricación de muebles y manufacturas (9.4%)</w:t>
      </w:r>
      <w:r w:rsidR="00C97497">
        <w:rPr>
          <w:rFonts w:ascii="Calibri" w:hAnsi="Calibri" w:cs="Calibri"/>
          <w:lang w:val="es-GT"/>
        </w:rPr>
        <w:t>,</w:t>
      </w:r>
      <w:r w:rsidRPr="00422741">
        <w:rPr>
          <w:rFonts w:ascii="Calibri" w:hAnsi="Calibri" w:cs="Calibri"/>
          <w:lang w:val="es-GT"/>
        </w:rPr>
        <w:t xml:space="preserve"> y el aserrado y fabricación de productos de madera (8.1%) suman casi el 85% de la utilización nacional de los productos del bosque. El resto se comparte entre el sector agropecuario y</w:t>
      </w:r>
      <w:r w:rsidR="00141A70">
        <w:rPr>
          <w:rFonts w:ascii="Calibri" w:hAnsi="Calibri" w:cs="Calibri"/>
          <w:lang w:val="es-GT"/>
        </w:rPr>
        <w:t xml:space="preserve"> </w:t>
      </w:r>
      <w:r w:rsidRPr="00422741">
        <w:rPr>
          <w:rFonts w:ascii="Calibri" w:hAnsi="Calibri" w:cs="Calibri"/>
          <w:lang w:val="es-GT"/>
        </w:rPr>
        <w:t>las exportaciones.</w:t>
      </w:r>
    </w:p>
    <w:p w:rsidR="00422741" w:rsidRPr="00422741" w:rsidRDefault="00422741" w:rsidP="00422741">
      <w:pPr>
        <w:jc w:val="both"/>
        <w:rPr>
          <w:rFonts w:ascii="Calibri" w:hAnsi="Calibri" w:cs="Calibri"/>
          <w:lang w:val="es-GT"/>
        </w:rPr>
      </w:pPr>
    </w:p>
    <w:p w:rsidR="008B5C4C" w:rsidRDefault="008B5C4C" w:rsidP="00422741">
      <w:pPr>
        <w:jc w:val="both"/>
        <w:rPr>
          <w:rFonts w:ascii="Calibri" w:hAnsi="Calibri" w:cs="Calibri"/>
          <w:lang w:val="es-GT"/>
        </w:rPr>
      </w:pPr>
      <w:r w:rsidRPr="00422741">
        <w:rPr>
          <w:rFonts w:ascii="Calibri" w:hAnsi="Calibri" w:cs="Calibri"/>
          <w:lang w:val="es-GT"/>
        </w:rPr>
        <w:t>Con respecto al agua, la utilización se refiere tanto a usos consuntivos o no, proveniente</w:t>
      </w:r>
      <w:r w:rsidR="00C97497">
        <w:rPr>
          <w:rFonts w:ascii="Calibri" w:hAnsi="Calibri" w:cs="Calibri"/>
          <w:lang w:val="es-GT"/>
        </w:rPr>
        <w:t>s</w:t>
      </w:r>
      <w:r w:rsidRPr="00422741">
        <w:rPr>
          <w:rFonts w:ascii="Calibri" w:hAnsi="Calibri" w:cs="Calibri"/>
          <w:lang w:val="es-GT"/>
        </w:rPr>
        <w:t xml:space="preserve"> de fuentes superficiales, subterráneas o de la lluvia. Los hallazgos son: (i) La mayor utilización anual nacional corresponde a la agricultura de secano (42.27%), le siguen la agricultura bajo riego (13.41%), las industrias manufactureras (23.28%), el suministro de electricidad, gas y agua (15.29%), el consumo de los hogares (1.97%) y otras actividades económicas (3.18%); (ii) </w:t>
      </w:r>
      <w:r w:rsidR="00C97497">
        <w:rPr>
          <w:rFonts w:ascii="Calibri" w:hAnsi="Calibri" w:cs="Calibri"/>
          <w:lang w:val="es-GT"/>
        </w:rPr>
        <w:t>E</w:t>
      </w:r>
      <w:r w:rsidRPr="00422741">
        <w:rPr>
          <w:rFonts w:ascii="Calibri" w:hAnsi="Calibri" w:cs="Calibri"/>
          <w:lang w:val="es-GT"/>
        </w:rPr>
        <w:t>xcluyendo el agua de lluvia y la hidroelectricidad, la mayor proporción del uso nacional del agua corresponde</w:t>
      </w:r>
      <w:r w:rsidR="00141A70">
        <w:rPr>
          <w:rFonts w:ascii="Calibri" w:hAnsi="Calibri" w:cs="Calibri"/>
          <w:lang w:val="es-GT"/>
        </w:rPr>
        <w:t xml:space="preserve"> </w:t>
      </w:r>
      <w:r w:rsidRPr="00422741">
        <w:rPr>
          <w:rFonts w:ascii="Calibri" w:hAnsi="Calibri" w:cs="Calibri"/>
          <w:lang w:val="es-GT"/>
        </w:rPr>
        <w:t xml:space="preserve">al beneficiado de café (54.08%); le siguen el riego de la caña de azúcar (11.66%), el procesamiento de productos alimenticios (4.9%), el riego del cultivo del banano (3.68%), el </w:t>
      </w:r>
      <w:r w:rsidR="00C97497">
        <w:rPr>
          <w:rFonts w:ascii="Calibri" w:hAnsi="Calibri" w:cs="Calibri"/>
          <w:lang w:val="es-GT"/>
        </w:rPr>
        <w:t>riego de palma africana (3.34%),</w:t>
      </w:r>
      <w:r w:rsidRPr="00422741">
        <w:rPr>
          <w:rFonts w:ascii="Calibri" w:hAnsi="Calibri" w:cs="Calibri"/>
          <w:lang w:val="es-GT"/>
        </w:rPr>
        <w:t xml:space="preserve"> el uso en los hogares (2.8%)</w:t>
      </w:r>
      <w:r w:rsidR="00C97497">
        <w:rPr>
          <w:rFonts w:ascii="Calibri" w:hAnsi="Calibri" w:cs="Calibri"/>
          <w:lang w:val="es-GT"/>
        </w:rPr>
        <w:t>,</w:t>
      </w:r>
      <w:r w:rsidRPr="00422741">
        <w:rPr>
          <w:rFonts w:ascii="Calibri" w:hAnsi="Calibri" w:cs="Calibri"/>
          <w:lang w:val="es-GT"/>
        </w:rPr>
        <w:t xml:space="preserve"> y el resto corresponde a otros cultivos y otras industrias y servicios; (iii) El 58% del agua utilizada se toma de los ríos, el 25% de pozos y el 17% de los lagos. La mayor presión tiene l</w:t>
      </w:r>
      <w:r w:rsidR="00C97497">
        <w:rPr>
          <w:rFonts w:ascii="Calibri" w:hAnsi="Calibri" w:cs="Calibri"/>
          <w:lang w:val="es-GT"/>
        </w:rPr>
        <w:t>ugar en las cuencas de la v</w:t>
      </w:r>
      <w:r w:rsidRPr="00422741">
        <w:rPr>
          <w:rFonts w:ascii="Calibri" w:hAnsi="Calibri" w:cs="Calibri"/>
          <w:lang w:val="es-GT"/>
        </w:rPr>
        <w:t>ertiente del Pacífico</w:t>
      </w:r>
      <w:r w:rsidR="00C97497">
        <w:rPr>
          <w:rFonts w:ascii="Calibri" w:hAnsi="Calibri" w:cs="Calibri"/>
          <w:lang w:val="es-GT"/>
        </w:rPr>
        <w:t>;</w:t>
      </w:r>
      <w:r w:rsidRPr="00422741">
        <w:rPr>
          <w:rFonts w:ascii="Calibri" w:hAnsi="Calibri" w:cs="Calibri"/>
          <w:lang w:val="es-GT"/>
        </w:rPr>
        <w:t xml:space="preserve"> (iv) Las actividades agropecuarias, el comercio al por mayor y menor, las industrias manufactureras, el suministro de electricidad, gas y agua y la construcción, cuyo aporte conjunto al PIB alcanza un 58.2% en promedio anual, utilizan el 95.4% del consumo nacional anual de agua.</w:t>
      </w:r>
    </w:p>
    <w:p w:rsidR="00422741" w:rsidRPr="00422741" w:rsidRDefault="00422741" w:rsidP="00422741">
      <w:pPr>
        <w:jc w:val="both"/>
        <w:rPr>
          <w:rFonts w:ascii="Calibri" w:hAnsi="Calibri" w:cs="Calibri"/>
          <w:lang w:val="es-GT"/>
        </w:rPr>
      </w:pPr>
    </w:p>
    <w:p w:rsidR="008B5C4C" w:rsidRDefault="008B5C4C" w:rsidP="00422741">
      <w:pPr>
        <w:jc w:val="both"/>
        <w:rPr>
          <w:rFonts w:ascii="Calibri" w:hAnsi="Calibri" w:cs="Calibri"/>
          <w:lang w:val="es-GT"/>
        </w:rPr>
      </w:pPr>
      <w:r w:rsidRPr="00422741">
        <w:rPr>
          <w:rFonts w:ascii="Calibri" w:hAnsi="Calibri" w:cs="Calibri"/>
          <w:lang w:val="es-GT"/>
        </w:rPr>
        <w:t xml:space="preserve">Con respecto a la energía los hallazgos son: (i) Del consumo total anual de energía, el 46.3% corresponde a los hogares -principalmente consumo de leña-, el 13% corresponde a las actividades de generación, captación y distribución de energía eléctrica -altamente dependientes de hidrocarburos-, le siguen la elaboración de productos de panadería (3.6%), el transporte (3.5%), </w:t>
      </w:r>
      <w:r w:rsidR="00C97497">
        <w:rPr>
          <w:rFonts w:ascii="Calibri" w:hAnsi="Calibri" w:cs="Calibri"/>
          <w:lang w:val="es-GT"/>
        </w:rPr>
        <w:t xml:space="preserve">la </w:t>
      </w:r>
      <w:r w:rsidRPr="00422741">
        <w:rPr>
          <w:rFonts w:ascii="Calibri" w:hAnsi="Calibri" w:cs="Calibri"/>
          <w:lang w:val="es-GT"/>
        </w:rPr>
        <w:t xml:space="preserve">elaboración de productos de molinería (3.3%), </w:t>
      </w:r>
      <w:r w:rsidR="00C97497">
        <w:rPr>
          <w:rFonts w:ascii="Calibri" w:hAnsi="Calibri" w:cs="Calibri"/>
          <w:lang w:val="es-GT"/>
        </w:rPr>
        <w:t xml:space="preserve">la </w:t>
      </w:r>
      <w:r w:rsidRPr="00422741">
        <w:rPr>
          <w:rFonts w:ascii="Calibri" w:hAnsi="Calibri" w:cs="Calibri"/>
          <w:lang w:val="es-GT"/>
        </w:rPr>
        <w:t>fabricación de cemento, cal y yeso (2.6%) y el resto corresponde a otras</w:t>
      </w:r>
      <w:r w:rsidR="00C97497">
        <w:rPr>
          <w:rFonts w:ascii="Calibri" w:hAnsi="Calibri" w:cs="Calibri"/>
          <w:lang w:val="es-GT"/>
        </w:rPr>
        <w:t xml:space="preserve"> </w:t>
      </w:r>
      <w:r w:rsidRPr="00422741">
        <w:rPr>
          <w:rFonts w:ascii="Calibri" w:hAnsi="Calibri" w:cs="Calibri"/>
          <w:lang w:val="es-GT"/>
        </w:rPr>
        <w:t xml:space="preserve">124 actividades económicas. </w:t>
      </w:r>
    </w:p>
    <w:p w:rsidR="00422741" w:rsidRPr="00422741" w:rsidRDefault="00422741" w:rsidP="00422741">
      <w:pPr>
        <w:jc w:val="both"/>
        <w:rPr>
          <w:rFonts w:ascii="Calibri" w:hAnsi="Calibri" w:cs="Calibri"/>
          <w:lang w:val="es-GT"/>
        </w:rPr>
      </w:pPr>
    </w:p>
    <w:p w:rsidR="008B5C4C" w:rsidRDefault="008B5C4C" w:rsidP="00422741">
      <w:pPr>
        <w:jc w:val="both"/>
        <w:rPr>
          <w:rFonts w:ascii="Calibri" w:hAnsi="Calibri" w:cs="Calibri"/>
          <w:lang w:val="es-GT"/>
        </w:rPr>
      </w:pPr>
      <w:r w:rsidRPr="00422741">
        <w:rPr>
          <w:rFonts w:ascii="Calibri" w:hAnsi="Calibri" w:cs="Calibri"/>
          <w:lang w:val="es-GT"/>
        </w:rPr>
        <w:t>Con respecto a la pesca, cuyo aporte al PIB es de 2% para el año 2009, los hallazgos son: (i) Entre 90% y 98.5% de la captura anual de especies marinas -principalmente atunes y camarones- ocurre en el Pacífico; (ii) Durante 2</w:t>
      </w:r>
      <w:r w:rsidR="00C97497">
        <w:rPr>
          <w:rFonts w:ascii="Calibri" w:hAnsi="Calibri" w:cs="Calibri"/>
          <w:lang w:val="es-GT"/>
        </w:rPr>
        <w:t>000 y 2005 la captura en el Pací</w:t>
      </w:r>
      <w:r w:rsidRPr="00422741">
        <w:rPr>
          <w:rFonts w:ascii="Calibri" w:hAnsi="Calibri" w:cs="Calibri"/>
          <w:lang w:val="es-GT"/>
        </w:rPr>
        <w:t>fico se redujo en un 82%, presumiblemente por el agotamiento;</w:t>
      </w:r>
      <w:r w:rsidR="00C97497">
        <w:rPr>
          <w:rFonts w:ascii="Calibri" w:hAnsi="Calibri" w:cs="Calibri"/>
          <w:lang w:val="es-GT"/>
        </w:rPr>
        <w:t xml:space="preserve"> y</w:t>
      </w:r>
      <w:r w:rsidRPr="00422741">
        <w:rPr>
          <w:rFonts w:ascii="Calibri" w:hAnsi="Calibri" w:cs="Calibri"/>
          <w:lang w:val="es-GT"/>
        </w:rPr>
        <w:t xml:space="preserve"> (iii) Los descartes o pesca incidental puede alcanzar hasta 37 toneladas por cada 100 toneladas de atún y camarón aprovechados.</w:t>
      </w:r>
    </w:p>
    <w:p w:rsidR="00422741" w:rsidRPr="00422741" w:rsidRDefault="00422741" w:rsidP="00422741">
      <w:pPr>
        <w:jc w:val="both"/>
        <w:rPr>
          <w:rFonts w:ascii="Calibri" w:hAnsi="Calibri" w:cs="Calibri"/>
          <w:lang w:val="es-GT"/>
        </w:rPr>
      </w:pPr>
    </w:p>
    <w:p w:rsidR="008B5C4C" w:rsidRDefault="008B5C4C" w:rsidP="00422741">
      <w:pPr>
        <w:jc w:val="both"/>
        <w:rPr>
          <w:rFonts w:ascii="Calibri" w:hAnsi="Calibri" w:cs="Calibri"/>
          <w:lang w:val="es-GT"/>
        </w:rPr>
      </w:pPr>
      <w:r w:rsidRPr="00422741">
        <w:rPr>
          <w:rFonts w:ascii="Calibri" w:hAnsi="Calibri" w:cs="Calibri"/>
          <w:lang w:val="es-GT"/>
        </w:rPr>
        <w:t>Otros hallazgos globales son: (i) La economía produce un total anual de 45.58 millones de toneladas de dióxido de carbono equivalente. Los hogares -por la combustión de leña- y las actividades de generación, captación y distribución de energía eléctrica, registran los mayores niveles de emisión de gases con efecto invernadero en el país; (ii) La economía también genera un total de 113.82 millones de toneladas anuales de desechos sólidos, de los cuales, poco más del 80% corresponde a las industrias manufactureras y poco más del 17% corresponde a la agricultura, ganadería, silvicultura y pesca. Los hogares producen solo 1</w:t>
      </w:r>
      <w:r w:rsidR="00C97497">
        <w:rPr>
          <w:rFonts w:ascii="Calibri" w:hAnsi="Calibri" w:cs="Calibri"/>
          <w:lang w:val="es-GT"/>
        </w:rPr>
        <w:t>.3% del total; (iii) El gasto pú</w:t>
      </w:r>
      <w:r w:rsidRPr="00422741">
        <w:rPr>
          <w:rFonts w:ascii="Calibri" w:hAnsi="Calibri" w:cs="Calibri"/>
          <w:lang w:val="es-GT"/>
        </w:rPr>
        <w:t xml:space="preserve">blico ambiental total, promedio anual, es de un 0.6% del PIB y 3.9% del presupuesto público total. El gasto ambiental por persona es de US$11.8, mientras que en Costa Rica es de US$34.00, </w:t>
      </w:r>
      <w:r w:rsidR="00C97497">
        <w:rPr>
          <w:rFonts w:ascii="Calibri" w:hAnsi="Calibri" w:cs="Calibri"/>
          <w:lang w:val="es-GT"/>
        </w:rPr>
        <w:t xml:space="preserve">en </w:t>
      </w:r>
      <w:r w:rsidRPr="00422741">
        <w:rPr>
          <w:rFonts w:ascii="Calibri" w:hAnsi="Calibri" w:cs="Calibri"/>
          <w:lang w:val="es-GT"/>
        </w:rPr>
        <w:t xml:space="preserve">México </w:t>
      </w:r>
      <w:r w:rsidR="00C97497">
        <w:rPr>
          <w:rFonts w:ascii="Calibri" w:hAnsi="Calibri" w:cs="Calibri"/>
          <w:lang w:val="es-GT"/>
        </w:rPr>
        <w:t xml:space="preserve">de </w:t>
      </w:r>
      <w:r w:rsidRPr="00422741">
        <w:rPr>
          <w:rFonts w:ascii="Calibri" w:hAnsi="Calibri" w:cs="Calibri"/>
          <w:lang w:val="es-GT"/>
        </w:rPr>
        <w:t xml:space="preserve">US$47.00 y en Europa puede alcanzar US$ 150.00; (iv) El Producto Interno Neto </w:t>
      </w:r>
      <w:r w:rsidRPr="00422741">
        <w:rPr>
          <w:rFonts w:ascii="Calibri" w:hAnsi="Calibri" w:cs="Calibri"/>
          <w:lang w:val="es-GT"/>
        </w:rPr>
        <w:lastRenderedPageBreak/>
        <w:t>ajustado ambientalmente -que resulta de restar al PIB la depreciación del capital produc</w:t>
      </w:r>
      <w:r w:rsidR="00C97497">
        <w:rPr>
          <w:rFonts w:ascii="Calibri" w:hAnsi="Calibri" w:cs="Calibri"/>
          <w:lang w:val="es-GT"/>
        </w:rPr>
        <w:t>ido y de los activos naturales-</w:t>
      </w:r>
      <w:r w:rsidRPr="00422741">
        <w:rPr>
          <w:rFonts w:ascii="Calibri" w:hAnsi="Calibri" w:cs="Calibri"/>
          <w:lang w:val="es-GT"/>
        </w:rPr>
        <w:t xml:space="preserve">, corresponde al 94% del PIB, lo cual significa que se hace una sobreestimación del verdadero desempeño de la economía. Es decir, que el crecimiento económico se basa, en buena medida, en niveles incrementales de agotamiento, deterioro y contaminación ambiental, eventos que son evidentes en todo el territorio nacional. </w:t>
      </w:r>
    </w:p>
    <w:p w:rsidR="00422741" w:rsidRPr="00422741" w:rsidRDefault="00422741" w:rsidP="00422741">
      <w:pPr>
        <w:jc w:val="both"/>
        <w:rPr>
          <w:rFonts w:ascii="Calibri" w:hAnsi="Calibri" w:cs="Calibri"/>
          <w:lang w:val="es-GT"/>
        </w:rPr>
      </w:pPr>
    </w:p>
    <w:p w:rsidR="008B5C4C" w:rsidRDefault="008B5C4C" w:rsidP="00422741">
      <w:pPr>
        <w:jc w:val="both"/>
        <w:rPr>
          <w:rFonts w:ascii="Calibri" w:hAnsi="Calibri" w:cs="Calibri"/>
          <w:lang w:val="es-GT"/>
        </w:rPr>
      </w:pPr>
      <w:r w:rsidRPr="00422741">
        <w:rPr>
          <w:rFonts w:ascii="Calibri" w:hAnsi="Calibri" w:cs="Calibri"/>
          <w:lang w:val="es-GT"/>
        </w:rPr>
        <w:t>Las cuentas verdes muestran que las industrias manufactureras, en conjunto, ejercen los mayores niveles de presión ambiental. Son las principales demandantes de energía,</w:t>
      </w:r>
      <w:r w:rsidR="00141A70">
        <w:rPr>
          <w:rFonts w:ascii="Calibri" w:hAnsi="Calibri" w:cs="Calibri"/>
          <w:lang w:val="es-GT"/>
        </w:rPr>
        <w:t xml:space="preserve"> </w:t>
      </w:r>
      <w:r w:rsidRPr="00422741">
        <w:rPr>
          <w:rFonts w:ascii="Calibri" w:hAnsi="Calibri" w:cs="Calibri"/>
          <w:lang w:val="es-GT"/>
        </w:rPr>
        <w:t>las principales usuarias de los bienes del subsuelo y de los productos del bosque y son el usuario más importante del agua -al excluir el uso del agua de lluvia en la agricultura-.</w:t>
      </w:r>
    </w:p>
    <w:p w:rsidR="00422741" w:rsidRPr="00422741" w:rsidRDefault="00422741" w:rsidP="00422741">
      <w:pPr>
        <w:jc w:val="both"/>
        <w:rPr>
          <w:rFonts w:ascii="Calibri" w:hAnsi="Calibri" w:cs="Calibri"/>
          <w:lang w:val="es-GT"/>
        </w:rPr>
      </w:pPr>
    </w:p>
    <w:p w:rsidR="008B5C4C" w:rsidRPr="00422741" w:rsidRDefault="008B5C4C" w:rsidP="00422741">
      <w:pPr>
        <w:autoSpaceDE w:val="0"/>
        <w:autoSpaceDN w:val="0"/>
        <w:adjustRightInd w:val="0"/>
        <w:jc w:val="both"/>
        <w:rPr>
          <w:rFonts w:ascii="Calibri" w:hAnsi="Calibri" w:cs="Calibri"/>
          <w:lang w:val="es-GT"/>
        </w:rPr>
      </w:pPr>
      <w:r w:rsidRPr="00422741">
        <w:rPr>
          <w:rFonts w:ascii="Calibri" w:hAnsi="Calibri" w:cs="Calibri"/>
          <w:lang w:val="es-GT"/>
        </w:rPr>
        <w:t xml:space="preserve">Las cuentas verdes ponen en evidencia, por un lado, los altos niveles de dependencia de la economía con respecto a la naturaleza y por otro, la indiferencia pública y privada con respecto a esta realidad. </w:t>
      </w:r>
      <w:r w:rsidR="000C27D7">
        <w:rPr>
          <w:rFonts w:ascii="Calibri" w:hAnsi="Calibri" w:cs="Calibri"/>
          <w:lang w:val="es-GT"/>
        </w:rPr>
        <w:t>Nó</w:t>
      </w:r>
      <w:r w:rsidR="000C27D7" w:rsidRPr="00422741">
        <w:rPr>
          <w:rFonts w:ascii="Calibri" w:hAnsi="Calibri" w:cs="Calibri"/>
          <w:lang w:val="es-GT"/>
        </w:rPr>
        <w:t>tese</w:t>
      </w:r>
      <w:r w:rsidRPr="00422741">
        <w:rPr>
          <w:rFonts w:ascii="Calibri" w:hAnsi="Calibri" w:cs="Calibri"/>
          <w:lang w:val="es-GT"/>
        </w:rPr>
        <w:t xml:space="preserve"> en la Figura </w:t>
      </w:r>
      <w:r w:rsidR="000C27D7">
        <w:rPr>
          <w:rFonts w:ascii="Calibri" w:hAnsi="Calibri" w:cs="Calibri"/>
          <w:lang w:val="es-GT"/>
        </w:rPr>
        <w:t>21</w:t>
      </w:r>
      <w:r w:rsidRPr="00422741">
        <w:rPr>
          <w:rFonts w:ascii="Calibri" w:hAnsi="Calibri" w:cs="Calibri"/>
          <w:lang w:val="es-GT"/>
        </w:rPr>
        <w:t xml:space="preserve"> la correlación existente entre el crecimiento del Producto Interno Bruto</w:t>
      </w:r>
      <w:r w:rsidR="00C97497" w:rsidRPr="00C97497">
        <w:rPr>
          <w:rFonts w:ascii="Calibri" w:hAnsi="Calibri" w:cs="Calibri"/>
          <w:lang w:val="es-GT"/>
        </w:rPr>
        <w:t xml:space="preserve"> </w:t>
      </w:r>
      <w:r w:rsidR="00C97497" w:rsidRPr="00422741">
        <w:rPr>
          <w:rFonts w:ascii="Calibri" w:hAnsi="Calibri" w:cs="Calibri"/>
          <w:lang w:val="es-GT"/>
        </w:rPr>
        <w:t>para el periodo 2001-2010</w:t>
      </w:r>
      <w:r w:rsidR="00C97497">
        <w:rPr>
          <w:rFonts w:ascii="Calibri" w:hAnsi="Calibri" w:cs="Calibri"/>
          <w:lang w:val="es-GT"/>
        </w:rPr>
        <w:t xml:space="preserve"> (línea roja)</w:t>
      </w:r>
      <w:r w:rsidRPr="00422741">
        <w:rPr>
          <w:rFonts w:ascii="Calibri" w:hAnsi="Calibri" w:cs="Calibri"/>
          <w:lang w:val="es-GT"/>
        </w:rPr>
        <w:t xml:space="preserve">; la intensificación en el uso de la energía y el agotamiento, bajo regímenes netamente extractivos, de los bosques, </w:t>
      </w:r>
      <w:r w:rsidR="00C97497">
        <w:rPr>
          <w:rFonts w:ascii="Calibri" w:hAnsi="Calibri" w:cs="Calibri"/>
          <w:lang w:val="es-GT"/>
        </w:rPr>
        <w:t>e</w:t>
      </w:r>
      <w:r w:rsidRPr="00422741">
        <w:rPr>
          <w:rFonts w:ascii="Calibri" w:hAnsi="Calibri" w:cs="Calibri"/>
          <w:lang w:val="es-GT"/>
        </w:rPr>
        <w:t xml:space="preserve">l agua y los bienes del subsuelo. Así mismo, </w:t>
      </w:r>
      <w:r w:rsidR="00C97497">
        <w:rPr>
          <w:rFonts w:ascii="Calibri" w:hAnsi="Calibri" w:cs="Calibri"/>
          <w:lang w:val="es-GT"/>
        </w:rPr>
        <w:t>la</w:t>
      </w:r>
      <w:r w:rsidRPr="00422741">
        <w:rPr>
          <w:rFonts w:ascii="Calibri" w:hAnsi="Calibri" w:cs="Calibri"/>
          <w:lang w:val="es-GT"/>
        </w:rPr>
        <w:t xml:space="preserve"> Figura </w:t>
      </w:r>
      <w:r w:rsidR="000C27D7">
        <w:rPr>
          <w:rFonts w:ascii="Calibri" w:hAnsi="Calibri" w:cs="Calibri"/>
          <w:lang w:val="es-GT"/>
        </w:rPr>
        <w:t>22</w:t>
      </w:r>
      <w:r w:rsidRPr="00422741">
        <w:rPr>
          <w:rFonts w:ascii="Calibri" w:hAnsi="Calibri" w:cs="Calibri"/>
          <w:lang w:val="es-GT"/>
        </w:rPr>
        <w:t xml:space="preserve"> </w:t>
      </w:r>
      <w:r w:rsidR="00C97497">
        <w:rPr>
          <w:rFonts w:ascii="Calibri" w:hAnsi="Calibri" w:cs="Calibri"/>
          <w:lang w:val="es-GT"/>
        </w:rPr>
        <w:t xml:space="preserve">muestra </w:t>
      </w:r>
      <w:r w:rsidRPr="00422741">
        <w:rPr>
          <w:rFonts w:ascii="Calibri" w:hAnsi="Calibri" w:cs="Calibri"/>
          <w:lang w:val="es-GT"/>
        </w:rPr>
        <w:t>la correlación con la producción de contaminantes, especialmente los residuos sólidos y las emisiones atmosféricas de gases con efecto de invernadero. Como ejemplo concreto, durante el periodo de análisis el PIB creció un 32% y la producción de residuos sólidos, con sus consecuentes efectos contaminantes, creció un 40%. Menos del 20% de estos es objeto de tratamiento alguno.</w:t>
      </w:r>
    </w:p>
    <w:p w:rsidR="008B5C4C" w:rsidRPr="008B5C4C" w:rsidRDefault="008B5C4C" w:rsidP="008B5C4C">
      <w:pPr>
        <w:autoSpaceDE w:val="0"/>
        <w:autoSpaceDN w:val="0"/>
        <w:adjustRightInd w:val="0"/>
        <w:jc w:val="both"/>
        <w:rPr>
          <w:rStyle w:val="eacep1"/>
          <w:rFonts w:eastAsia="Arial Unicode MS"/>
          <w:lang w:val="es-GT"/>
        </w:rPr>
      </w:pPr>
    </w:p>
    <w:p w:rsidR="008B5C4C" w:rsidRPr="008B5C4C" w:rsidRDefault="008B5C4C" w:rsidP="00374112">
      <w:pPr>
        <w:autoSpaceDE w:val="0"/>
        <w:autoSpaceDN w:val="0"/>
        <w:adjustRightInd w:val="0"/>
        <w:jc w:val="both"/>
        <w:rPr>
          <w:rFonts w:ascii="Calibri" w:hAnsi="Calibri" w:cs="Calibri"/>
          <w:lang w:val="es-GT"/>
        </w:rPr>
      </w:pPr>
    </w:p>
    <w:p w:rsidR="00374112" w:rsidRPr="001A01AB" w:rsidRDefault="00374112" w:rsidP="00374112">
      <w:pPr>
        <w:jc w:val="both"/>
        <w:rPr>
          <w:rFonts w:ascii="Calibri" w:hAnsi="Calibri" w:cs="Calibri"/>
          <w:lang w:val="es-GT"/>
        </w:rPr>
      </w:pPr>
    </w:p>
    <w:p w:rsidR="00B925AD" w:rsidRPr="00224B57" w:rsidRDefault="00B925AD" w:rsidP="00224B57">
      <w:pPr>
        <w:spacing w:after="120"/>
        <w:jc w:val="center"/>
        <w:rPr>
          <w:rFonts w:ascii="Calibri" w:eastAsia="Calibri" w:hAnsi="Calibri" w:cs="Calibri"/>
          <w:b/>
          <w:color w:val="365F91"/>
          <w:sz w:val="22"/>
          <w:szCs w:val="22"/>
          <w:lang w:val="es-GT"/>
        </w:rPr>
      </w:pPr>
      <w:bookmarkStart w:id="102" w:name="_Toc347841244"/>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21</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Relación entre el crecimiento del PIB y la extracción de bienes naturales</w:t>
      </w:r>
      <w:bookmarkEnd w:id="102"/>
    </w:p>
    <w:p w:rsidR="00374112" w:rsidRPr="001A01AB" w:rsidRDefault="00544A9F" w:rsidP="00B925AD">
      <w:pPr>
        <w:ind w:left="360"/>
        <w:jc w:val="center"/>
        <w:rPr>
          <w:rFonts w:ascii="Calibri" w:hAnsi="Calibri" w:cs="Calibri"/>
          <w:lang w:val="es-GT"/>
        </w:rPr>
      </w:pPr>
      <w:r>
        <w:rPr>
          <w:rFonts w:ascii="Calibri" w:hAnsi="Calibri" w:cs="Calibri"/>
          <w:noProof/>
          <w:lang w:val="es-GT" w:eastAsia="es-GT"/>
        </w:rPr>
        <w:drawing>
          <wp:inline distT="0" distB="0" distL="0" distR="0" wp14:anchorId="7D43C1DE" wp14:editId="2B715005">
            <wp:extent cx="3657600" cy="2247900"/>
            <wp:effectExtent l="19050" t="19050" r="19050" b="19050"/>
            <wp:docPr id="2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
                      <a:extLst>
                        <a:ext uri="{28A0092B-C50C-407E-A947-70E740481C1C}">
                          <a14:useLocalDpi xmlns:a14="http://schemas.microsoft.com/office/drawing/2010/main" val="0"/>
                        </a:ext>
                      </a:extLst>
                    </a:blip>
                    <a:srcRect l="1567" t="1047" r="1567" b="58987"/>
                    <a:stretch>
                      <a:fillRect/>
                    </a:stretch>
                  </pic:blipFill>
                  <pic:spPr bwMode="auto">
                    <a:xfrm>
                      <a:off x="0" y="0"/>
                      <a:ext cx="3657600" cy="2247900"/>
                    </a:xfrm>
                    <a:prstGeom prst="rect">
                      <a:avLst/>
                    </a:prstGeom>
                    <a:noFill/>
                    <a:ln w="9525" cmpd="sng">
                      <a:solidFill>
                        <a:srgbClr val="000000"/>
                      </a:solidFill>
                      <a:miter lim="800000"/>
                      <a:headEnd/>
                      <a:tailEnd/>
                    </a:ln>
                    <a:effectLst/>
                  </pic:spPr>
                </pic:pic>
              </a:graphicData>
            </a:graphic>
          </wp:inline>
        </w:drawing>
      </w:r>
    </w:p>
    <w:p w:rsidR="00374112" w:rsidRPr="001A01AB" w:rsidRDefault="00C97497" w:rsidP="00B925AD">
      <w:pPr>
        <w:autoSpaceDE w:val="0"/>
        <w:autoSpaceDN w:val="0"/>
        <w:adjustRightInd w:val="0"/>
        <w:ind w:left="360" w:right="1458"/>
        <w:jc w:val="right"/>
        <w:rPr>
          <w:rFonts w:ascii="Calibri" w:hAnsi="Calibri" w:cs="Calibri"/>
          <w:sz w:val="20"/>
          <w:lang w:val="es-GT"/>
        </w:rPr>
      </w:pPr>
      <w:r>
        <w:rPr>
          <w:rFonts w:ascii="Calibri" w:hAnsi="Calibri" w:cs="Calibri"/>
          <w:sz w:val="20"/>
          <w:lang w:val="es-GT"/>
        </w:rPr>
        <w:t>Fuente: IARNA-URL (</w:t>
      </w:r>
      <w:r w:rsidR="00374112" w:rsidRPr="001A01AB">
        <w:rPr>
          <w:rFonts w:ascii="Calibri" w:hAnsi="Calibri" w:cs="Calibri"/>
          <w:sz w:val="20"/>
          <w:lang w:val="es-GT"/>
        </w:rPr>
        <w:t>2012</w:t>
      </w:r>
      <w:r>
        <w:rPr>
          <w:rFonts w:ascii="Calibri" w:hAnsi="Calibri" w:cs="Calibri"/>
          <w:sz w:val="20"/>
          <w:lang w:val="es-GT"/>
        </w:rPr>
        <w:t>).</w:t>
      </w:r>
    </w:p>
    <w:p w:rsidR="00374112" w:rsidRPr="001A01AB" w:rsidRDefault="00374112" w:rsidP="00374112">
      <w:pPr>
        <w:autoSpaceDE w:val="0"/>
        <w:autoSpaceDN w:val="0"/>
        <w:adjustRightInd w:val="0"/>
        <w:jc w:val="both"/>
        <w:rPr>
          <w:rFonts w:ascii="Calibri" w:hAnsi="Calibri" w:cs="Calibri"/>
          <w:color w:val="1A1A1A"/>
          <w:lang w:val="es-GT"/>
        </w:rPr>
      </w:pPr>
    </w:p>
    <w:p w:rsidR="00374112" w:rsidRPr="001A01AB" w:rsidRDefault="00374112" w:rsidP="00374112">
      <w:pPr>
        <w:jc w:val="both"/>
        <w:rPr>
          <w:rFonts w:ascii="Calibri" w:hAnsi="Calibri" w:cs="Calibri"/>
          <w:lang w:val="es-GT"/>
        </w:rPr>
      </w:pPr>
    </w:p>
    <w:p w:rsidR="006B1FFA" w:rsidRPr="001A01AB" w:rsidRDefault="006B1FFA" w:rsidP="00374112">
      <w:pPr>
        <w:jc w:val="both"/>
        <w:rPr>
          <w:rFonts w:ascii="Calibri" w:hAnsi="Calibri" w:cs="Calibri"/>
          <w:lang w:val="es-GT"/>
        </w:rPr>
      </w:pPr>
    </w:p>
    <w:p w:rsidR="006B1FFA" w:rsidRDefault="006B1FFA" w:rsidP="00374112">
      <w:pPr>
        <w:jc w:val="both"/>
        <w:rPr>
          <w:rFonts w:ascii="Calibri" w:hAnsi="Calibri" w:cs="Calibri"/>
          <w:lang w:val="es-GT"/>
        </w:rPr>
      </w:pPr>
    </w:p>
    <w:p w:rsidR="00C97497" w:rsidRPr="001A01AB" w:rsidRDefault="00C97497" w:rsidP="00374112">
      <w:pPr>
        <w:jc w:val="both"/>
        <w:rPr>
          <w:rFonts w:ascii="Calibri" w:hAnsi="Calibri" w:cs="Calibri"/>
          <w:lang w:val="es-GT"/>
        </w:rPr>
      </w:pPr>
    </w:p>
    <w:p w:rsidR="00B925AD" w:rsidRPr="00224B57" w:rsidRDefault="00B925AD" w:rsidP="00224B57">
      <w:pPr>
        <w:spacing w:after="120"/>
        <w:jc w:val="center"/>
        <w:rPr>
          <w:rFonts w:ascii="Calibri" w:eastAsia="Calibri" w:hAnsi="Calibri" w:cs="Calibri"/>
          <w:b/>
          <w:color w:val="365F91"/>
          <w:sz w:val="22"/>
          <w:szCs w:val="22"/>
          <w:lang w:val="es-GT"/>
        </w:rPr>
      </w:pPr>
      <w:bookmarkStart w:id="103" w:name="_Toc347841245"/>
      <w:r w:rsidRPr="001A01AB">
        <w:rPr>
          <w:rFonts w:ascii="Calibri" w:eastAsia="Calibri" w:hAnsi="Calibri" w:cs="Calibri"/>
          <w:b/>
          <w:color w:val="365F91"/>
          <w:sz w:val="22"/>
          <w:szCs w:val="22"/>
          <w:lang w:val="es-GT"/>
        </w:rPr>
        <w:lastRenderedPageBreak/>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22</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Relación entre el crecimiento del PIB y la producción de contaminantes</w:t>
      </w:r>
      <w:bookmarkEnd w:id="103"/>
    </w:p>
    <w:p w:rsidR="00374112" w:rsidRPr="001A01AB" w:rsidRDefault="00544A9F" w:rsidP="00B925AD">
      <w:pPr>
        <w:ind w:left="360"/>
        <w:jc w:val="center"/>
        <w:rPr>
          <w:rFonts w:ascii="Calibri" w:hAnsi="Calibri" w:cs="Calibri"/>
          <w:lang w:val="es-GT"/>
        </w:rPr>
      </w:pPr>
      <w:r>
        <w:rPr>
          <w:rFonts w:ascii="Calibri" w:hAnsi="Calibri" w:cs="Calibri"/>
          <w:noProof/>
          <w:lang w:val="es-GT" w:eastAsia="es-GT"/>
        </w:rPr>
        <w:drawing>
          <wp:inline distT="0" distB="0" distL="0" distR="0" wp14:anchorId="351798B9" wp14:editId="654AC0EE">
            <wp:extent cx="3657600" cy="2638425"/>
            <wp:effectExtent l="19050" t="19050" r="19050" b="28575"/>
            <wp:docPr id="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
                      <a:extLst>
                        <a:ext uri="{28A0092B-C50C-407E-A947-70E740481C1C}">
                          <a14:useLocalDpi xmlns:a14="http://schemas.microsoft.com/office/drawing/2010/main" val="0"/>
                        </a:ext>
                      </a:extLst>
                    </a:blip>
                    <a:srcRect l="1567" t="54276" r="1828" b="1047"/>
                    <a:stretch>
                      <a:fillRect/>
                    </a:stretch>
                  </pic:blipFill>
                  <pic:spPr bwMode="auto">
                    <a:xfrm>
                      <a:off x="0" y="0"/>
                      <a:ext cx="3657600" cy="2638425"/>
                    </a:xfrm>
                    <a:prstGeom prst="rect">
                      <a:avLst/>
                    </a:prstGeom>
                    <a:noFill/>
                    <a:ln w="9525" cmpd="sng">
                      <a:solidFill>
                        <a:srgbClr val="000000"/>
                      </a:solidFill>
                      <a:miter lim="800000"/>
                      <a:headEnd/>
                      <a:tailEnd/>
                    </a:ln>
                    <a:effectLst/>
                  </pic:spPr>
                </pic:pic>
              </a:graphicData>
            </a:graphic>
          </wp:inline>
        </w:drawing>
      </w:r>
    </w:p>
    <w:p w:rsidR="00374112" w:rsidRPr="001A01AB" w:rsidRDefault="00C97497" w:rsidP="00C13D24">
      <w:pPr>
        <w:autoSpaceDE w:val="0"/>
        <w:autoSpaceDN w:val="0"/>
        <w:adjustRightInd w:val="0"/>
        <w:ind w:left="360" w:right="1458"/>
        <w:jc w:val="right"/>
        <w:rPr>
          <w:rFonts w:ascii="Calibri" w:hAnsi="Calibri" w:cs="Calibri"/>
          <w:sz w:val="20"/>
          <w:lang w:val="es-GT"/>
        </w:rPr>
      </w:pPr>
      <w:r>
        <w:rPr>
          <w:rFonts w:ascii="Calibri" w:hAnsi="Calibri" w:cs="Calibri"/>
          <w:sz w:val="20"/>
          <w:lang w:val="es-GT"/>
        </w:rPr>
        <w:t>Fuente: IARNA-URL (</w:t>
      </w:r>
      <w:r w:rsidR="00374112" w:rsidRPr="001A01AB">
        <w:rPr>
          <w:rFonts w:ascii="Calibri" w:hAnsi="Calibri" w:cs="Calibri"/>
          <w:sz w:val="20"/>
          <w:lang w:val="es-GT"/>
        </w:rPr>
        <w:t>2012</w:t>
      </w:r>
      <w:r>
        <w:rPr>
          <w:rFonts w:ascii="Calibri" w:hAnsi="Calibri" w:cs="Calibri"/>
          <w:sz w:val="20"/>
          <w:lang w:val="es-GT"/>
        </w:rPr>
        <w:t>)</w:t>
      </w:r>
    </w:p>
    <w:p w:rsidR="00374112" w:rsidRPr="001A01AB" w:rsidRDefault="00374112" w:rsidP="00C13D24">
      <w:pPr>
        <w:autoSpaceDE w:val="0"/>
        <w:autoSpaceDN w:val="0"/>
        <w:adjustRightInd w:val="0"/>
        <w:ind w:left="360"/>
        <w:jc w:val="both"/>
        <w:rPr>
          <w:rFonts w:ascii="Calibri" w:hAnsi="Calibri" w:cs="Calibri"/>
          <w:color w:val="1A1A1A"/>
          <w:lang w:val="es-GT"/>
        </w:rPr>
      </w:pPr>
    </w:p>
    <w:p w:rsidR="00C13D24" w:rsidRPr="001A01AB" w:rsidRDefault="00C13D24" w:rsidP="00C13D24">
      <w:pPr>
        <w:autoSpaceDE w:val="0"/>
        <w:autoSpaceDN w:val="0"/>
        <w:adjustRightInd w:val="0"/>
        <w:ind w:left="360"/>
        <w:jc w:val="both"/>
        <w:rPr>
          <w:rFonts w:ascii="Calibri" w:hAnsi="Calibri" w:cs="Calibri"/>
          <w:color w:val="1A1A1A"/>
          <w:lang w:val="es-GT"/>
        </w:rPr>
      </w:pPr>
    </w:p>
    <w:p w:rsidR="00374112" w:rsidRPr="001A01AB" w:rsidRDefault="00374112"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104" w:name="_Toc340065165"/>
      <w:bookmarkStart w:id="105" w:name="_Toc340065257"/>
      <w:bookmarkStart w:id="106" w:name="_Toc340565849"/>
      <w:bookmarkStart w:id="107" w:name="_Toc347841299"/>
      <w:r w:rsidRPr="001A01AB">
        <w:rPr>
          <w:rFonts w:cs="Calibri"/>
          <w:b/>
          <w:color w:val="365F91"/>
          <w:sz w:val="28"/>
          <w:lang w:eastAsia="es-GT"/>
        </w:rPr>
        <w:t>Relación entre la pob</w:t>
      </w:r>
      <w:r w:rsidR="00C13D24" w:rsidRPr="001A01AB">
        <w:rPr>
          <w:rFonts w:cs="Calibri"/>
          <w:b/>
          <w:color w:val="365F91"/>
          <w:sz w:val="28"/>
          <w:lang w:eastAsia="es-GT"/>
        </w:rPr>
        <w:t>reza y la degradación ambiental</w:t>
      </w:r>
      <w:bookmarkEnd w:id="104"/>
      <w:bookmarkEnd w:id="105"/>
      <w:bookmarkEnd w:id="106"/>
      <w:bookmarkEnd w:id="107"/>
    </w:p>
    <w:p w:rsidR="00CD7A00" w:rsidRDefault="00CD7A00" w:rsidP="009576AE">
      <w:pPr>
        <w:autoSpaceDE w:val="0"/>
        <w:autoSpaceDN w:val="0"/>
        <w:adjustRightInd w:val="0"/>
        <w:ind w:left="360"/>
        <w:jc w:val="both"/>
        <w:rPr>
          <w:rFonts w:ascii="Calibri" w:hAnsi="Calibri" w:cs="Calibri"/>
          <w:color w:val="1A1A1A"/>
          <w:lang w:val="es-GT"/>
        </w:rPr>
      </w:pPr>
    </w:p>
    <w:p w:rsidR="00CD7A00" w:rsidRDefault="00CD7A00" w:rsidP="00C470CE">
      <w:pPr>
        <w:autoSpaceDE w:val="0"/>
        <w:autoSpaceDN w:val="0"/>
        <w:adjustRightInd w:val="0"/>
        <w:jc w:val="both"/>
        <w:rPr>
          <w:rFonts w:ascii="Calibri" w:hAnsi="Calibri" w:cs="Calibri"/>
          <w:color w:val="1A1A1A"/>
          <w:lang w:val="es-GT"/>
        </w:rPr>
      </w:pPr>
      <w:r>
        <w:rPr>
          <w:rFonts w:ascii="Calibri" w:hAnsi="Calibri" w:cs="Calibri"/>
          <w:color w:val="1A1A1A"/>
          <w:lang w:val="es-GT"/>
        </w:rPr>
        <w:t>A partir de la sección anterior es posible concluir que la degradación ambiental está íntimamente asociada a las racionalida</w:t>
      </w:r>
      <w:r w:rsidR="00CC5EC8">
        <w:rPr>
          <w:rFonts w:ascii="Calibri" w:hAnsi="Calibri" w:cs="Calibri"/>
          <w:color w:val="1A1A1A"/>
          <w:lang w:val="es-GT"/>
        </w:rPr>
        <w:t>des de producción y consumo. Existe</w:t>
      </w:r>
      <w:r>
        <w:rPr>
          <w:rFonts w:ascii="Calibri" w:hAnsi="Calibri" w:cs="Calibri"/>
          <w:color w:val="1A1A1A"/>
          <w:lang w:val="es-GT"/>
        </w:rPr>
        <w:t xml:space="preserve"> una relación directa entre la intensidad y la extensión de la producción</w:t>
      </w:r>
      <w:r w:rsidR="00CC5EC8">
        <w:rPr>
          <w:rFonts w:ascii="Calibri" w:hAnsi="Calibri" w:cs="Calibri"/>
          <w:color w:val="1A1A1A"/>
          <w:lang w:val="es-GT"/>
        </w:rPr>
        <w:t>,</w:t>
      </w:r>
      <w:r>
        <w:rPr>
          <w:rFonts w:ascii="Calibri" w:hAnsi="Calibri" w:cs="Calibri"/>
          <w:color w:val="1A1A1A"/>
          <w:lang w:val="es-GT"/>
        </w:rPr>
        <w:t xml:space="preserve"> y el consumo y la degradación ambiental. Es decir</w:t>
      </w:r>
      <w:r w:rsidR="00CC5EC8">
        <w:rPr>
          <w:rFonts w:ascii="Calibri" w:hAnsi="Calibri" w:cs="Calibri"/>
          <w:color w:val="1A1A1A"/>
          <w:lang w:val="es-GT"/>
        </w:rPr>
        <w:t>,</w:t>
      </w:r>
      <w:r>
        <w:rPr>
          <w:rFonts w:ascii="Calibri" w:hAnsi="Calibri" w:cs="Calibri"/>
          <w:color w:val="1A1A1A"/>
          <w:lang w:val="es-GT"/>
        </w:rPr>
        <w:t xml:space="preserve"> quienes más producen y consumen tienden a generar más impactos ambientales.</w:t>
      </w:r>
      <w:r w:rsidR="00141A70">
        <w:rPr>
          <w:rFonts w:ascii="Calibri" w:hAnsi="Calibri" w:cs="Calibri"/>
          <w:color w:val="1A1A1A"/>
          <w:lang w:val="es-GT"/>
        </w:rPr>
        <w:t xml:space="preserve"> </w:t>
      </w:r>
      <w:r>
        <w:rPr>
          <w:rFonts w:ascii="Calibri" w:hAnsi="Calibri" w:cs="Calibri"/>
          <w:color w:val="1A1A1A"/>
          <w:lang w:val="es-GT"/>
        </w:rPr>
        <w:t>Estos hechos indican que no son los pobres exclusivamente los que degradan el ambient</w:t>
      </w:r>
      <w:r w:rsidR="00051FA8">
        <w:rPr>
          <w:rFonts w:ascii="Calibri" w:hAnsi="Calibri" w:cs="Calibri"/>
          <w:color w:val="1A1A1A"/>
          <w:lang w:val="es-GT"/>
        </w:rPr>
        <w:t>e</w:t>
      </w:r>
      <w:r>
        <w:rPr>
          <w:rFonts w:ascii="Calibri" w:hAnsi="Calibri" w:cs="Calibri"/>
          <w:color w:val="1A1A1A"/>
          <w:lang w:val="es-GT"/>
        </w:rPr>
        <w:t xml:space="preserve"> como se ha difundido nacional e internacionalmente.</w:t>
      </w:r>
    </w:p>
    <w:p w:rsidR="00CD7A00" w:rsidRDefault="00CD7A00" w:rsidP="00C470CE">
      <w:pPr>
        <w:autoSpaceDE w:val="0"/>
        <w:autoSpaceDN w:val="0"/>
        <w:adjustRightInd w:val="0"/>
        <w:jc w:val="both"/>
        <w:rPr>
          <w:rFonts w:ascii="Calibri" w:hAnsi="Calibri" w:cs="Calibri"/>
          <w:color w:val="1A1A1A"/>
          <w:lang w:val="es-GT"/>
        </w:rPr>
      </w:pPr>
    </w:p>
    <w:p w:rsidR="00374112" w:rsidRPr="001A01AB" w:rsidRDefault="00CD7A00" w:rsidP="00C470CE">
      <w:pPr>
        <w:autoSpaceDE w:val="0"/>
        <w:autoSpaceDN w:val="0"/>
        <w:adjustRightInd w:val="0"/>
        <w:jc w:val="both"/>
        <w:rPr>
          <w:rFonts w:ascii="Calibri" w:hAnsi="Calibri" w:cs="Calibri"/>
          <w:color w:val="1A1A1A"/>
          <w:lang w:val="es-GT"/>
        </w:rPr>
      </w:pPr>
      <w:r>
        <w:rPr>
          <w:rFonts w:ascii="Calibri" w:hAnsi="Calibri" w:cs="Calibri"/>
          <w:color w:val="1A1A1A"/>
          <w:lang w:val="es-GT"/>
        </w:rPr>
        <w:t>Sin embargo,</w:t>
      </w:r>
      <w:r w:rsidR="00141A70">
        <w:rPr>
          <w:rFonts w:ascii="Calibri" w:hAnsi="Calibri" w:cs="Calibri"/>
          <w:color w:val="1A1A1A"/>
          <w:lang w:val="es-GT"/>
        </w:rPr>
        <w:t xml:space="preserve"> </w:t>
      </w:r>
      <w:r>
        <w:rPr>
          <w:rFonts w:ascii="Calibri" w:hAnsi="Calibri" w:cs="Calibri"/>
          <w:color w:val="1A1A1A"/>
          <w:lang w:val="es-GT"/>
        </w:rPr>
        <w:t xml:space="preserve">también </w:t>
      </w:r>
      <w:r w:rsidR="00374112" w:rsidRPr="001A01AB">
        <w:rPr>
          <w:rFonts w:ascii="Calibri" w:hAnsi="Calibri" w:cs="Calibri"/>
          <w:color w:val="1A1A1A"/>
          <w:lang w:val="es-GT"/>
        </w:rPr>
        <w:t>existe una relación entre la pobreza de la población y el deterioro ambiental, que en Guatemala se encuentran asociadas entre sí</w:t>
      </w:r>
      <w:r w:rsidR="00670B24" w:rsidRPr="001A01AB">
        <w:rPr>
          <w:rFonts w:ascii="Calibri" w:hAnsi="Calibri" w:cs="Calibri"/>
          <w:color w:val="1A1A1A"/>
          <w:lang w:val="es-GT"/>
        </w:rPr>
        <w:t>,</w:t>
      </w:r>
      <w:r w:rsidR="00374112" w:rsidRPr="001A01AB">
        <w:rPr>
          <w:rFonts w:ascii="Calibri" w:hAnsi="Calibri" w:cs="Calibri"/>
          <w:color w:val="1A1A1A"/>
          <w:lang w:val="es-GT"/>
        </w:rPr>
        <w:t xml:space="preserve"> a través de una estructura de generación de ingreso</w:t>
      </w:r>
      <w:r w:rsidR="00670B24" w:rsidRPr="001A01AB">
        <w:rPr>
          <w:rFonts w:ascii="Calibri" w:hAnsi="Calibri" w:cs="Calibri"/>
          <w:color w:val="1A1A1A"/>
          <w:lang w:val="es-GT"/>
        </w:rPr>
        <w:t>,</w:t>
      </w:r>
      <w:r w:rsidR="00374112" w:rsidRPr="001A01AB">
        <w:rPr>
          <w:rFonts w:ascii="Calibri" w:hAnsi="Calibri" w:cs="Calibri"/>
          <w:color w:val="1A1A1A"/>
          <w:lang w:val="es-GT"/>
        </w:rPr>
        <w:t xml:space="preserve"> en la que la inexistencia de alternativas de trabajo no-agrícola con frecuencia obliga a la población a ejercer actividades de ingresos bajos, como la transformación de áreas forestales en agrícolas, incluso cuando éstas no son aptas para este tipo de uso (Loening y Markusen</w:t>
      </w:r>
      <w:r w:rsidR="00051FA8">
        <w:rPr>
          <w:rFonts w:ascii="Calibri" w:hAnsi="Calibri" w:cs="Calibri"/>
          <w:color w:val="1A1A1A"/>
          <w:lang w:val="es-GT"/>
        </w:rPr>
        <w:t>,</w:t>
      </w:r>
      <w:r w:rsidR="00374112" w:rsidRPr="001A01AB">
        <w:rPr>
          <w:rFonts w:ascii="Calibri" w:hAnsi="Calibri" w:cs="Calibri"/>
          <w:color w:val="1A1A1A"/>
          <w:lang w:val="es-GT"/>
        </w:rPr>
        <w:t xml:space="preserve"> 2003). Lo anterior indica que en Guatemala hay un serio problema derivado de la falta de alternativas diferentes a realizar actividades agrícolas intensivas con baja productividad. Esta condición se ve agravada por bajos niveles de escolarid</w:t>
      </w:r>
      <w:r w:rsidR="00670B24" w:rsidRPr="001A01AB">
        <w:rPr>
          <w:rFonts w:ascii="Calibri" w:hAnsi="Calibri" w:cs="Calibri"/>
          <w:color w:val="1A1A1A"/>
          <w:lang w:val="es-GT"/>
        </w:rPr>
        <w:t>ad y elevada inequidad social.</w:t>
      </w:r>
    </w:p>
    <w:p w:rsidR="00374112" w:rsidRPr="001A01AB" w:rsidRDefault="00374112" w:rsidP="00C470CE">
      <w:pPr>
        <w:autoSpaceDE w:val="0"/>
        <w:autoSpaceDN w:val="0"/>
        <w:adjustRightInd w:val="0"/>
        <w:jc w:val="both"/>
        <w:rPr>
          <w:rFonts w:ascii="Calibri" w:hAnsi="Calibri" w:cs="Calibri"/>
          <w:color w:val="1A1A1A"/>
          <w:lang w:val="es-GT"/>
        </w:rPr>
      </w:pPr>
    </w:p>
    <w:p w:rsidR="00374112" w:rsidRDefault="00374112" w:rsidP="00C470CE">
      <w:pPr>
        <w:autoSpaceDE w:val="0"/>
        <w:autoSpaceDN w:val="0"/>
        <w:adjustRightInd w:val="0"/>
        <w:jc w:val="both"/>
        <w:rPr>
          <w:rFonts w:ascii="Calibri" w:hAnsi="Calibri" w:cs="Calibri"/>
          <w:color w:val="1A1A1A"/>
          <w:lang w:val="es-GT"/>
        </w:rPr>
      </w:pPr>
      <w:r w:rsidRPr="001A01AB">
        <w:rPr>
          <w:rFonts w:ascii="Calibri" w:hAnsi="Calibri" w:cs="Calibri"/>
          <w:color w:val="1A1A1A"/>
          <w:lang w:val="es-GT"/>
        </w:rPr>
        <w:t xml:space="preserve">De acuerdo con </w:t>
      </w:r>
      <w:r w:rsidR="005C6B90">
        <w:rPr>
          <w:rFonts w:ascii="Calibri" w:hAnsi="Calibri" w:cs="Calibri"/>
          <w:color w:val="1A1A1A"/>
          <w:lang w:val="es-GT"/>
        </w:rPr>
        <w:t xml:space="preserve">la </w:t>
      </w:r>
      <w:r w:rsidR="005C6B90">
        <w:rPr>
          <w:rFonts w:ascii="Calibri" w:hAnsi="Calibri" w:cs="Calibri"/>
          <w:color w:val="000000"/>
          <w:sz w:val="22"/>
          <w:szCs w:val="22"/>
          <w:lang w:val="es-GT" w:eastAsia="es-GT"/>
        </w:rPr>
        <w:t>Secretarí</w:t>
      </w:r>
      <w:r w:rsidR="005C6B90" w:rsidRPr="00690536">
        <w:rPr>
          <w:rFonts w:ascii="Calibri" w:hAnsi="Calibri" w:cs="Calibri"/>
          <w:color w:val="000000"/>
          <w:sz w:val="22"/>
          <w:szCs w:val="22"/>
          <w:lang w:val="es-GT" w:eastAsia="es-GT"/>
        </w:rPr>
        <w:t>a de Planificación y Programación de la Presidencia</w:t>
      </w:r>
      <w:r w:rsidR="005C6B90" w:rsidRPr="001A01AB">
        <w:rPr>
          <w:rFonts w:ascii="Calibri" w:hAnsi="Calibri" w:cs="Calibri"/>
          <w:color w:val="1A1A1A"/>
          <w:lang w:val="es-GT"/>
        </w:rPr>
        <w:t xml:space="preserve"> </w:t>
      </w:r>
      <w:r w:rsidR="005C6B90">
        <w:rPr>
          <w:rFonts w:ascii="Calibri" w:hAnsi="Calibri" w:cs="Calibri"/>
          <w:color w:val="1A1A1A"/>
          <w:lang w:val="es-GT"/>
        </w:rPr>
        <w:t>(</w:t>
      </w:r>
      <w:r w:rsidRPr="001A01AB">
        <w:rPr>
          <w:rFonts w:ascii="Calibri" w:hAnsi="Calibri" w:cs="Calibri"/>
          <w:color w:val="1A1A1A"/>
          <w:lang w:val="es-GT"/>
        </w:rPr>
        <w:t>SEGEPLAN</w:t>
      </w:r>
      <w:r w:rsidR="005C6B90">
        <w:rPr>
          <w:rFonts w:ascii="Calibri" w:hAnsi="Calibri" w:cs="Calibri"/>
          <w:color w:val="1A1A1A"/>
          <w:lang w:val="es-GT"/>
        </w:rPr>
        <w:t>)</w:t>
      </w:r>
      <w:r w:rsidR="004D4D08">
        <w:rPr>
          <w:rFonts w:ascii="Calibri" w:hAnsi="Calibri" w:cs="Calibri"/>
          <w:color w:val="1A1A1A"/>
          <w:lang w:val="es-GT"/>
        </w:rPr>
        <w:t>, au</w:t>
      </w:r>
      <w:r w:rsidRPr="001A01AB">
        <w:rPr>
          <w:rFonts w:ascii="Calibri" w:hAnsi="Calibri" w:cs="Calibri"/>
          <w:color w:val="1A1A1A"/>
          <w:lang w:val="es-GT"/>
        </w:rPr>
        <w:t>n cuando la pobreza es un fenómeno palpable en toda Guatemala (16 de los 22 departamentos tienen más del 50% de su población en situación de pobreza), los datos indican que los departamentos con mayor incidencia son Quiché, Alta Verapaz, Huehuetenango, Sololá, Totonicapán, Baja Verapaz y San Marcos</w:t>
      </w:r>
      <w:r w:rsidR="00051FA8">
        <w:rPr>
          <w:rFonts w:ascii="Calibri" w:hAnsi="Calibri" w:cs="Calibri"/>
          <w:color w:val="1A1A1A"/>
          <w:lang w:val="es-GT"/>
        </w:rPr>
        <w:t>,</w:t>
      </w:r>
      <w:r w:rsidRPr="001A01AB">
        <w:rPr>
          <w:rFonts w:ascii="Calibri" w:hAnsi="Calibri" w:cs="Calibri"/>
          <w:color w:val="1A1A1A"/>
          <w:lang w:val="es-GT"/>
        </w:rPr>
        <w:t xml:space="preserve"> en donde el índice de pobreza general es superior al 70%.</w:t>
      </w:r>
    </w:p>
    <w:p w:rsidR="004D4D08" w:rsidRPr="001A01AB" w:rsidRDefault="004D4D08" w:rsidP="009576AE">
      <w:pPr>
        <w:autoSpaceDE w:val="0"/>
        <w:autoSpaceDN w:val="0"/>
        <w:adjustRightInd w:val="0"/>
        <w:ind w:left="360"/>
        <w:jc w:val="both"/>
        <w:rPr>
          <w:rFonts w:ascii="Calibri" w:hAnsi="Calibri" w:cs="Calibri"/>
          <w:color w:val="1A1A1A"/>
          <w:lang w:val="es-GT"/>
        </w:rPr>
      </w:pPr>
    </w:p>
    <w:p w:rsidR="00374112" w:rsidRPr="001A01AB" w:rsidRDefault="00CD7A00" w:rsidP="009576AE">
      <w:pPr>
        <w:autoSpaceDE w:val="0"/>
        <w:autoSpaceDN w:val="0"/>
        <w:adjustRightInd w:val="0"/>
        <w:ind w:left="360"/>
        <w:jc w:val="both"/>
        <w:rPr>
          <w:rFonts w:ascii="Calibri" w:hAnsi="Calibri" w:cs="Calibri"/>
          <w:color w:val="1A1A1A"/>
          <w:lang w:val="es-GT"/>
        </w:rPr>
      </w:pPr>
      <w:r>
        <w:rPr>
          <w:rFonts w:ascii="Calibri" w:hAnsi="Calibri" w:cs="Calibri"/>
          <w:color w:val="1A1A1A"/>
          <w:lang w:val="es-GT"/>
        </w:rPr>
        <w:lastRenderedPageBreak/>
        <w:t>P</w:t>
      </w:r>
      <w:r w:rsidR="00374112" w:rsidRPr="001A01AB">
        <w:rPr>
          <w:rFonts w:ascii="Calibri" w:hAnsi="Calibri" w:cs="Calibri"/>
          <w:color w:val="1A1A1A"/>
          <w:lang w:val="es-GT"/>
        </w:rPr>
        <w:t xml:space="preserve">ara analizar las relaciones entre la pobreza y la degradación ambiental, </w:t>
      </w:r>
      <w:r>
        <w:rPr>
          <w:rFonts w:ascii="Calibri" w:hAnsi="Calibri" w:cs="Calibri"/>
          <w:color w:val="1A1A1A"/>
          <w:lang w:val="es-GT"/>
        </w:rPr>
        <w:t xml:space="preserve">se puede </w:t>
      </w:r>
      <w:r w:rsidR="00051FA8">
        <w:rPr>
          <w:rFonts w:ascii="Calibri" w:hAnsi="Calibri" w:cs="Calibri"/>
          <w:color w:val="1A1A1A"/>
          <w:lang w:val="es-GT"/>
        </w:rPr>
        <w:t>estudiar</w:t>
      </w:r>
      <w:r>
        <w:rPr>
          <w:rFonts w:ascii="Calibri" w:hAnsi="Calibri" w:cs="Calibri"/>
          <w:color w:val="1A1A1A"/>
          <w:lang w:val="es-GT"/>
        </w:rPr>
        <w:t xml:space="preserve"> </w:t>
      </w:r>
      <w:r w:rsidR="00374112" w:rsidRPr="001A01AB">
        <w:rPr>
          <w:rFonts w:ascii="Calibri" w:hAnsi="Calibri" w:cs="Calibri"/>
          <w:color w:val="1A1A1A"/>
          <w:lang w:val="es-GT"/>
        </w:rPr>
        <w:t>la correlación espacial entre la pobreza de la población y la presencia de algunos de los principales indicadores de degradación ambiental.</w:t>
      </w:r>
      <w:r w:rsidR="00670B24" w:rsidRPr="001A01AB">
        <w:rPr>
          <w:rFonts w:ascii="Calibri" w:hAnsi="Calibri" w:cs="Calibri"/>
          <w:color w:val="1A1A1A"/>
          <w:lang w:val="es-GT"/>
        </w:rPr>
        <w:t xml:space="preserve"> </w:t>
      </w:r>
      <w:r w:rsidR="007C3972" w:rsidRPr="001A01AB">
        <w:rPr>
          <w:rFonts w:ascii="Calibri" w:hAnsi="Calibri" w:cs="Calibri"/>
          <w:color w:val="1A1A1A"/>
          <w:lang w:val="es-GT"/>
        </w:rPr>
        <w:t xml:space="preserve">La sobre </w:t>
      </w:r>
      <w:r w:rsidR="00374112" w:rsidRPr="001A01AB">
        <w:rPr>
          <w:rFonts w:ascii="Calibri" w:hAnsi="Calibri" w:cs="Calibri"/>
          <w:color w:val="1A1A1A"/>
          <w:lang w:val="es-GT"/>
        </w:rPr>
        <w:t xml:space="preserve">utilización de tierras o sobreuso, es un indicador comúnmente utilizado para caracterizar la degradación de las tierras, ya que indica que </w:t>
      </w:r>
      <w:r>
        <w:rPr>
          <w:rFonts w:ascii="Calibri" w:hAnsi="Calibri" w:cs="Calibri"/>
          <w:color w:val="1A1A1A"/>
          <w:lang w:val="es-GT"/>
        </w:rPr>
        <w:t>éstas</w:t>
      </w:r>
      <w:r w:rsidR="00374112" w:rsidRPr="001A01AB">
        <w:rPr>
          <w:rFonts w:ascii="Calibri" w:hAnsi="Calibri" w:cs="Calibri"/>
          <w:color w:val="1A1A1A"/>
          <w:lang w:val="es-GT"/>
        </w:rPr>
        <w:t xml:space="preserve"> están siendo utilizadas excediendo su </w:t>
      </w:r>
      <w:r>
        <w:rPr>
          <w:rFonts w:ascii="Calibri" w:hAnsi="Calibri" w:cs="Calibri"/>
          <w:color w:val="1A1A1A"/>
          <w:lang w:val="es-GT"/>
        </w:rPr>
        <w:t xml:space="preserve">máxima </w:t>
      </w:r>
      <w:r w:rsidR="00374112" w:rsidRPr="001A01AB">
        <w:rPr>
          <w:rFonts w:ascii="Calibri" w:hAnsi="Calibri" w:cs="Calibri"/>
          <w:color w:val="1A1A1A"/>
          <w:lang w:val="es-GT"/>
        </w:rPr>
        <w:t>capacidad</w:t>
      </w:r>
      <w:r>
        <w:rPr>
          <w:rFonts w:ascii="Calibri" w:hAnsi="Calibri" w:cs="Calibri"/>
          <w:color w:val="1A1A1A"/>
          <w:lang w:val="es-GT"/>
        </w:rPr>
        <w:t xml:space="preserve"> de uso, lo cual conduce a su degradación.</w:t>
      </w:r>
    </w:p>
    <w:p w:rsidR="00374112" w:rsidRPr="001A01AB" w:rsidRDefault="00374112" w:rsidP="009576AE">
      <w:pPr>
        <w:autoSpaceDE w:val="0"/>
        <w:autoSpaceDN w:val="0"/>
        <w:adjustRightInd w:val="0"/>
        <w:ind w:left="360"/>
        <w:jc w:val="both"/>
        <w:rPr>
          <w:rFonts w:ascii="Calibri" w:hAnsi="Calibri" w:cs="Calibri"/>
          <w:color w:val="1A1A1A"/>
          <w:lang w:val="es-GT"/>
        </w:rPr>
      </w:pPr>
    </w:p>
    <w:p w:rsidR="00374112" w:rsidRPr="001A01AB" w:rsidRDefault="00374112" w:rsidP="009576AE">
      <w:pPr>
        <w:autoSpaceDE w:val="0"/>
        <w:autoSpaceDN w:val="0"/>
        <w:adjustRightInd w:val="0"/>
        <w:ind w:left="360"/>
        <w:jc w:val="both"/>
        <w:rPr>
          <w:rFonts w:ascii="Calibri" w:hAnsi="Calibri" w:cs="Calibri"/>
          <w:color w:val="1A1A1A"/>
          <w:lang w:val="es-GT"/>
        </w:rPr>
      </w:pPr>
      <w:r w:rsidRPr="001A01AB">
        <w:rPr>
          <w:rFonts w:ascii="Calibri" w:hAnsi="Calibri" w:cs="Calibri"/>
          <w:color w:val="1A1A1A"/>
          <w:lang w:val="es-GT"/>
        </w:rPr>
        <w:t xml:space="preserve">El análisis de este indicador muestra que la región occidental del país, en los departamentos de San Marcos, Huehuetenango, Quetzaltenango y Quiché se concentra la mayor cantidad de tierras en condiciones altas de deterioro por sobreuso. Esta misma condición se presenta en los municipios al sur de la región de las Verapaces, en la Región Chortí </w:t>
      </w:r>
      <w:r w:rsidR="00051FA8">
        <w:rPr>
          <w:rFonts w:ascii="Calibri" w:hAnsi="Calibri" w:cs="Calibri"/>
          <w:color w:val="1A1A1A"/>
          <w:lang w:val="es-GT"/>
        </w:rPr>
        <w:t>de</w:t>
      </w:r>
      <w:r w:rsidRPr="001A01AB">
        <w:rPr>
          <w:rFonts w:ascii="Calibri" w:hAnsi="Calibri" w:cs="Calibri"/>
          <w:color w:val="1A1A1A"/>
          <w:lang w:val="es-GT"/>
        </w:rPr>
        <w:t xml:space="preserve"> Chiquimula, en el centro y sur de Petén</w:t>
      </w:r>
      <w:r w:rsidR="00051FA8">
        <w:rPr>
          <w:rFonts w:ascii="Calibri" w:hAnsi="Calibri" w:cs="Calibri"/>
          <w:color w:val="1A1A1A"/>
          <w:lang w:val="es-GT"/>
        </w:rPr>
        <w:t>,</w:t>
      </w:r>
      <w:r w:rsidRPr="001A01AB">
        <w:rPr>
          <w:rFonts w:ascii="Calibri" w:hAnsi="Calibri" w:cs="Calibri"/>
          <w:color w:val="1A1A1A"/>
          <w:lang w:val="es-GT"/>
        </w:rPr>
        <w:t xml:space="preserve"> y en los departamentos de la parte central del país.</w:t>
      </w:r>
    </w:p>
    <w:p w:rsidR="00374112" w:rsidRPr="001A01AB" w:rsidRDefault="00374112" w:rsidP="009576AE">
      <w:pPr>
        <w:autoSpaceDE w:val="0"/>
        <w:autoSpaceDN w:val="0"/>
        <w:adjustRightInd w:val="0"/>
        <w:ind w:left="360"/>
        <w:jc w:val="both"/>
        <w:rPr>
          <w:rFonts w:ascii="Calibri" w:hAnsi="Calibri" w:cs="Calibri"/>
          <w:color w:val="1A1A1A"/>
          <w:lang w:val="es-GT"/>
        </w:rPr>
      </w:pPr>
    </w:p>
    <w:p w:rsidR="003B29AD" w:rsidRPr="001A01AB" w:rsidRDefault="00374112" w:rsidP="009576AE">
      <w:pPr>
        <w:autoSpaceDE w:val="0"/>
        <w:autoSpaceDN w:val="0"/>
        <w:adjustRightInd w:val="0"/>
        <w:ind w:left="360"/>
        <w:jc w:val="both"/>
        <w:rPr>
          <w:rFonts w:ascii="Calibri" w:hAnsi="Calibri" w:cs="Calibri"/>
          <w:color w:val="1A1A1A"/>
          <w:lang w:val="es-GT"/>
        </w:rPr>
      </w:pPr>
      <w:r w:rsidRPr="001A01AB">
        <w:rPr>
          <w:rFonts w:ascii="Calibri" w:hAnsi="Calibri" w:cs="Calibri"/>
          <w:color w:val="1A1A1A"/>
          <w:lang w:val="es-GT"/>
        </w:rPr>
        <w:t xml:space="preserve">En la </w:t>
      </w:r>
      <w:r w:rsidR="000C27D7">
        <w:rPr>
          <w:rFonts w:ascii="Calibri" w:hAnsi="Calibri" w:cs="Calibri"/>
          <w:color w:val="1A1A1A"/>
          <w:lang w:val="es-GT"/>
        </w:rPr>
        <w:t>F</w:t>
      </w:r>
      <w:r w:rsidRPr="001A01AB">
        <w:rPr>
          <w:rFonts w:ascii="Calibri" w:hAnsi="Calibri" w:cs="Calibri"/>
          <w:color w:val="1A1A1A"/>
          <w:lang w:val="es-GT"/>
        </w:rPr>
        <w:t>igura</w:t>
      </w:r>
      <w:r w:rsidR="000C27D7">
        <w:rPr>
          <w:rFonts w:ascii="Calibri" w:hAnsi="Calibri" w:cs="Calibri"/>
          <w:color w:val="1A1A1A"/>
          <w:lang w:val="es-GT"/>
        </w:rPr>
        <w:t xml:space="preserve"> 23</w:t>
      </w:r>
      <w:r w:rsidRPr="001A01AB">
        <w:rPr>
          <w:rFonts w:ascii="Calibri" w:hAnsi="Calibri" w:cs="Calibri"/>
          <w:color w:val="1A1A1A"/>
          <w:lang w:val="es-GT"/>
        </w:rPr>
        <w:t xml:space="preserve"> </w:t>
      </w:r>
      <w:r w:rsidR="00CD7A00">
        <w:rPr>
          <w:rFonts w:ascii="Calibri" w:hAnsi="Calibri" w:cs="Calibri"/>
          <w:color w:val="1A1A1A"/>
          <w:lang w:val="es-GT"/>
        </w:rPr>
        <w:t xml:space="preserve">se </w:t>
      </w:r>
      <w:r w:rsidRPr="001A01AB">
        <w:rPr>
          <w:rFonts w:ascii="Calibri" w:hAnsi="Calibri" w:cs="Calibri"/>
          <w:color w:val="1A1A1A"/>
          <w:lang w:val="es-GT"/>
        </w:rPr>
        <w:t>comparan los mapas de intensidad de uso de</w:t>
      </w:r>
      <w:r w:rsidR="00CD7A00">
        <w:rPr>
          <w:rFonts w:ascii="Calibri" w:hAnsi="Calibri" w:cs="Calibri"/>
          <w:color w:val="1A1A1A"/>
          <w:lang w:val="es-GT"/>
        </w:rPr>
        <w:t xml:space="preserve"> la tierra y de pobreza general. M</w:t>
      </w:r>
      <w:r w:rsidRPr="001A01AB">
        <w:rPr>
          <w:rFonts w:ascii="Calibri" w:hAnsi="Calibri" w:cs="Calibri"/>
          <w:color w:val="1A1A1A"/>
          <w:lang w:val="es-GT"/>
        </w:rPr>
        <w:t>uestran una alta correlación espacial entre el sobre uso (en rojo) y los índices de pobreza general mayores al 50% (naranja y rojo).</w:t>
      </w:r>
    </w:p>
    <w:p w:rsidR="003B29AD" w:rsidRPr="001A01AB" w:rsidRDefault="003B29AD" w:rsidP="009576AE">
      <w:pPr>
        <w:autoSpaceDE w:val="0"/>
        <w:autoSpaceDN w:val="0"/>
        <w:adjustRightInd w:val="0"/>
        <w:ind w:left="360"/>
        <w:jc w:val="both"/>
        <w:rPr>
          <w:rFonts w:ascii="Calibri" w:hAnsi="Calibri" w:cs="Calibri"/>
          <w:color w:val="1A1A1A"/>
          <w:lang w:val="es-GT"/>
        </w:rPr>
      </w:pPr>
    </w:p>
    <w:p w:rsidR="003B29AD" w:rsidRPr="00224B57" w:rsidRDefault="003B29AD" w:rsidP="00224B57">
      <w:pPr>
        <w:spacing w:after="120"/>
        <w:jc w:val="center"/>
        <w:rPr>
          <w:rFonts w:ascii="Calibri" w:eastAsia="Calibri" w:hAnsi="Calibri" w:cs="Calibri"/>
          <w:b/>
          <w:color w:val="365F91"/>
          <w:sz w:val="22"/>
          <w:szCs w:val="22"/>
          <w:lang w:val="es-GT"/>
        </w:rPr>
      </w:pPr>
      <w:bookmarkStart w:id="108" w:name="_Toc347841246"/>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23</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Relación espacial entre intensidad de uso de la tierra y pobreza general</w:t>
      </w:r>
      <w:bookmarkEnd w:id="108"/>
    </w:p>
    <w:p w:rsidR="00374112" w:rsidRPr="00C470CE" w:rsidRDefault="00544A9F" w:rsidP="008178BA">
      <w:pPr>
        <w:autoSpaceDE w:val="0"/>
        <w:autoSpaceDN w:val="0"/>
        <w:adjustRightInd w:val="0"/>
        <w:jc w:val="center"/>
        <w:rPr>
          <w:rFonts w:ascii="Calibri" w:hAnsi="Calibri" w:cs="Calibri"/>
          <w:color w:val="365F91" w:themeColor="accent1" w:themeShade="BF"/>
          <w:lang w:val="es-GT"/>
        </w:rPr>
      </w:pPr>
      <w:r w:rsidRPr="00C470CE">
        <w:rPr>
          <w:noProof/>
          <w:color w:val="365F91" w:themeColor="accent1" w:themeShade="BF"/>
          <w:lang w:val="es-GT" w:eastAsia="es-GT"/>
        </w:rPr>
        <mc:AlternateContent>
          <mc:Choice Requires="wpc">
            <w:drawing>
              <wp:inline distT="0" distB="0" distL="0" distR="0" wp14:anchorId="319F35AD" wp14:editId="43DAFC99">
                <wp:extent cx="5486400" cy="3099435"/>
                <wp:effectExtent l="0" t="0" r="0" b="0"/>
                <wp:docPr id="1262" name="Lienzo 1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1255" name="Group 12"/>
                        <wpg:cNvGrpSpPr>
                          <a:grpSpLocks/>
                        </wpg:cNvGrpSpPr>
                        <wpg:grpSpPr bwMode="auto">
                          <a:xfrm>
                            <a:off x="0" y="194217"/>
                            <a:ext cx="2767230" cy="2743128"/>
                            <a:chOff x="748" y="1005"/>
                            <a:chExt cx="1769" cy="1812"/>
                          </a:xfrm>
                        </wpg:grpSpPr>
                        <pic:pic xmlns:pic="http://schemas.openxmlformats.org/drawingml/2006/picture">
                          <pic:nvPicPr>
                            <pic:cNvPr id="1256" name="Picture 13"/>
                            <pic:cNvPicPr>
                              <a:picLocks noChangeAspect="1" noChangeArrowheads="1"/>
                            </pic:cNvPicPr>
                          </pic:nvPicPr>
                          <pic:blipFill>
                            <a:blip r:embed="rId35">
                              <a:extLst>
                                <a:ext uri="{28A0092B-C50C-407E-A947-70E740481C1C}">
                                  <a14:useLocalDpi xmlns:a14="http://schemas.microsoft.com/office/drawing/2010/main" val="0"/>
                                </a:ext>
                              </a:extLst>
                            </a:blip>
                            <a:srcRect b="19618"/>
                            <a:stretch>
                              <a:fillRect/>
                            </a:stretch>
                          </pic:blipFill>
                          <pic:spPr bwMode="auto">
                            <a:xfrm>
                              <a:off x="748" y="1005"/>
                              <a:ext cx="1757" cy="1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7" name="Picture 14"/>
                            <pic:cNvPicPr>
                              <a:picLocks noChangeAspect="1" noChangeArrowheads="1"/>
                            </pic:cNvPicPr>
                          </pic:nvPicPr>
                          <pic:blipFill>
                            <a:blip r:embed="rId35">
                              <a:extLst>
                                <a:ext uri="{28A0092B-C50C-407E-A947-70E740481C1C}">
                                  <a14:useLocalDpi xmlns:a14="http://schemas.microsoft.com/office/drawing/2010/main" val="0"/>
                                </a:ext>
                              </a:extLst>
                            </a:blip>
                            <a:srcRect l="12611" t="82547" r="64722" b="3725"/>
                            <a:stretch>
                              <a:fillRect/>
                            </a:stretch>
                          </pic:blipFill>
                          <pic:spPr bwMode="auto">
                            <a:xfrm>
                              <a:off x="2109" y="2478"/>
                              <a:ext cx="4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pic:pic xmlns:pic="http://schemas.openxmlformats.org/drawingml/2006/picture">
                        <pic:nvPicPr>
                          <pic:cNvPr id="1258" name="Picture 15" descr="pobreza general"/>
                          <pic:cNvPicPr>
                            <a:picLocks noChangeAspect="1" noChangeArrowheads="1"/>
                          </pic:cNvPicPr>
                        </pic:nvPicPr>
                        <pic:blipFill>
                          <a:blip r:embed="rId36">
                            <a:extLst>
                              <a:ext uri="{28A0092B-C50C-407E-A947-70E740481C1C}">
                                <a14:useLocalDpi xmlns:a14="http://schemas.microsoft.com/office/drawing/2010/main" val="0"/>
                              </a:ext>
                            </a:extLst>
                          </a:blip>
                          <a:srcRect l="3293" t="7057" r="3293" b="12720"/>
                          <a:stretch>
                            <a:fillRect/>
                          </a:stretch>
                        </pic:blipFill>
                        <pic:spPr bwMode="auto">
                          <a:xfrm>
                            <a:off x="2888132" y="208089"/>
                            <a:ext cx="2465351" cy="2743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9" name="Picture 16" descr="pobreza general"/>
                          <pic:cNvPicPr>
                            <a:picLocks noChangeAspect="1" noChangeArrowheads="1"/>
                          </pic:cNvPicPr>
                        </pic:nvPicPr>
                        <pic:blipFill>
                          <a:blip r:embed="rId37" cstate="print">
                            <a:extLst>
                              <a:ext uri="{28A0092B-C50C-407E-A947-70E740481C1C}">
                                <a14:useLocalDpi xmlns:a14="http://schemas.microsoft.com/office/drawing/2010/main" val="0"/>
                              </a:ext>
                            </a:extLst>
                          </a:blip>
                          <a:srcRect l="16058" t="87802" r="66113" b="1172"/>
                          <a:stretch>
                            <a:fillRect/>
                          </a:stretch>
                        </pic:blipFill>
                        <pic:spPr bwMode="auto">
                          <a:xfrm>
                            <a:off x="4790275" y="2526277"/>
                            <a:ext cx="651069" cy="522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0" name="Text Box 17"/>
                        <wps:cNvSpPr txBox="1">
                          <a:spLocks noChangeArrowheads="1"/>
                        </wps:cNvSpPr>
                        <wps:spPr bwMode="auto">
                          <a:xfrm>
                            <a:off x="3178748" y="0"/>
                            <a:ext cx="1994508" cy="2409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4ACC" w:rsidRPr="00C470CE" w:rsidRDefault="00C54ACC" w:rsidP="00374112">
                              <w:pPr>
                                <w:autoSpaceDE w:val="0"/>
                                <w:autoSpaceDN w:val="0"/>
                                <w:adjustRightInd w:val="0"/>
                                <w:rPr>
                                  <w:rFonts w:ascii="Arial" w:hAnsi="Arial" w:cs="Arial"/>
                                  <w:b/>
                                  <w:bCs/>
                                  <w:color w:val="365F91" w:themeColor="accent1" w:themeShade="BF"/>
                                  <w:sz w:val="18"/>
                                  <w:szCs w:val="18"/>
                                  <w:lang w:val="es-GT"/>
                                </w:rPr>
                              </w:pPr>
                              <w:r w:rsidRPr="00C470CE">
                                <w:rPr>
                                  <w:rFonts w:ascii="Arial" w:hAnsi="Arial" w:cs="Arial"/>
                                  <w:b/>
                                  <w:bCs/>
                                  <w:color w:val="365F91" w:themeColor="accent1" w:themeShade="BF"/>
                                  <w:sz w:val="18"/>
                                  <w:szCs w:val="18"/>
                                  <w:lang w:val="es-GT"/>
                                </w:rPr>
                                <w:t>Pobreza general en Guatemala</w:t>
                              </w:r>
                            </w:p>
                          </w:txbxContent>
                        </wps:txbx>
                        <wps:bodyPr rot="0" vert="horz" wrap="square" lIns="91440" tIns="45720" rIns="91440" bIns="45720" anchor="t" anchorCtr="0" upright="1">
                          <a:noAutofit/>
                        </wps:bodyPr>
                      </wps:wsp>
                      <wps:wsp>
                        <wps:cNvPr id="1261" name="Text Box 18"/>
                        <wps:cNvSpPr txBox="1">
                          <a:spLocks noChangeArrowheads="1"/>
                        </wps:cNvSpPr>
                        <wps:spPr bwMode="auto">
                          <a:xfrm>
                            <a:off x="492620" y="0"/>
                            <a:ext cx="1905146" cy="2409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4ACC" w:rsidRPr="00C470CE" w:rsidRDefault="00C54ACC" w:rsidP="00374112">
                              <w:pPr>
                                <w:autoSpaceDE w:val="0"/>
                                <w:autoSpaceDN w:val="0"/>
                                <w:adjustRightInd w:val="0"/>
                                <w:rPr>
                                  <w:rFonts w:ascii="Arial" w:hAnsi="Arial" w:cs="Arial"/>
                                  <w:b/>
                                  <w:bCs/>
                                  <w:color w:val="365F91" w:themeColor="accent1" w:themeShade="BF"/>
                                  <w:sz w:val="18"/>
                                  <w:szCs w:val="18"/>
                                  <w:lang w:val="es-GT"/>
                                </w:rPr>
                              </w:pPr>
                              <w:r w:rsidRPr="00C470CE">
                                <w:rPr>
                                  <w:rFonts w:ascii="Arial" w:hAnsi="Arial" w:cs="Arial"/>
                                  <w:b/>
                                  <w:bCs/>
                                  <w:color w:val="365F91" w:themeColor="accent1" w:themeShade="BF"/>
                                  <w:sz w:val="18"/>
                                  <w:szCs w:val="18"/>
                                  <w:lang w:val="es-GT"/>
                                </w:rPr>
                                <w:t>Intensidad de uso de la tierra</w:t>
                              </w:r>
                            </w:p>
                          </w:txbxContent>
                        </wps:txbx>
                        <wps:bodyPr rot="0" vert="horz" wrap="square" lIns="91440" tIns="45720" rIns="91440" bIns="45720" anchor="t" anchorCtr="0" upright="1">
                          <a:noAutofit/>
                        </wps:bodyPr>
                      </wps:wsp>
                    </wpc:wpc>
                  </a:graphicData>
                </a:graphic>
              </wp:inline>
            </w:drawing>
          </mc:Choice>
          <mc:Fallback>
            <w:pict>
              <v:group id="Lienzo 10" o:spid="_x0000_s1036" editas="canvas" style="width:6in;height:244.05pt;mso-position-horizontal-relative:char;mso-position-vertical-relative:line" coordsize="54864,30994"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UEsD&#10;BAoAAAAAAAAAIQDXV6NGGAcCABgHAgAVAAAAZHJzL21lZGlhL2ltYWdlMi5qcGVn/9j/4AAQSkZJ&#10;RgABAQEA3ADcAAD/2wBDAAIBAQIBAQICAgICAgICAwUDAwMDAwYEBAMFBwYHBwcGBwcICQsJCAgK&#10;CAcHCg0KCgsMDAwMBwkODw0MDgsMDAz/2wBDAQICAgMDAwYDAwYMCAcIDAwMDAwMDAwMDAwMDAwM&#10;DAwMDAwMDAwMDAwMDAwMDAwMDAwMDAwMDAwMDAwMDAwMDAz/wAARCAM3An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width:54864;height:30994;visibility:visible;mso-wrap-style:square">
                  <v:fill o:detectmouseclick="t"/>
                  <v:path o:connecttype="none"/>
                </v:shape>
                <v:group id="Group 12" o:spid="_x0000_s1038" style="position:absolute;top:1942;width:27672;height:27431" coordorigin="748,1005" coordsize="1769,1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qLB8MAAADdAAAADwAAAGRycy9kb3ducmV2LnhtbERPTYvCMBC9L/gfwgje&#10;1rRKF6lGEVHxIAurgngbmrEtNpPSxLb+e7OwsLd5vM9ZrHpTiZYaV1pWEI8jEMSZ1SXnCi7n3ecM&#10;hPPIGivLpOBFDlbLwccCU207/qH25HMRQtilqKDwvk6ldFlBBt3Y1sSBu9vGoA+wyaVusAvhppKT&#10;KPqSBksODQXWtCkoe5yeRsG+w249jbft8XHfvG7n5Pt6jEmp0bBfz0F46v2/+M990GH+J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mosHwwAAAN0AAAAP&#10;AAAAAAAAAAAAAAAAAKoCAABkcnMvZG93bnJldi54bWxQSwUGAAAAAAQABAD6AAAAmgMAAAAA&#10;">
                  <v:shape id="Picture 13" o:spid="_x0000_s1039" type="#_x0000_t75" style="position:absolute;left:748;top:1005;width:1757;height:1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vXS3DAAAA3QAAAA8AAABkcnMvZG93bnJldi54bWxET01rAjEQvQv9D2EK3jRbQalbo1hF6MVD&#10;V5Eep5vZzdLNZNnENf77Rij0No/3OatNtK0YqPeNYwUv0wwEcel0w7WC8+kweQXhA7LG1jEpuJOH&#10;zfpptMJcuxt/0lCEWqQQ9jkqMCF0uZS+NGTRT11HnLjK9RZDgn0tdY+3FG5bOcuyhbTYcGow2NHO&#10;UPlTXK2C5ddSD/o7bqtif3m/H72xWEWlxs9x+wYiUAz/4j/3h07zZ/MFPL5JJ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9dLcMAAADdAAAADwAAAAAAAAAAAAAAAACf&#10;AgAAZHJzL2Rvd25yZXYueG1sUEsFBgAAAAAEAAQA9wAAAI8DAAAAAA==&#10;">
                    <v:imagedata r:id="rId38" o:title="" cropbottom="12857f"/>
                  </v:shape>
                  <v:shape id="Picture 14" o:spid="_x0000_s1040" type="#_x0000_t75" style="position:absolute;left:2109;top:2478;width:4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EjyrDAAAA3QAAAA8AAABkcnMvZG93bnJldi54bWxET01rwkAQvQv+h2UKvYjZKFQluooKLVK8&#10;GD30OM2O2dDsbMiuJv333YLgbR7vc1ab3tbiTq2vHCuYJCkI4sLpiksFl/P7eAHCB2SNtWNS8Ese&#10;NuvhYIWZdh2f6J6HUsQQ9hkqMCE0mZS+MGTRJ64hjtzVtRZDhG0pdYtdDLe1nKbpTFqsODYYbGhv&#10;qPjJb1ZB9bGXu0Nnvgzmdpt+j8yx+zRKvb702yWIQH14ih/ug47zp29z+P8mni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gSPKsMAAADdAAAADwAAAAAAAAAAAAAAAACf&#10;AgAAZHJzL2Rvd25yZXYueG1sUEsFBgAAAAAEAAQA9wAAAI8DAAAAAA==&#10;">
                    <v:imagedata r:id="rId38" o:title="" croptop="54098f" cropbottom="2441f" cropleft="8265f" cropright="42416f"/>
                  </v:shape>
                </v:group>
                <v:shape id="Picture 15" o:spid="_x0000_s1041" type="#_x0000_t75" alt="pobreza general" style="position:absolute;left:28881;top:2080;width:24653;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LM/HFAAAA3QAAAA8AAABkcnMvZG93bnJldi54bWxEj81qw0AMhO+FvMOiQG7NOoaU4mYTgqFQ&#10;DDnU7QOoXvkn8Wod7yZ23r46FHqTmNHMp91hdr260xg6zwY26wQUceVtx42B76/351dQISJb7D2T&#10;gQcFOOwXTzvMrJ/4k+5lbJSEcMjQQBvjkGkdqpYchrUfiEWr/egwyjo22o44SbjrdZokL9phx9LQ&#10;4kB5S9WlvDkDP1Ue9VDfrq5DHS7JqZjqc2HMajkf30BFmuO/+e/6wwp+uhVc+UZG0P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CzPxxQAAAN0AAAAPAAAAAAAAAAAAAAAA&#10;AJ8CAABkcnMvZG93bnJldi54bWxQSwUGAAAAAAQABAD3AAAAkQMAAAAA&#10;">
                  <v:imagedata r:id="rId39" o:title="pobreza general" croptop="4625f" cropbottom="8336f" cropleft="2158f" cropright="2158f"/>
                </v:shape>
                <v:shape id="Picture 16" o:spid="_x0000_s1042" type="#_x0000_t75" alt="pobreza general" style="position:absolute;left:47902;top:25262;width:6511;height:5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h0+XDAAAA3QAAAA8AAABkcnMvZG93bnJldi54bWxET81qwkAQvhf6DssUejObCpUaXcWKJQXp&#10;wegDjNkxiWZnQ3Y10ad3BaG3+fh+ZzrvTS0u1LrKsoKPKAZBnFtdcaFgt/0ZfIFwHlljbZkUXMnB&#10;fPb6MsVE2443dMl8IUIIuwQVlN43iZQuL8mgi2xDHLiDbQ36ANtC6ha7EG5qOYzjkTRYcWgosaFl&#10;SfkpOxsF5Irb+ju9rlfuz1Z7v9QpH7VS72/9YgLCU+//xU/3rw7zh59jeHwTTpC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HT5cMAAADdAAAADwAAAAAAAAAAAAAAAACf&#10;AgAAZHJzL2Rvd25yZXYueG1sUEsFBgAAAAAEAAQA9wAAAI8DAAAAAA==&#10;">
                  <v:imagedata r:id="rId40" o:title="pobreza general" croptop="57542f" cropbottom="768f" cropleft="10524f" cropright="43328f"/>
                </v:shape>
                <v:shape id="Text Box 17" o:spid="_x0000_s1043" type="#_x0000_t202" style="position:absolute;left:31787;width:19945;height:2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vFNMgA&#10;AADdAAAADwAAAGRycy9kb3ducmV2LnhtbESPQWvCQBCF74X+h2WE3upGEZHUVVQqSg9SrUWP0+w0&#10;CWZnQ3araX69cyj0NsN7894303nrKnWlJpSeDQz6CSjizNuScwPHj/XzBFSIyBYrz2TglwLMZ48P&#10;U0ytv/GeroeYKwnhkKKBIsY61TpkBTkMfV8Ti/btG4dR1ibXtsGbhLtKD5NkrB2WLA0F1rQqKLsc&#10;fpyB7fvrkt42XdeNdqfPydf5uImrizFPvXbxAipSG//Nf9dbK/jDsfDLNzKCnt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u8U0yAAAAN0AAAAPAAAAAAAAAAAAAAAAAJgCAABk&#10;cnMvZG93bnJldi54bWxQSwUGAAAAAAQABAD1AAAAjQMAAAAA&#10;" filled="f" fillcolor="#bbe0e3" stroked="f">
                  <v:textbox>
                    <w:txbxContent>
                      <w:p w:rsidR="00C54ACC" w:rsidRPr="00C470CE" w:rsidRDefault="00C54ACC" w:rsidP="00374112">
                        <w:pPr>
                          <w:autoSpaceDE w:val="0"/>
                          <w:autoSpaceDN w:val="0"/>
                          <w:adjustRightInd w:val="0"/>
                          <w:rPr>
                            <w:rFonts w:ascii="Arial" w:hAnsi="Arial" w:cs="Arial"/>
                            <w:b/>
                            <w:bCs/>
                            <w:color w:val="365F91" w:themeColor="accent1" w:themeShade="BF"/>
                            <w:sz w:val="18"/>
                            <w:szCs w:val="18"/>
                            <w:lang w:val="es-GT"/>
                          </w:rPr>
                        </w:pPr>
                        <w:r w:rsidRPr="00C470CE">
                          <w:rPr>
                            <w:rFonts w:ascii="Arial" w:hAnsi="Arial" w:cs="Arial"/>
                            <w:b/>
                            <w:bCs/>
                            <w:color w:val="365F91" w:themeColor="accent1" w:themeShade="BF"/>
                            <w:sz w:val="18"/>
                            <w:szCs w:val="18"/>
                            <w:lang w:val="es-GT"/>
                          </w:rPr>
                          <w:t>Pobreza general en Guatemala</w:t>
                        </w:r>
                      </w:p>
                    </w:txbxContent>
                  </v:textbox>
                </v:shape>
                <v:shape id="Text Box 18" o:spid="_x0000_s1044" type="#_x0000_t202" style="position:absolute;left:4926;width:19051;height:2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gr8UA&#10;AADdAAAADwAAAGRycy9kb3ducmV2LnhtbERPTWvCQBC9F/wPywi91Y1SRFI3omJReihqFXucZsck&#10;mJ0N2W1M8+vdguBtHu9zprPWlKKh2hWWFQwHEQji1OqCMwWHr/eXCQjnkTWWlknBHzmYJb2nKcba&#10;XnlHzd5nIoSwi1FB7n0VS+nSnAy6ga2IA3e2tUEfYJ1JXeM1hJtSjqJoLA0WHBpyrGiZU3rZ/xoF&#10;m+1qQR/rruteP0/Hyc/3Ye2XF6We++38DYSn1j/Ed/dGh/mj8RD+vwkny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92CvxQAAAN0AAAAPAAAAAAAAAAAAAAAAAJgCAABkcnMv&#10;ZG93bnJldi54bWxQSwUGAAAAAAQABAD1AAAAigMAAAAA&#10;" filled="f" fillcolor="#bbe0e3" stroked="f">
                  <v:textbox>
                    <w:txbxContent>
                      <w:p w:rsidR="00C54ACC" w:rsidRPr="00C470CE" w:rsidRDefault="00C54ACC" w:rsidP="00374112">
                        <w:pPr>
                          <w:autoSpaceDE w:val="0"/>
                          <w:autoSpaceDN w:val="0"/>
                          <w:adjustRightInd w:val="0"/>
                          <w:rPr>
                            <w:rFonts w:ascii="Arial" w:hAnsi="Arial" w:cs="Arial"/>
                            <w:b/>
                            <w:bCs/>
                            <w:color w:val="365F91" w:themeColor="accent1" w:themeShade="BF"/>
                            <w:sz w:val="18"/>
                            <w:szCs w:val="18"/>
                            <w:lang w:val="es-GT"/>
                          </w:rPr>
                        </w:pPr>
                        <w:r w:rsidRPr="00C470CE">
                          <w:rPr>
                            <w:rFonts w:ascii="Arial" w:hAnsi="Arial" w:cs="Arial"/>
                            <w:b/>
                            <w:bCs/>
                            <w:color w:val="365F91" w:themeColor="accent1" w:themeShade="BF"/>
                            <w:sz w:val="18"/>
                            <w:szCs w:val="18"/>
                            <w:lang w:val="es-GT"/>
                          </w:rPr>
                          <w:t>Intensidad de uso de la tierra</w:t>
                        </w:r>
                      </w:p>
                    </w:txbxContent>
                  </v:textbox>
                </v:shape>
                <w10:anchorlock/>
              </v:group>
            </w:pict>
          </mc:Fallback>
        </mc:AlternateContent>
      </w:r>
    </w:p>
    <w:p w:rsidR="00BC44FA" w:rsidRDefault="00051FA8" w:rsidP="00051FA8">
      <w:pPr>
        <w:autoSpaceDE w:val="0"/>
        <w:autoSpaceDN w:val="0"/>
        <w:adjustRightInd w:val="0"/>
        <w:jc w:val="right"/>
        <w:rPr>
          <w:rFonts w:ascii="Calibri" w:hAnsi="Calibri" w:cs="Calibri"/>
          <w:lang w:val="es-GT"/>
        </w:rPr>
      </w:pPr>
      <w:r w:rsidRPr="00F175E4">
        <w:rPr>
          <w:rFonts w:ascii="Calibri" w:hAnsi="Calibri" w:cs="Calibri"/>
          <w:highlight w:val="red"/>
          <w:lang w:val="es-GT"/>
        </w:rPr>
        <w:t>Fuente:</w:t>
      </w:r>
    </w:p>
    <w:p w:rsidR="00051FA8" w:rsidRDefault="00051FA8" w:rsidP="00374112">
      <w:pPr>
        <w:autoSpaceDE w:val="0"/>
        <w:autoSpaceDN w:val="0"/>
        <w:adjustRightInd w:val="0"/>
        <w:jc w:val="both"/>
        <w:rPr>
          <w:rFonts w:ascii="Calibri" w:hAnsi="Calibri" w:cs="Calibri"/>
          <w:lang w:val="es-GT"/>
        </w:rPr>
      </w:pPr>
    </w:p>
    <w:p w:rsidR="00374112" w:rsidRDefault="00374112" w:rsidP="00374112">
      <w:pPr>
        <w:autoSpaceDE w:val="0"/>
        <w:autoSpaceDN w:val="0"/>
        <w:adjustRightInd w:val="0"/>
        <w:jc w:val="both"/>
        <w:rPr>
          <w:rFonts w:ascii="Calibri" w:hAnsi="Calibri" w:cs="Calibri"/>
          <w:lang w:val="es-GT"/>
        </w:rPr>
      </w:pPr>
      <w:r w:rsidRPr="001A01AB">
        <w:rPr>
          <w:rFonts w:ascii="Calibri" w:hAnsi="Calibri" w:cs="Calibri"/>
          <w:lang w:val="es-GT"/>
        </w:rPr>
        <w:t xml:space="preserve">La pérdida de cobertura forestal también es un indicador utilizado para caracterizar la degradación ambiental, dadas las implicaciones sobre la calidad general del ambiente, la </w:t>
      </w:r>
      <w:r w:rsidR="003B29AD" w:rsidRPr="001A01AB">
        <w:rPr>
          <w:rFonts w:ascii="Calibri" w:hAnsi="Calibri" w:cs="Calibri"/>
          <w:lang w:val="es-GT"/>
        </w:rPr>
        <w:t>pérdida</w:t>
      </w:r>
      <w:r w:rsidRPr="001A01AB">
        <w:rPr>
          <w:rFonts w:ascii="Calibri" w:hAnsi="Calibri" w:cs="Calibri"/>
          <w:lang w:val="es-GT"/>
        </w:rPr>
        <w:t xml:space="preserve"> de biodiversidad </w:t>
      </w:r>
      <w:r w:rsidR="008178BA" w:rsidRPr="001A01AB">
        <w:rPr>
          <w:rFonts w:ascii="Calibri" w:hAnsi="Calibri" w:cs="Calibri"/>
          <w:lang w:val="es-GT"/>
        </w:rPr>
        <w:t>(</w:t>
      </w:r>
      <w:r w:rsidRPr="001A01AB">
        <w:rPr>
          <w:rFonts w:ascii="Calibri" w:hAnsi="Calibri" w:cs="Calibri"/>
          <w:lang w:val="es-GT"/>
        </w:rPr>
        <w:t>destrucción de hábitat</w:t>
      </w:r>
      <w:r w:rsidR="008178BA" w:rsidRPr="001A01AB">
        <w:rPr>
          <w:rFonts w:ascii="Calibri" w:hAnsi="Calibri" w:cs="Calibri"/>
          <w:lang w:val="es-GT"/>
        </w:rPr>
        <w:t>) y su</w:t>
      </w:r>
      <w:r w:rsidRPr="001A01AB">
        <w:rPr>
          <w:rFonts w:ascii="Calibri" w:hAnsi="Calibri" w:cs="Calibri"/>
          <w:lang w:val="es-GT"/>
        </w:rPr>
        <w:t xml:space="preserve"> relación </w:t>
      </w:r>
      <w:r w:rsidR="008178BA" w:rsidRPr="001A01AB">
        <w:rPr>
          <w:rFonts w:ascii="Calibri" w:hAnsi="Calibri" w:cs="Calibri"/>
          <w:lang w:val="es-GT"/>
        </w:rPr>
        <w:t>con</w:t>
      </w:r>
      <w:r w:rsidR="00A30743" w:rsidRPr="001A01AB">
        <w:rPr>
          <w:rFonts w:ascii="Calibri" w:hAnsi="Calibri" w:cs="Calibri"/>
          <w:lang w:val="es-GT"/>
        </w:rPr>
        <w:t xml:space="preserve"> el agua</w:t>
      </w:r>
      <w:r w:rsidRPr="001A01AB">
        <w:rPr>
          <w:rFonts w:ascii="Calibri" w:hAnsi="Calibri" w:cs="Calibri"/>
          <w:lang w:val="es-GT"/>
        </w:rPr>
        <w:t>.</w:t>
      </w:r>
      <w:r w:rsidR="00141A70">
        <w:rPr>
          <w:rFonts w:ascii="Calibri" w:hAnsi="Calibri" w:cs="Calibri"/>
          <w:lang w:val="es-GT"/>
        </w:rPr>
        <w:t xml:space="preserve"> </w:t>
      </w:r>
      <w:r w:rsidR="00CD7A00">
        <w:rPr>
          <w:rFonts w:ascii="Calibri" w:hAnsi="Calibri" w:cs="Calibri"/>
          <w:lang w:val="es-GT"/>
        </w:rPr>
        <w:t xml:space="preserve">Al </w:t>
      </w:r>
      <w:r w:rsidR="008178BA" w:rsidRPr="001A01AB">
        <w:rPr>
          <w:rFonts w:ascii="Calibri" w:hAnsi="Calibri" w:cs="Calibri"/>
          <w:lang w:val="es-GT"/>
        </w:rPr>
        <w:t>analiza</w:t>
      </w:r>
      <w:r w:rsidR="00CD7A00">
        <w:rPr>
          <w:rFonts w:ascii="Calibri" w:hAnsi="Calibri" w:cs="Calibri"/>
          <w:lang w:val="es-GT"/>
        </w:rPr>
        <w:t>r</w:t>
      </w:r>
      <w:r w:rsidR="008178BA" w:rsidRPr="001A01AB">
        <w:rPr>
          <w:rFonts w:ascii="Calibri" w:hAnsi="Calibri" w:cs="Calibri"/>
          <w:lang w:val="es-GT"/>
        </w:rPr>
        <w:t xml:space="preserve"> la deforestación en función de la</w:t>
      </w:r>
      <w:r w:rsidRPr="001A01AB">
        <w:rPr>
          <w:rFonts w:ascii="Calibri" w:hAnsi="Calibri" w:cs="Calibri"/>
          <w:lang w:val="es-GT"/>
        </w:rPr>
        <w:t xml:space="preserve"> distribución de la pobreza a nivel nacional</w:t>
      </w:r>
      <w:r w:rsidR="009D0FA6">
        <w:rPr>
          <w:rFonts w:ascii="Calibri" w:hAnsi="Calibri" w:cs="Calibri"/>
          <w:lang w:val="es-GT"/>
        </w:rPr>
        <w:t xml:space="preserve"> (v</w:t>
      </w:r>
      <w:r w:rsidR="000C27D7">
        <w:rPr>
          <w:rFonts w:ascii="Calibri" w:hAnsi="Calibri" w:cs="Calibri"/>
          <w:lang w:val="es-GT"/>
        </w:rPr>
        <w:t>er Figura 24)</w:t>
      </w:r>
      <w:r w:rsidRPr="001A01AB">
        <w:rPr>
          <w:rFonts w:ascii="Calibri" w:hAnsi="Calibri" w:cs="Calibri"/>
          <w:lang w:val="es-GT"/>
        </w:rPr>
        <w:t>, se puede observar que no hay una correlación espacial directa entre ambas variables.</w:t>
      </w:r>
      <w:r w:rsidR="00141A70">
        <w:rPr>
          <w:rFonts w:ascii="Calibri" w:hAnsi="Calibri" w:cs="Calibri"/>
          <w:lang w:val="es-GT"/>
        </w:rPr>
        <w:t xml:space="preserve"> </w:t>
      </w:r>
      <w:r w:rsidRPr="001A01AB">
        <w:rPr>
          <w:rFonts w:ascii="Calibri" w:hAnsi="Calibri" w:cs="Calibri"/>
          <w:lang w:val="es-GT"/>
        </w:rPr>
        <w:t xml:space="preserve">A pesar </w:t>
      </w:r>
      <w:r w:rsidR="009D0FA6">
        <w:rPr>
          <w:rFonts w:ascii="Calibri" w:hAnsi="Calibri" w:cs="Calibri"/>
          <w:lang w:val="es-GT"/>
        </w:rPr>
        <w:t xml:space="preserve">de </w:t>
      </w:r>
      <w:r w:rsidR="008178BA" w:rsidRPr="001A01AB">
        <w:rPr>
          <w:rFonts w:ascii="Calibri" w:hAnsi="Calibri" w:cs="Calibri"/>
          <w:lang w:val="es-GT"/>
        </w:rPr>
        <w:t>que</w:t>
      </w:r>
      <w:r w:rsidRPr="001A01AB">
        <w:rPr>
          <w:rFonts w:ascii="Calibri" w:hAnsi="Calibri" w:cs="Calibri"/>
          <w:lang w:val="es-GT"/>
        </w:rPr>
        <w:t xml:space="preserve"> las poblaciones rurales más pobres ejercen una fuerte presión sobre los bosques, </w:t>
      </w:r>
      <w:r w:rsidR="00CD7A00">
        <w:rPr>
          <w:rFonts w:ascii="Calibri" w:hAnsi="Calibri" w:cs="Calibri"/>
          <w:lang w:val="es-GT"/>
        </w:rPr>
        <w:t xml:space="preserve">la </w:t>
      </w:r>
      <w:r w:rsidRPr="001A01AB">
        <w:rPr>
          <w:rFonts w:ascii="Calibri" w:hAnsi="Calibri" w:cs="Calibri"/>
          <w:lang w:val="es-GT"/>
        </w:rPr>
        <w:t xml:space="preserve">deforestación también </w:t>
      </w:r>
      <w:r w:rsidR="00A30743" w:rsidRPr="001A01AB">
        <w:rPr>
          <w:rFonts w:ascii="Calibri" w:hAnsi="Calibri" w:cs="Calibri"/>
          <w:lang w:val="es-GT"/>
        </w:rPr>
        <w:t>está</w:t>
      </w:r>
      <w:r w:rsidRPr="001A01AB">
        <w:rPr>
          <w:rFonts w:ascii="Calibri" w:hAnsi="Calibri" w:cs="Calibri"/>
          <w:lang w:val="es-GT"/>
        </w:rPr>
        <w:t xml:space="preserve"> </w:t>
      </w:r>
      <w:r w:rsidRPr="001A01AB">
        <w:rPr>
          <w:rFonts w:ascii="Calibri" w:hAnsi="Calibri" w:cs="Calibri"/>
          <w:lang w:val="es-GT"/>
        </w:rPr>
        <w:lastRenderedPageBreak/>
        <w:t>influenciada por otras actividades como la ganadería de gran escala, los cultivos agroindustriales, la expansión urbana</w:t>
      </w:r>
      <w:r w:rsidR="008178BA" w:rsidRPr="001A01AB">
        <w:rPr>
          <w:rFonts w:ascii="Calibri" w:hAnsi="Calibri" w:cs="Calibri"/>
          <w:lang w:val="es-GT"/>
        </w:rPr>
        <w:t xml:space="preserve"> e</w:t>
      </w:r>
      <w:r w:rsidR="00CD7A00">
        <w:rPr>
          <w:rFonts w:ascii="Calibri" w:hAnsi="Calibri" w:cs="Calibri"/>
          <w:lang w:val="es-GT"/>
        </w:rPr>
        <w:t xml:space="preserve"> incendios forestales y el mad</w:t>
      </w:r>
      <w:r w:rsidR="009D0FA6">
        <w:rPr>
          <w:rFonts w:ascii="Calibri" w:hAnsi="Calibri" w:cs="Calibri"/>
          <w:lang w:val="es-GT"/>
        </w:rPr>
        <w:t>erero</w:t>
      </w:r>
      <w:r w:rsidR="00CD7A00">
        <w:rPr>
          <w:rFonts w:ascii="Calibri" w:hAnsi="Calibri" w:cs="Calibri"/>
          <w:lang w:val="es-GT"/>
        </w:rPr>
        <w:t xml:space="preserve"> ilegal con fines industriales.</w:t>
      </w:r>
    </w:p>
    <w:p w:rsidR="009D0FA6" w:rsidRPr="001A01AB" w:rsidRDefault="009D0FA6" w:rsidP="00374112">
      <w:pPr>
        <w:autoSpaceDE w:val="0"/>
        <w:autoSpaceDN w:val="0"/>
        <w:adjustRightInd w:val="0"/>
        <w:jc w:val="both"/>
        <w:rPr>
          <w:rFonts w:ascii="Calibri" w:hAnsi="Calibri" w:cs="Calibri"/>
          <w:lang w:val="es-GT"/>
        </w:rPr>
      </w:pPr>
    </w:p>
    <w:p w:rsidR="00A30743" w:rsidRDefault="00A30743" w:rsidP="00224B57">
      <w:pPr>
        <w:spacing w:after="120"/>
        <w:jc w:val="center"/>
        <w:rPr>
          <w:rFonts w:ascii="Calibri" w:eastAsia="Calibri" w:hAnsi="Calibri" w:cs="Calibri"/>
          <w:b/>
          <w:color w:val="365F91"/>
          <w:sz w:val="22"/>
          <w:szCs w:val="22"/>
          <w:lang w:val="es-GT"/>
        </w:rPr>
      </w:pPr>
      <w:bookmarkStart w:id="109" w:name="_Toc347841247"/>
      <w:r w:rsidRPr="001A01AB">
        <w:rPr>
          <w:rFonts w:ascii="Calibri" w:eastAsia="Calibri" w:hAnsi="Calibri" w:cs="Calibri"/>
          <w:b/>
          <w:color w:val="365F91"/>
          <w:sz w:val="22"/>
          <w:szCs w:val="22"/>
          <w:lang w:val="es-GT"/>
        </w:rPr>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24</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Relación espacial entre deforestación y pobreza general</w:t>
      </w:r>
      <w:bookmarkEnd w:id="109"/>
    </w:p>
    <w:p w:rsidR="00374112" w:rsidRPr="00C470CE" w:rsidRDefault="00544A9F" w:rsidP="00A30743">
      <w:pPr>
        <w:autoSpaceDE w:val="0"/>
        <w:autoSpaceDN w:val="0"/>
        <w:adjustRightInd w:val="0"/>
        <w:jc w:val="center"/>
        <w:rPr>
          <w:rFonts w:ascii="Calibri" w:hAnsi="Calibri" w:cs="Calibri"/>
          <w:color w:val="365F91" w:themeColor="accent1" w:themeShade="BF"/>
          <w:lang w:val="es-GT"/>
        </w:rPr>
      </w:pPr>
      <w:r w:rsidRPr="00C470CE">
        <w:rPr>
          <w:noProof/>
          <w:color w:val="365F91" w:themeColor="accent1" w:themeShade="BF"/>
          <w:lang w:val="es-GT" w:eastAsia="es-GT"/>
        </w:rPr>
        <mc:AlternateContent>
          <mc:Choice Requires="wpc">
            <w:drawing>
              <wp:inline distT="0" distB="0" distL="0" distR="0" wp14:anchorId="0C93AD57" wp14:editId="186DABF7">
                <wp:extent cx="5486400" cy="3097530"/>
                <wp:effectExtent l="0" t="0" r="0" b="0"/>
                <wp:docPr id="1254" name="Lienzo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1248" name="Group 4"/>
                        <wpg:cNvGrpSpPr>
                          <a:grpSpLocks/>
                        </wpg:cNvGrpSpPr>
                        <wpg:grpSpPr bwMode="auto">
                          <a:xfrm>
                            <a:off x="2879211" y="196343"/>
                            <a:ext cx="2561978" cy="2849171"/>
                            <a:chOff x="2608" y="1026"/>
                            <a:chExt cx="1632" cy="1815"/>
                          </a:xfrm>
                        </wpg:grpSpPr>
                        <pic:pic xmlns:pic="http://schemas.openxmlformats.org/drawingml/2006/picture">
                          <pic:nvPicPr>
                            <pic:cNvPr id="1249" name="Picture 5" descr="pobreza general"/>
                            <pic:cNvPicPr>
                              <a:picLocks noChangeAspect="1" noChangeArrowheads="1"/>
                            </pic:cNvPicPr>
                          </pic:nvPicPr>
                          <pic:blipFill>
                            <a:blip r:embed="rId36">
                              <a:extLst>
                                <a:ext uri="{28A0092B-C50C-407E-A947-70E740481C1C}">
                                  <a14:useLocalDpi xmlns:a14="http://schemas.microsoft.com/office/drawing/2010/main" val="0"/>
                                </a:ext>
                              </a:extLst>
                            </a:blip>
                            <a:srcRect l="3293" t="7057" r="3293" b="12720"/>
                            <a:stretch>
                              <a:fillRect/>
                            </a:stretch>
                          </pic:blipFill>
                          <pic:spPr bwMode="auto">
                            <a:xfrm>
                              <a:off x="2608" y="1026"/>
                              <a:ext cx="1571" cy="1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0" name="Picture 6" descr="pobreza general"/>
                            <pic:cNvPicPr>
                              <a:picLocks noChangeAspect="1" noChangeArrowheads="1"/>
                            </pic:cNvPicPr>
                          </pic:nvPicPr>
                          <pic:blipFill>
                            <a:blip r:embed="rId41" cstate="print">
                              <a:extLst>
                                <a:ext uri="{28A0092B-C50C-407E-A947-70E740481C1C}">
                                  <a14:useLocalDpi xmlns:a14="http://schemas.microsoft.com/office/drawing/2010/main" val="0"/>
                                </a:ext>
                              </a:extLst>
                            </a:blip>
                            <a:srcRect l="16058" t="87802" r="66113" b="1172"/>
                            <a:stretch>
                              <a:fillRect/>
                            </a:stretch>
                          </pic:blipFill>
                          <pic:spPr bwMode="auto">
                            <a:xfrm>
                              <a:off x="3824" y="2508"/>
                              <a:ext cx="416"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s:wsp>
                        <wps:cNvPr id="1251" name="Text Box 7"/>
                        <wps:cNvSpPr txBox="1">
                          <a:spLocks noChangeArrowheads="1"/>
                        </wps:cNvSpPr>
                        <wps:spPr bwMode="auto">
                          <a:xfrm>
                            <a:off x="2919901" y="0"/>
                            <a:ext cx="2492654" cy="29671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4ACC" w:rsidRPr="00C470CE" w:rsidRDefault="00C54ACC" w:rsidP="008178BA">
                              <w:pPr>
                                <w:autoSpaceDE w:val="0"/>
                                <w:autoSpaceDN w:val="0"/>
                                <w:adjustRightInd w:val="0"/>
                                <w:jc w:val="center"/>
                                <w:rPr>
                                  <w:rFonts w:ascii="Arial" w:hAnsi="Arial" w:cs="Arial"/>
                                  <w:b/>
                                  <w:bCs/>
                                  <w:color w:val="365F91" w:themeColor="accent1" w:themeShade="BF"/>
                                  <w:sz w:val="18"/>
                                  <w:szCs w:val="18"/>
                                </w:rPr>
                              </w:pPr>
                              <w:r w:rsidRPr="00C470CE">
                                <w:rPr>
                                  <w:rFonts w:ascii="Arial" w:hAnsi="Arial" w:cs="Arial"/>
                                  <w:b/>
                                  <w:bCs/>
                                  <w:color w:val="365F91" w:themeColor="accent1" w:themeShade="BF"/>
                                  <w:sz w:val="18"/>
                                  <w:szCs w:val="18"/>
                                </w:rPr>
                                <w:t>Pobreza general en Guatemala</w:t>
                              </w:r>
                            </w:p>
                          </w:txbxContent>
                        </wps:txbx>
                        <wps:bodyPr rot="0" vert="horz" wrap="square" lIns="91440" tIns="45720" rIns="91440" bIns="45720" anchor="t" anchorCtr="0" upright="1">
                          <a:noAutofit/>
                        </wps:bodyPr>
                      </wps:wsp>
                      <wps:wsp>
                        <wps:cNvPr id="1252" name="Text Box 8"/>
                        <wps:cNvSpPr txBox="1">
                          <a:spLocks noChangeArrowheads="1"/>
                        </wps:cNvSpPr>
                        <wps:spPr bwMode="auto">
                          <a:xfrm>
                            <a:off x="72338" y="0"/>
                            <a:ext cx="2704394" cy="22638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4ACC" w:rsidRPr="00C470CE" w:rsidRDefault="00C54ACC" w:rsidP="008178BA">
                              <w:pPr>
                                <w:autoSpaceDE w:val="0"/>
                                <w:autoSpaceDN w:val="0"/>
                                <w:adjustRightInd w:val="0"/>
                                <w:jc w:val="center"/>
                                <w:rPr>
                                  <w:rFonts w:ascii="Arial" w:hAnsi="Arial" w:cs="Arial"/>
                                  <w:b/>
                                  <w:bCs/>
                                  <w:color w:val="365F91" w:themeColor="accent1" w:themeShade="BF"/>
                                  <w:sz w:val="18"/>
                                  <w:szCs w:val="18"/>
                                </w:rPr>
                              </w:pPr>
                              <w:r w:rsidRPr="00C470CE">
                                <w:rPr>
                                  <w:rFonts w:ascii="Arial" w:hAnsi="Arial" w:cs="Arial"/>
                                  <w:b/>
                                  <w:bCs/>
                                  <w:color w:val="365F91" w:themeColor="accent1" w:themeShade="BF"/>
                                  <w:sz w:val="18"/>
                                  <w:szCs w:val="18"/>
                                </w:rPr>
                                <w:t>Pérdida relativa de bosques</w:t>
                              </w:r>
                            </w:p>
                          </w:txbxContent>
                        </wps:txbx>
                        <wps:bodyPr rot="0" vert="horz" wrap="square" lIns="91440" tIns="45720" rIns="91440" bIns="45720" anchor="t" anchorCtr="0" upright="1">
                          <a:noAutofit/>
                        </wps:bodyPr>
                      </wps:wsp>
                      <pic:pic xmlns:pic="http://schemas.openxmlformats.org/drawingml/2006/picture">
                        <pic:nvPicPr>
                          <pic:cNvPr id="1253" name="Picture 9"/>
                          <pic:cNvPicPr>
                            <a:picLocks noChangeAspect="1" noChangeArrowheads="1"/>
                          </pic:cNvPicPr>
                        </pic:nvPicPr>
                        <pic:blipFill>
                          <a:blip r:embed="rId42">
                            <a:extLst>
                              <a:ext uri="{28A0092B-C50C-407E-A947-70E740481C1C}">
                                <a14:useLocalDpi xmlns:a14="http://schemas.microsoft.com/office/drawing/2010/main" val="0"/>
                              </a:ext>
                            </a:extLst>
                          </a:blip>
                          <a:srcRect l="5095" t="13573"/>
                          <a:stretch>
                            <a:fillRect/>
                          </a:stretch>
                        </pic:blipFill>
                        <pic:spPr bwMode="auto">
                          <a:xfrm>
                            <a:off x="0" y="200739"/>
                            <a:ext cx="2682541" cy="27429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Lienzo 2" o:spid="_x0000_s1045" editas="canvas" style="width:6in;height:243.9pt;mso-position-horizontal-relative:char;mso-position-vertical-relative:line" coordsize="54864,309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MECgAAAAAAAAAhANdXo0YYBwIAGAcCABUAAABkcnMvbWVkaWEvaW1hZ2Ux&#10;LmpwZWf/2P/gABBKRklGAAEBAQDcANwAAP/bAEMAAgEBAgEBAgICAgICAgIDBQMDAwMDBgQEAwUH&#10;BgcHBwYHBwgJCwkICAoIBwcKDQoKCwwMDAwHCQ4PDQwOCwwMDP/bAEMBAgICAwMDBgMDBgwIBwgM&#10;DAwMDAwMDAwMDAwMDAwMDAwMDAwMDAwMDAwMDAwMDAwMDAwMDAwMDAwMDAwMDAwMDP/AABEIAzcC&#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">
                <v:shape id="_x0000_s1046" type="#_x0000_t75" style="position:absolute;width:54864;height:30975;visibility:visible;mso-wrap-style:square">
                  <v:fill o:detectmouseclick="t"/>
                  <v:path o:connecttype="none"/>
                </v:shape>
                <v:group id="Group 4" o:spid="_x0000_s1047" style="position:absolute;left:28792;top:1963;width:25619;height:28492" coordorigin="2608,1026" coordsize="1632,1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KyRMcAAADdAAAADwAAAGRycy9kb3ducmV2LnhtbESPQWvCQBCF74X+h2UK&#10;3uom2kpJXUWkLT1IwVgQb0N2TILZ2ZDdJvHfdw6Ctxnem/e+Wa5H16ieulB7NpBOE1DEhbc1lwZ+&#10;D5/Pb6BCRLbYeCYDVwqwXj0+LDGzfuA99XkslYRwyNBAFWObaR2KihyGqW+JRTv7zmGUtSu17XCQ&#10;cNfoWZIstMOapaHClrYVFZf8zxn4GnDYzNOPfnc5b6+nw+vPcZeSMZOncfMOKtIY7+bb9bcV/NmL&#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kKyRMcAAADd&#10;AAAADwAAAAAAAAAAAAAAAACqAgAAZHJzL2Rvd25yZXYueG1sUEsFBgAAAAAEAAQA+gAAAJ4DAAAA&#10;AA==&#10;">
                  <v:shape id="Picture 5" o:spid="_x0000_s1048" type="#_x0000_t75" alt="pobreza general" style="position:absolute;left:2608;top:1026;width:1571;height:1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eALfBAAAA3QAAAA8AAABkcnMvZG93bnJldi54bWxET9uKwjAQfRf2H8Is7JtNVxZxq7GIIIjg&#10;g7ofMDbTi20m3Sba+vdGEHybw7nOIh1MI27Uucqygu8oBkGcWV1xoeDvtBnPQDiPrLGxTAru5CBd&#10;fowWmGjb84FuR1+IEMIuQQWl920ipctKMugi2xIHLredQR9gV0jdYR/CTSMncTyVBisODSW2tC4p&#10;q49Xo+Ccrb1s8+u/qVC6Ot7v+vyyU+rrc1jNQXga/Fv8cm91mD/5+YXnN+EEuX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eALfBAAAA3QAAAA8AAAAAAAAAAAAAAAAAnwIA&#10;AGRycy9kb3ducmV2LnhtbFBLBQYAAAAABAAEAPcAAACNAwAAAAA=&#10;">
                    <v:imagedata r:id="rId39" o:title="pobreza general" croptop="4625f" cropbottom="8336f" cropleft="2158f" cropright="2158f"/>
                  </v:shape>
                  <v:shape id="Picture 6" o:spid="_x0000_s1049" type="#_x0000_t75" alt="pobreza general" style="position:absolute;left:3824;top:2508;width:416;height: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YP5fJAAAA3QAAAA8AAABkcnMvZG93bnJldi54bWxEj0FLw0AQhe9C/8Mygje7sahI7LYUQSsq&#10;VBNRehuy0yQ0Oxt3N2301zsHwdsM781738yXo+vUgUJsPRu4mGagiCtvW64NvJf35zegYkK22Hkm&#10;A98UYbmYnMwxt/7Ib3QoUq0khGOOBpqU+lzrWDXkME59TyzazgeHSdZQaxvwKOGu07Msu9YOW5aG&#10;Bnu6a6jaF4MzUD79fOiX9fD5Wm4vh+eHsFsXXxtjzk7H1S2oRGP6N/9dP1rBn10Jv3wjI+jF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WJg/l8kAAADdAAAADwAAAAAAAAAA&#10;AAAAAACfAgAAZHJzL2Rvd25yZXYueG1sUEsFBgAAAAAEAAQA9wAAAJUDAAAAAA==&#10;">
                    <v:imagedata r:id="rId43" o:title="pobreza general" croptop="57542f" cropbottom="768f" cropleft="10524f" cropright="43328f"/>
                  </v:shape>
                </v:group>
                <v:shape id="Text Box 7" o:spid="_x0000_s1050" type="#_x0000_t202" style="position:absolute;left:29199;width:24926;height:2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qEsUA&#10;AADdAAAADwAAAGRycy9kb3ducmV2LnhtbERPS2vCQBC+C/6HZYTedKO0IqmrqLQoPYiv0h7H7JgE&#10;s7Mhu9WYX98VBG/z8T1nPK1NIS5Uudyygn4vAkGcWJ1zquCw/+yOQDiPrLGwTApu5GA6abfGGGt7&#10;5S1ddj4VIYRdjAoy78tYSpdkZND1bEkcuJOtDPoAq1TqCq8h3BRyEEVDaTDn0JBhSYuMkvPuzyhY&#10;bT7m9LVsmuZ1/fM9Ov4eln5xVuqlU8/eQXiq/VP8cK90mD9468P9m3CCn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m6oSxQAAAN0AAAAPAAAAAAAAAAAAAAAAAJgCAABkcnMv&#10;ZG93bnJldi54bWxQSwUGAAAAAAQABAD1AAAAigMAAAAA&#10;" filled="f" fillcolor="#bbe0e3" stroked="f">
                  <v:textbox>
                    <w:txbxContent>
                      <w:p w:rsidR="00C54ACC" w:rsidRPr="00C470CE" w:rsidRDefault="00C54ACC" w:rsidP="008178BA">
                        <w:pPr>
                          <w:autoSpaceDE w:val="0"/>
                          <w:autoSpaceDN w:val="0"/>
                          <w:adjustRightInd w:val="0"/>
                          <w:jc w:val="center"/>
                          <w:rPr>
                            <w:rFonts w:ascii="Arial" w:hAnsi="Arial" w:cs="Arial"/>
                            <w:b/>
                            <w:bCs/>
                            <w:color w:val="365F91" w:themeColor="accent1" w:themeShade="BF"/>
                            <w:sz w:val="18"/>
                            <w:szCs w:val="18"/>
                          </w:rPr>
                        </w:pPr>
                        <w:r w:rsidRPr="00C470CE">
                          <w:rPr>
                            <w:rFonts w:ascii="Arial" w:hAnsi="Arial" w:cs="Arial"/>
                            <w:b/>
                            <w:bCs/>
                            <w:color w:val="365F91" w:themeColor="accent1" w:themeShade="BF"/>
                            <w:sz w:val="18"/>
                            <w:szCs w:val="18"/>
                          </w:rPr>
                          <w:t>Pobreza general en Guatemala</w:t>
                        </w:r>
                      </w:p>
                    </w:txbxContent>
                  </v:textbox>
                </v:shape>
                <v:shape id="Text Box 8" o:spid="_x0000_s1051" type="#_x0000_t202" style="position:absolute;left:723;width:27044;height:2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k0ZcUA&#10;AADdAAAADwAAAGRycy9kb3ducmV2LnhtbERPTWvCQBC9C/6HZYTedGNoRVJXUWlRepBqLfU4Zsck&#10;mJ0N2a3G/PquUPA2j/c5k1ljSnGh2hWWFQwHEQji1OqCMwX7r/f+GITzyBpLy6TgRg5m025ngom2&#10;V97SZeczEULYJagg975KpHRpTgbdwFbEgTvZ2qAPsM6krvEawk0p4ygaSYMFh4YcK1rmlJ53v0bB&#10;+vNtQR+rtm2fNz/f4+Nhv/LLs1JPvWb+CsJT4x/if/dah/nxSwz3b8IJ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TRlxQAAAN0AAAAPAAAAAAAAAAAAAAAAAJgCAABkcnMv&#10;ZG93bnJldi54bWxQSwUGAAAAAAQABAD1AAAAigMAAAAA&#10;" filled="f" fillcolor="#bbe0e3" stroked="f">
                  <v:textbox>
                    <w:txbxContent>
                      <w:p w:rsidR="00C54ACC" w:rsidRPr="00C470CE" w:rsidRDefault="00C54ACC" w:rsidP="008178BA">
                        <w:pPr>
                          <w:autoSpaceDE w:val="0"/>
                          <w:autoSpaceDN w:val="0"/>
                          <w:adjustRightInd w:val="0"/>
                          <w:jc w:val="center"/>
                          <w:rPr>
                            <w:rFonts w:ascii="Arial" w:hAnsi="Arial" w:cs="Arial"/>
                            <w:b/>
                            <w:bCs/>
                            <w:color w:val="365F91" w:themeColor="accent1" w:themeShade="BF"/>
                            <w:sz w:val="18"/>
                            <w:szCs w:val="18"/>
                          </w:rPr>
                        </w:pPr>
                        <w:r w:rsidRPr="00C470CE">
                          <w:rPr>
                            <w:rFonts w:ascii="Arial" w:hAnsi="Arial" w:cs="Arial"/>
                            <w:b/>
                            <w:bCs/>
                            <w:color w:val="365F91" w:themeColor="accent1" w:themeShade="BF"/>
                            <w:sz w:val="18"/>
                            <w:szCs w:val="18"/>
                          </w:rPr>
                          <w:t>Pérdida relativa de bosques</w:t>
                        </w:r>
                      </w:p>
                    </w:txbxContent>
                  </v:textbox>
                </v:shape>
                <v:shape id="Picture 9" o:spid="_x0000_s1052" type="#_x0000_t75" style="position:absolute;top:2007;width:26825;height:27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e4iTEAAAA3QAAAA8AAABkcnMvZG93bnJldi54bWxET01rwkAQvRf8D8sUvNVNUyySukpRQj14&#10;UavgbciOm5DsbMiuGv31rlDobR7vc6bz3jbiQp2vHCt4HyUgiAunKzYKfnf52wSED8gaG8ek4EYe&#10;5rPByxQz7a68ocs2GBFD2GeooAyhzaT0RUkW/ci1xJE7uc5iiLAzUnd4jeG2kWmSfEqLFceGElta&#10;lFTU27NVsOHDMjH5pE33u/y+Ppn6Z3+slRq+9t9fIAL14V/8517pOD8df8Dzm3iCn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e4iTEAAAA3QAAAA8AAAAAAAAAAAAAAAAA&#10;nwIAAGRycy9kb3ducmV2LnhtbFBLBQYAAAAABAAEAPcAAACQAwAAAAA=&#10;" fillcolor="#bbe0e3">
                  <v:imagedata r:id="rId44" o:title="" croptop="8895f" cropleft="3339f"/>
                </v:shape>
                <w10:anchorlock/>
              </v:group>
            </w:pict>
          </mc:Fallback>
        </mc:AlternateContent>
      </w:r>
    </w:p>
    <w:p w:rsidR="002E085A" w:rsidRPr="001A01AB" w:rsidRDefault="009D0FA6" w:rsidP="009D0FA6">
      <w:pPr>
        <w:autoSpaceDE w:val="0"/>
        <w:autoSpaceDN w:val="0"/>
        <w:adjustRightInd w:val="0"/>
        <w:jc w:val="right"/>
        <w:rPr>
          <w:rFonts w:ascii="Calibri" w:hAnsi="Calibri" w:cs="Calibri"/>
          <w:lang w:val="es-GT"/>
        </w:rPr>
      </w:pPr>
      <w:r w:rsidRPr="00F175E4">
        <w:rPr>
          <w:rFonts w:ascii="Calibri" w:hAnsi="Calibri" w:cs="Calibri"/>
          <w:highlight w:val="red"/>
          <w:lang w:val="es-GT"/>
        </w:rPr>
        <w:t>Fuente:</w:t>
      </w:r>
    </w:p>
    <w:p w:rsidR="002E085A" w:rsidRPr="001A01AB" w:rsidRDefault="002E085A" w:rsidP="002E085A">
      <w:pPr>
        <w:autoSpaceDE w:val="0"/>
        <w:autoSpaceDN w:val="0"/>
        <w:adjustRightInd w:val="0"/>
        <w:jc w:val="both"/>
        <w:rPr>
          <w:rFonts w:ascii="Calibri" w:hAnsi="Calibri" w:cs="Calibri"/>
          <w:lang w:val="es-GT"/>
        </w:rPr>
      </w:pPr>
    </w:p>
    <w:p w:rsidR="00424E4D" w:rsidRPr="001A01AB" w:rsidRDefault="00424E4D" w:rsidP="006B0A3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110" w:name="_Toc340065166"/>
      <w:bookmarkStart w:id="111" w:name="_Toc340065258"/>
      <w:bookmarkStart w:id="112" w:name="_Toc340565850"/>
      <w:bookmarkStart w:id="113" w:name="_Toc347841300"/>
      <w:r w:rsidRPr="001A01AB">
        <w:rPr>
          <w:rFonts w:cs="Calibri"/>
          <w:b/>
          <w:color w:val="365F91"/>
          <w:sz w:val="28"/>
          <w:lang w:eastAsia="es-GT"/>
        </w:rPr>
        <w:t xml:space="preserve">La vulnerabilidad del sistema país desde la </w:t>
      </w:r>
      <w:r w:rsidR="00B51439" w:rsidRPr="001A01AB">
        <w:rPr>
          <w:rFonts w:cs="Calibri"/>
          <w:b/>
          <w:color w:val="365F91"/>
          <w:sz w:val="28"/>
          <w:lang w:eastAsia="es-GT"/>
        </w:rPr>
        <w:t>lógica</w:t>
      </w:r>
      <w:r w:rsidRPr="001A01AB">
        <w:rPr>
          <w:rFonts w:cs="Calibri"/>
          <w:b/>
          <w:color w:val="365F91"/>
          <w:sz w:val="28"/>
          <w:lang w:eastAsia="es-GT"/>
        </w:rPr>
        <w:t xml:space="preserve"> del </w:t>
      </w:r>
      <w:r w:rsidR="006B1FFA" w:rsidRPr="001A01AB">
        <w:rPr>
          <w:rFonts w:cs="Calibri"/>
          <w:b/>
          <w:color w:val="365F91"/>
          <w:sz w:val="28"/>
          <w:lang w:eastAsia="es-GT"/>
        </w:rPr>
        <w:t>Sistema S</w:t>
      </w:r>
      <w:r w:rsidRPr="001A01AB">
        <w:rPr>
          <w:rFonts w:cs="Calibri"/>
          <w:b/>
          <w:color w:val="365F91"/>
          <w:sz w:val="28"/>
          <w:lang w:eastAsia="es-GT"/>
        </w:rPr>
        <w:t>ocio</w:t>
      </w:r>
      <w:r w:rsidR="006B1FFA" w:rsidRPr="001A01AB">
        <w:rPr>
          <w:rFonts w:cs="Calibri"/>
          <w:b/>
          <w:color w:val="365F91"/>
          <w:sz w:val="28"/>
          <w:lang w:eastAsia="es-GT"/>
        </w:rPr>
        <w:t>ecológico</w:t>
      </w:r>
      <w:bookmarkEnd w:id="110"/>
      <w:bookmarkEnd w:id="111"/>
      <w:bookmarkEnd w:id="112"/>
      <w:bookmarkEnd w:id="113"/>
    </w:p>
    <w:p w:rsidR="00424E4D" w:rsidRPr="001A01AB" w:rsidRDefault="00424E4D" w:rsidP="002E085A">
      <w:pPr>
        <w:autoSpaceDE w:val="0"/>
        <w:autoSpaceDN w:val="0"/>
        <w:adjustRightInd w:val="0"/>
        <w:jc w:val="both"/>
        <w:rPr>
          <w:rFonts w:ascii="Calibri" w:hAnsi="Calibri" w:cs="Calibri"/>
          <w:lang w:val="es-GT"/>
        </w:rPr>
      </w:pPr>
    </w:p>
    <w:p w:rsidR="00EF33A0" w:rsidRPr="001A01AB" w:rsidRDefault="009B31A0" w:rsidP="006B0A31">
      <w:pPr>
        <w:pStyle w:val="Prrafodelista"/>
        <w:numPr>
          <w:ilvl w:val="2"/>
          <w:numId w:val="54"/>
        </w:numPr>
        <w:spacing w:after="120"/>
        <w:jc w:val="both"/>
        <w:rPr>
          <w:rFonts w:cs="Calibri"/>
          <w:b/>
          <w:i/>
          <w:color w:val="365F91"/>
          <w:sz w:val="24"/>
          <w:szCs w:val="24"/>
        </w:rPr>
      </w:pPr>
      <w:r w:rsidRPr="001A01AB">
        <w:rPr>
          <w:rFonts w:cs="Calibri"/>
          <w:b/>
          <w:i/>
          <w:color w:val="365F91"/>
          <w:sz w:val="24"/>
          <w:szCs w:val="24"/>
        </w:rPr>
        <w:t>Aspectos generales: confluencia entre lo local y lo global</w:t>
      </w:r>
    </w:p>
    <w:p w:rsidR="009B31A0" w:rsidRPr="001A01AB" w:rsidRDefault="009B31A0" w:rsidP="009B31A0">
      <w:pPr>
        <w:pStyle w:val="Sinespaciado1"/>
        <w:ind w:left="720"/>
        <w:jc w:val="both"/>
        <w:rPr>
          <w:rFonts w:cs="Calibri"/>
          <w:sz w:val="24"/>
          <w:szCs w:val="24"/>
        </w:rPr>
      </w:pPr>
    </w:p>
    <w:p w:rsidR="00424E4D" w:rsidRPr="001A01AB" w:rsidRDefault="00424E4D" w:rsidP="002E085A">
      <w:pPr>
        <w:pStyle w:val="Sinespaciado1"/>
        <w:jc w:val="both"/>
        <w:rPr>
          <w:rFonts w:cs="Calibri"/>
          <w:sz w:val="24"/>
          <w:szCs w:val="24"/>
        </w:rPr>
      </w:pPr>
      <w:r w:rsidRPr="001A01AB">
        <w:rPr>
          <w:rFonts w:cs="Calibri"/>
          <w:sz w:val="24"/>
          <w:szCs w:val="24"/>
        </w:rPr>
        <w:t>En materia ambiental</w:t>
      </w:r>
      <w:r w:rsidR="00BC44FA">
        <w:rPr>
          <w:rFonts w:cs="Calibri"/>
          <w:sz w:val="24"/>
          <w:szCs w:val="24"/>
        </w:rPr>
        <w:t>,</w:t>
      </w:r>
      <w:r w:rsidRPr="001A01AB">
        <w:rPr>
          <w:rFonts w:cs="Calibri"/>
          <w:sz w:val="24"/>
          <w:szCs w:val="24"/>
        </w:rPr>
        <w:t xml:space="preserve"> y conforme los planteamientos de la</w:t>
      </w:r>
      <w:r w:rsidR="00C57F46">
        <w:rPr>
          <w:rFonts w:cs="Calibri"/>
          <w:sz w:val="24"/>
          <w:szCs w:val="24"/>
        </w:rPr>
        <w:t>s secciones</w:t>
      </w:r>
      <w:r w:rsidRPr="001A01AB">
        <w:rPr>
          <w:rFonts w:cs="Calibri"/>
          <w:sz w:val="24"/>
          <w:szCs w:val="24"/>
        </w:rPr>
        <w:t xml:space="preserve"> anterior</w:t>
      </w:r>
      <w:r w:rsidR="00C57F46">
        <w:rPr>
          <w:rFonts w:cs="Calibri"/>
          <w:sz w:val="24"/>
          <w:szCs w:val="24"/>
        </w:rPr>
        <w:t>es</w:t>
      </w:r>
      <w:r w:rsidR="00BC44FA">
        <w:rPr>
          <w:rFonts w:cs="Calibri"/>
          <w:sz w:val="24"/>
          <w:szCs w:val="24"/>
        </w:rPr>
        <w:t>,</w:t>
      </w:r>
      <w:r w:rsidRPr="001A01AB">
        <w:rPr>
          <w:rFonts w:cs="Calibri"/>
          <w:sz w:val="24"/>
          <w:szCs w:val="24"/>
        </w:rPr>
        <w:t xml:space="preserve"> parece indiscutible que los guatemaltecos cohabitamos en un escenario donde confluyen dos realidades. Por un lado un territorio con prácticamente todos los elementos naturales que nos rodean, expuestos a persistentes y acumulativos procesos de agotamiento, deterioro y contaminación, cuyas causas se cimentan en el sistema económico establecido, cuya orientación distintiva es el extractivismo irracional. Por otro, las amenazas inducidas por el cambio climático. Ambas realidades, la primera local y la segunda global, son sinérgicas entre sí y tienen el potencial, cada vez mayor,</w:t>
      </w:r>
      <w:r w:rsidR="00141A70">
        <w:rPr>
          <w:rFonts w:cs="Calibri"/>
          <w:sz w:val="24"/>
          <w:szCs w:val="24"/>
        </w:rPr>
        <w:t xml:space="preserve"> </w:t>
      </w:r>
      <w:r w:rsidRPr="001A01AB">
        <w:rPr>
          <w:rFonts w:cs="Calibri"/>
          <w:sz w:val="24"/>
          <w:szCs w:val="24"/>
        </w:rPr>
        <w:t>de intensificar el riesgo a desastres.</w:t>
      </w:r>
    </w:p>
    <w:p w:rsidR="002E085A" w:rsidRPr="001A01AB" w:rsidRDefault="002E085A" w:rsidP="002E085A">
      <w:pPr>
        <w:pStyle w:val="Sinespaciado1"/>
        <w:jc w:val="both"/>
        <w:rPr>
          <w:rFonts w:cs="Calibri"/>
          <w:sz w:val="24"/>
          <w:szCs w:val="24"/>
        </w:rPr>
      </w:pPr>
    </w:p>
    <w:p w:rsidR="00424E4D" w:rsidRPr="001A01AB" w:rsidRDefault="00C57F46" w:rsidP="002E085A">
      <w:pPr>
        <w:pStyle w:val="NormalWeb"/>
        <w:spacing w:before="0" w:beforeAutospacing="0" w:after="0" w:afterAutospacing="0"/>
        <w:jc w:val="both"/>
        <w:rPr>
          <w:rFonts w:ascii="Calibri" w:hAnsi="Calibri" w:cs="Calibri"/>
        </w:rPr>
      </w:pPr>
      <w:r>
        <w:rPr>
          <w:rFonts w:ascii="Calibri" w:hAnsi="Calibri" w:cs="Calibri"/>
        </w:rPr>
        <w:t>En la siguiente sección se analiza, siempre con un enfoque sistémico, la configuración de</w:t>
      </w:r>
      <w:r w:rsidR="00BC44FA">
        <w:rPr>
          <w:rFonts w:ascii="Calibri" w:hAnsi="Calibri" w:cs="Calibri"/>
        </w:rPr>
        <w:t xml:space="preserve"> </w:t>
      </w:r>
      <w:r>
        <w:rPr>
          <w:rFonts w:ascii="Calibri" w:hAnsi="Calibri" w:cs="Calibri"/>
        </w:rPr>
        <w:t>l</w:t>
      </w:r>
      <w:r w:rsidR="00BC44FA">
        <w:rPr>
          <w:rFonts w:ascii="Calibri" w:hAnsi="Calibri" w:cs="Calibri"/>
        </w:rPr>
        <w:t>a</w:t>
      </w:r>
      <w:r>
        <w:rPr>
          <w:rFonts w:ascii="Calibri" w:hAnsi="Calibri" w:cs="Calibri"/>
        </w:rPr>
        <w:t xml:space="preserve"> vulnerabilidad nacional, tratando de </w:t>
      </w:r>
      <w:r w:rsidR="003C4B1C">
        <w:rPr>
          <w:rFonts w:ascii="Calibri" w:hAnsi="Calibri" w:cs="Calibri"/>
        </w:rPr>
        <w:t>ubicar en su justa dimensión</w:t>
      </w:r>
      <w:r w:rsidR="009D0FA6">
        <w:rPr>
          <w:rFonts w:ascii="Calibri" w:hAnsi="Calibri" w:cs="Calibri"/>
        </w:rPr>
        <w:t>,</w:t>
      </w:r>
      <w:r w:rsidR="003C4B1C">
        <w:rPr>
          <w:rFonts w:ascii="Calibri" w:hAnsi="Calibri" w:cs="Calibri"/>
        </w:rPr>
        <w:t xml:space="preserve"> la contribución de la dimensión ambiental.</w:t>
      </w:r>
    </w:p>
    <w:p w:rsidR="009D0FA6" w:rsidRDefault="009D0FA6" w:rsidP="002E085A">
      <w:pPr>
        <w:pStyle w:val="NormalWeb"/>
        <w:spacing w:before="0" w:beforeAutospacing="0" w:after="0" w:afterAutospacing="0"/>
        <w:jc w:val="both"/>
        <w:rPr>
          <w:rFonts w:ascii="Calibri" w:hAnsi="Calibri" w:cs="Calibri"/>
        </w:rPr>
      </w:pPr>
    </w:p>
    <w:p w:rsidR="000D70BF" w:rsidRDefault="000D70BF" w:rsidP="002E085A">
      <w:pPr>
        <w:pStyle w:val="NormalWeb"/>
        <w:spacing w:before="0" w:beforeAutospacing="0" w:after="0" w:afterAutospacing="0"/>
        <w:jc w:val="both"/>
        <w:rPr>
          <w:rFonts w:ascii="Calibri" w:hAnsi="Calibri" w:cs="Calibri"/>
        </w:rPr>
      </w:pPr>
    </w:p>
    <w:p w:rsidR="000D70BF" w:rsidRDefault="000D70BF" w:rsidP="002E085A">
      <w:pPr>
        <w:pStyle w:val="NormalWeb"/>
        <w:spacing w:before="0" w:beforeAutospacing="0" w:after="0" w:afterAutospacing="0"/>
        <w:jc w:val="both"/>
        <w:rPr>
          <w:rFonts w:ascii="Calibri" w:hAnsi="Calibri" w:cs="Calibri"/>
        </w:rPr>
      </w:pPr>
    </w:p>
    <w:p w:rsidR="000D70BF" w:rsidRPr="001A01AB" w:rsidRDefault="000D70BF" w:rsidP="002E085A">
      <w:pPr>
        <w:pStyle w:val="NormalWeb"/>
        <w:spacing w:before="0" w:beforeAutospacing="0" w:after="0" w:afterAutospacing="0"/>
        <w:jc w:val="both"/>
        <w:rPr>
          <w:rFonts w:ascii="Calibri" w:hAnsi="Calibri" w:cs="Calibri"/>
        </w:rPr>
      </w:pPr>
    </w:p>
    <w:p w:rsidR="00424E4D" w:rsidRPr="001A01AB" w:rsidRDefault="00436A41" w:rsidP="006B0A31">
      <w:pPr>
        <w:pStyle w:val="Prrafodelista"/>
        <w:numPr>
          <w:ilvl w:val="2"/>
          <w:numId w:val="54"/>
        </w:numPr>
        <w:spacing w:after="120"/>
        <w:jc w:val="both"/>
        <w:rPr>
          <w:rFonts w:cs="Calibri"/>
          <w:b/>
          <w:i/>
          <w:color w:val="365F91"/>
          <w:sz w:val="24"/>
          <w:szCs w:val="24"/>
        </w:rPr>
      </w:pPr>
      <w:r w:rsidRPr="001A01AB">
        <w:rPr>
          <w:rFonts w:cs="Calibri"/>
          <w:b/>
          <w:i/>
          <w:color w:val="365F91"/>
          <w:sz w:val="24"/>
          <w:szCs w:val="24"/>
        </w:rPr>
        <w:lastRenderedPageBreak/>
        <w:t>Nuestra vulnerabilidad sistémica</w:t>
      </w:r>
    </w:p>
    <w:p w:rsidR="0041327B" w:rsidRDefault="00436A41" w:rsidP="002E085A">
      <w:pPr>
        <w:jc w:val="both"/>
        <w:rPr>
          <w:rFonts w:ascii="Calibri" w:hAnsi="Calibri" w:cs="Calibri"/>
          <w:lang w:val="es-GT"/>
        </w:rPr>
      </w:pPr>
      <w:r w:rsidRPr="001A01AB">
        <w:rPr>
          <w:rFonts w:ascii="Calibri" w:hAnsi="Calibri" w:cs="Calibri"/>
          <w:lang w:val="es-GT"/>
        </w:rPr>
        <w:t>La literatura especializada coincide en indicar que la vulnerabilidad se refiere a una condición, a partir de la cual, una población está o queda expuesta frente a una amenaza. Está asociada a la idea de exposición y susceptibilidad (IMN-CR</w:t>
      </w:r>
      <w:r w:rsidR="0041327B">
        <w:rPr>
          <w:rFonts w:ascii="Calibri" w:hAnsi="Calibri" w:cs="Calibri"/>
          <w:lang w:val="es-GT"/>
        </w:rPr>
        <w:t>,</w:t>
      </w:r>
      <w:r w:rsidRPr="001A01AB">
        <w:rPr>
          <w:rFonts w:ascii="Calibri" w:hAnsi="Calibri" w:cs="Calibri"/>
          <w:lang w:val="es-GT"/>
        </w:rPr>
        <w:t xml:space="preserve"> 2005; </w:t>
      </w:r>
      <w:r w:rsidR="00424E4D" w:rsidRPr="001A01AB">
        <w:rPr>
          <w:rFonts w:ascii="Calibri" w:hAnsi="Calibri" w:cs="Calibri"/>
          <w:noProof/>
          <w:color w:val="000000"/>
          <w:lang w:val="es-GT"/>
        </w:rPr>
        <w:t xml:space="preserve">Centro Internacional de investigaciones para el desarrollo, </w:t>
      </w:r>
      <w:r w:rsidR="0041327B" w:rsidRPr="001A01AB">
        <w:rPr>
          <w:rFonts w:ascii="Calibri" w:hAnsi="Calibri" w:cs="Calibri"/>
          <w:noProof/>
          <w:color w:val="000000"/>
          <w:lang w:val="es-GT"/>
        </w:rPr>
        <w:t>s.f</w:t>
      </w:r>
      <w:r w:rsidR="00424E4D" w:rsidRPr="001A01AB">
        <w:rPr>
          <w:rFonts w:ascii="Calibri" w:hAnsi="Calibri" w:cs="Calibri"/>
          <w:noProof/>
          <w:color w:val="000000"/>
          <w:lang w:val="es-GT"/>
        </w:rPr>
        <w:t>.)</w:t>
      </w:r>
      <w:r w:rsidRPr="001A01AB">
        <w:rPr>
          <w:rFonts w:ascii="Calibri" w:hAnsi="Calibri" w:cs="Calibri"/>
          <w:lang w:val="es-GT"/>
        </w:rPr>
        <w:t xml:space="preserve">. También, desde un punto de vista más dinámico, se refiere a la capacidad social para asumir situaciones límites (como un desastre) y sobreponerse a ellas (resiliencia). </w:t>
      </w:r>
    </w:p>
    <w:p w:rsidR="0041327B" w:rsidRDefault="0041327B" w:rsidP="002E085A">
      <w:pPr>
        <w:jc w:val="both"/>
        <w:rPr>
          <w:rFonts w:ascii="Calibri" w:hAnsi="Calibri" w:cs="Calibri"/>
          <w:lang w:val="es-GT"/>
        </w:rPr>
      </w:pPr>
    </w:p>
    <w:p w:rsidR="0041327B" w:rsidRDefault="00436A41" w:rsidP="002E085A">
      <w:pPr>
        <w:jc w:val="both"/>
        <w:rPr>
          <w:rFonts w:ascii="Calibri" w:hAnsi="Calibri" w:cs="Calibri"/>
          <w:lang w:val="es-GT"/>
        </w:rPr>
      </w:pPr>
      <w:r w:rsidRPr="001A01AB">
        <w:rPr>
          <w:rFonts w:ascii="Calibri" w:hAnsi="Calibri" w:cs="Calibri"/>
          <w:lang w:val="es-GT"/>
        </w:rPr>
        <w:t>En re</w:t>
      </w:r>
      <w:r w:rsidR="0041327B">
        <w:rPr>
          <w:rFonts w:ascii="Calibri" w:hAnsi="Calibri" w:cs="Calibri"/>
          <w:lang w:val="es-GT"/>
        </w:rPr>
        <w:t>lación</w:t>
      </w:r>
      <w:r w:rsidRPr="001A01AB">
        <w:rPr>
          <w:rFonts w:ascii="Calibri" w:hAnsi="Calibri" w:cs="Calibri"/>
          <w:lang w:val="es-GT"/>
        </w:rPr>
        <w:t xml:space="preserve"> al cambio climático, el Grupo Intergubernamental de Expertos sobre el Cambio Climático (IPCC, 2001), define la vulnerabilidad como “el grado en que un sistema es susceptible o incapaz de enfrentarse a efectos adversos del cambio climático, incluyendo la variabilidad y extremos climáticos”. </w:t>
      </w:r>
    </w:p>
    <w:p w:rsidR="0041327B" w:rsidRDefault="0041327B" w:rsidP="002E085A">
      <w:pPr>
        <w:jc w:val="both"/>
        <w:rPr>
          <w:rFonts w:ascii="Calibri" w:hAnsi="Calibri" w:cs="Calibri"/>
          <w:lang w:val="es-GT"/>
        </w:rPr>
      </w:pPr>
    </w:p>
    <w:p w:rsidR="00424E4D" w:rsidRPr="001A01AB" w:rsidRDefault="00436A41" w:rsidP="002E085A">
      <w:pPr>
        <w:jc w:val="both"/>
        <w:rPr>
          <w:rFonts w:ascii="Calibri" w:hAnsi="Calibri" w:cs="Calibri"/>
          <w:lang w:val="es-GT"/>
        </w:rPr>
      </w:pPr>
      <w:r w:rsidRPr="001A01AB">
        <w:rPr>
          <w:rFonts w:ascii="Calibri" w:hAnsi="Calibri" w:cs="Calibri"/>
          <w:lang w:val="es-GT"/>
        </w:rPr>
        <w:t xml:space="preserve">La vulnerabilidad tiene tres componentes: exposición, sensibilidad y capacidad adaptativa. La </w:t>
      </w:r>
      <w:r w:rsidRPr="001A01AB">
        <w:rPr>
          <w:rFonts w:ascii="Calibri" w:hAnsi="Calibri" w:cs="Calibri"/>
          <w:i/>
          <w:lang w:val="es-GT"/>
        </w:rPr>
        <w:t>exposición</w:t>
      </w:r>
      <w:r w:rsidRPr="001A01AB">
        <w:rPr>
          <w:rFonts w:ascii="Calibri" w:hAnsi="Calibri" w:cs="Calibri"/>
          <w:lang w:val="es-GT"/>
        </w:rPr>
        <w:t xml:space="preserve"> se refiere a la p</w:t>
      </w:r>
      <w:r w:rsidR="0041327B">
        <w:rPr>
          <w:rFonts w:ascii="Calibri" w:hAnsi="Calibri" w:cs="Calibri"/>
          <w:lang w:val="es-GT"/>
        </w:rPr>
        <w:t>resencia de un riesgo climático,</w:t>
      </w:r>
      <w:r w:rsidRPr="001A01AB">
        <w:rPr>
          <w:rFonts w:ascii="Calibri" w:hAnsi="Calibri" w:cs="Calibri"/>
          <w:lang w:val="es-GT"/>
        </w:rPr>
        <w:t xml:space="preserve"> es decir, a los aspectos físicos de la vulnerabilidad. La </w:t>
      </w:r>
      <w:r w:rsidRPr="001A01AB">
        <w:rPr>
          <w:rFonts w:ascii="Calibri" w:hAnsi="Calibri" w:cs="Calibri"/>
          <w:i/>
          <w:lang w:val="es-GT"/>
        </w:rPr>
        <w:t>sensibilidad</w:t>
      </w:r>
      <w:r w:rsidRPr="001A01AB">
        <w:rPr>
          <w:rFonts w:ascii="Calibri" w:hAnsi="Calibri" w:cs="Calibri"/>
          <w:lang w:val="es-GT"/>
        </w:rPr>
        <w:t xml:space="preserve"> es</w:t>
      </w:r>
      <w:r w:rsidR="0041327B">
        <w:rPr>
          <w:rFonts w:ascii="Calibri" w:hAnsi="Calibri" w:cs="Calibri"/>
          <w:lang w:val="es-GT"/>
        </w:rPr>
        <w:t>,</w:t>
      </w:r>
      <w:r w:rsidRPr="001A01AB">
        <w:rPr>
          <w:rFonts w:ascii="Calibri" w:hAnsi="Calibri" w:cs="Calibri"/>
          <w:lang w:val="es-GT"/>
        </w:rPr>
        <w:t xml:space="preserve"> en este marco, la capacidad de respuesta de los sistemas a los riesgos climáticos a los</w:t>
      </w:r>
      <w:r w:rsidR="0041327B">
        <w:rPr>
          <w:rFonts w:ascii="Calibri" w:hAnsi="Calibri" w:cs="Calibri"/>
          <w:lang w:val="es-GT"/>
        </w:rPr>
        <w:t xml:space="preserve"> cuales están expuestos</w:t>
      </w:r>
      <w:r w:rsidRPr="001A01AB">
        <w:rPr>
          <w:rFonts w:ascii="Calibri" w:hAnsi="Calibri" w:cs="Calibri"/>
          <w:lang w:val="es-GT"/>
        </w:rPr>
        <w:t xml:space="preserve"> o</w:t>
      </w:r>
      <w:r w:rsidR="0041327B">
        <w:rPr>
          <w:rFonts w:ascii="Calibri" w:hAnsi="Calibri" w:cs="Calibri"/>
          <w:lang w:val="es-GT"/>
        </w:rPr>
        <w:t>,</w:t>
      </w:r>
      <w:r w:rsidRPr="001A01AB">
        <w:rPr>
          <w:rFonts w:ascii="Calibri" w:hAnsi="Calibri" w:cs="Calibri"/>
          <w:lang w:val="es-GT"/>
        </w:rPr>
        <w:t xml:space="preserve"> según </w:t>
      </w:r>
      <w:r w:rsidR="00523BC1">
        <w:rPr>
          <w:rFonts w:ascii="Calibri" w:hAnsi="Calibri" w:cs="Calibri"/>
          <w:lang w:val="es-GT"/>
        </w:rPr>
        <w:t>la definición del IPCC (2001),</w:t>
      </w:r>
      <w:r w:rsidRPr="001A01AB">
        <w:rPr>
          <w:rFonts w:ascii="Calibri" w:hAnsi="Calibri" w:cs="Calibri"/>
          <w:lang w:val="es-GT"/>
        </w:rPr>
        <w:t xml:space="preserve"> “… el grado en que un sistema responderá a determinado cambio del clima, incluidos los efectos beneficiosos y perjudiciales…”</w:t>
      </w:r>
      <w:r w:rsidR="0041327B">
        <w:rPr>
          <w:rFonts w:ascii="Calibri" w:hAnsi="Calibri" w:cs="Calibri"/>
          <w:lang w:val="es-GT"/>
        </w:rPr>
        <w:t>.</w:t>
      </w:r>
      <w:r w:rsidRPr="001A01AB">
        <w:rPr>
          <w:rFonts w:ascii="Calibri" w:hAnsi="Calibri" w:cs="Calibri"/>
          <w:lang w:val="es-GT"/>
        </w:rPr>
        <w:t xml:space="preserve"> La </w:t>
      </w:r>
      <w:r w:rsidRPr="001A01AB">
        <w:rPr>
          <w:rFonts w:ascii="Calibri" w:hAnsi="Calibri" w:cs="Calibri"/>
          <w:i/>
          <w:lang w:val="es-GT"/>
        </w:rPr>
        <w:t>capacidad adaptativa</w:t>
      </w:r>
      <w:r w:rsidRPr="001A01AB">
        <w:rPr>
          <w:rFonts w:ascii="Calibri" w:hAnsi="Calibri" w:cs="Calibri"/>
          <w:lang w:val="es-GT"/>
        </w:rPr>
        <w:t xml:space="preserve"> es la capacidad de un sistema para cambiar a un estado más favorable para hacerle frente a los impactos adversos. El IPCC (2201) la define como “la capacidad de un sistema para ajustarse al cambio climático (incluida la variabilidad climática y los cambios extremos) para aminorar daños potenciales, aprovechar las oportunidades, o enfrentar sus consecuencias”.</w:t>
      </w:r>
    </w:p>
    <w:p w:rsidR="002E085A" w:rsidRPr="001A01AB" w:rsidRDefault="002E085A" w:rsidP="002E085A">
      <w:pPr>
        <w:jc w:val="both"/>
        <w:rPr>
          <w:rFonts w:ascii="Calibri" w:hAnsi="Calibri" w:cs="Calibri"/>
          <w:lang w:val="es-GT"/>
        </w:rPr>
      </w:pPr>
    </w:p>
    <w:p w:rsidR="00424E4D" w:rsidRPr="001A01AB" w:rsidRDefault="00436A41" w:rsidP="002E085A">
      <w:pPr>
        <w:jc w:val="both"/>
        <w:rPr>
          <w:rFonts w:ascii="Calibri" w:hAnsi="Calibri" w:cs="Calibri"/>
          <w:lang w:val="es-GT"/>
        </w:rPr>
      </w:pPr>
      <w:r w:rsidRPr="001A01AB">
        <w:rPr>
          <w:rFonts w:ascii="Calibri" w:hAnsi="Calibri" w:cs="Calibri"/>
          <w:lang w:val="es-GT"/>
        </w:rPr>
        <w:t>En el contexto del desarrollo social, la vulnerabilidad ha sido considerada como un déficit de desarrollo y resultante de una carencia de acceso a recursos suficientes en un marco de igualdad de oportunidades</w:t>
      </w:r>
      <w:r w:rsidR="00141A70">
        <w:rPr>
          <w:rFonts w:ascii="Calibri" w:hAnsi="Calibri" w:cs="Calibri"/>
          <w:lang w:val="es-GT"/>
        </w:rPr>
        <w:t xml:space="preserve"> </w:t>
      </w:r>
      <w:r w:rsidRPr="001A01AB">
        <w:rPr>
          <w:rFonts w:ascii="Calibri" w:hAnsi="Calibri" w:cs="Calibri"/>
          <w:noProof/>
          <w:lang w:val="es-GT"/>
        </w:rPr>
        <w:t>(R</w:t>
      </w:r>
      <w:r w:rsidR="0041327B" w:rsidRPr="001A01AB">
        <w:rPr>
          <w:rFonts w:ascii="Calibri" w:hAnsi="Calibri" w:cs="Calibri"/>
          <w:noProof/>
          <w:lang w:val="es-GT"/>
        </w:rPr>
        <w:t>ojas</w:t>
      </w:r>
      <w:r w:rsidRPr="001A01AB">
        <w:rPr>
          <w:rFonts w:ascii="Calibri" w:hAnsi="Calibri" w:cs="Calibri"/>
          <w:noProof/>
          <w:lang w:val="es-GT"/>
        </w:rPr>
        <w:t>, 2004)</w:t>
      </w:r>
      <w:r w:rsidRPr="001A01AB">
        <w:rPr>
          <w:rFonts w:ascii="Calibri" w:hAnsi="Calibri" w:cs="Calibri"/>
          <w:lang w:val="es-GT"/>
        </w:rPr>
        <w:t>. La vulnerabilidad no existe sin amenaza y viceversa.</w:t>
      </w:r>
    </w:p>
    <w:p w:rsidR="002E085A" w:rsidRPr="001A01AB" w:rsidRDefault="002E085A" w:rsidP="002E085A">
      <w:pPr>
        <w:jc w:val="both"/>
        <w:rPr>
          <w:rFonts w:ascii="Calibri" w:hAnsi="Calibri" w:cs="Calibri"/>
          <w:lang w:val="es-GT"/>
        </w:rPr>
      </w:pPr>
    </w:p>
    <w:p w:rsidR="003C4B1C" w:rsidRDefault="00436A41" w:rsidP="002E085A">
      <w:pPr>
        <w:jc w:val="both"/>
        <w:rPr>
          <w:rFonts w:ascii="Calibri" w:hAnsi="Calibri" w:cs="Calibri"/>
          <w:lang w:val="es-GT"/>
        </w:rPr>
      </w:pPr>
      <w:r w:rsidRPr="001A01AB">
        <w:rPr>
          <w:rFonts w:ascii="Calibri" w:hAnsi="Calibri" w:cs="Calibri"/>
          <w:lang w:val="es-GT"/>
        </w:rPr>
        <w:t xml:space="preserve">En consecuencia, son múltiples los factores que están involucrados en la conformación de condiciones que generan vulnerabilidad. Desde la carencia de educación, lo cual nos hace vulnerables frente a las amenazas de un sistema político-económico excluyente; la </w:t>
      </w:r>
      <w:r w:rsidR="0041327B">
        <w:rPr>
          <w:rFonts w:ascii="Calibri" w:hAnsi="Calibri" w:cs="Calibri"/>
          <w:lang w:val="es-GT"/>
        </w:rPr>
        <w:t xml:space="preserve">falta </w:t>
      </w:r>
      <w:r w:rsidRPr="001A01AB">
        <w:rPr>
          <w:rFonts w:ascii="Calibri" w:hAnsi="Calibri" w:cs="Calibri"/>
          <w:lang w:val="es-GT"/>
        </w:rPr>
        <w:t>de medios materiales (tierra, equipo y financiamiento) y tecnología o empleo pleno, lo cual nos hace vulnerables frente a la inseguridad alimentaria;</w:t>
      </w:r>
      <w:r w:rsidR="00141A70">
        <w:rPr>
          <w:rFonts w:ascii="Calibri" w:hAnsi="Calibri" w:cs="Calibri"/>
          <w:lang w:val="es-GT"/>
        </w:rPr>
        <w:t xml:space="preserve"> </w:t>
      </w:r>
      <w:r w:rsidRPr="001A01AB">
        <w:rPr>
          <w:rFonts w:ascii="Calibri" w:hAnsi="Calibri" w:cs="Calibri"/>
          <w:lang w:val="es-GT"/>
        </w:rPr>
        <w:t>o el asentamiento de viviendas rústicas y precarias en terrenos de ladera, lo cual nos hace vulnerables frente a las amenazas de variables climáticas extremas o eventos tectónicos.</w:t>
      </w:r>
    </w:p>
    <w:p w:rsidR="003C4B1C" w:rsidRDefault="003C4B1C" w:rsidP="002E085A">
      <w:pPr>
        <w:jc w:val="both"/>
        <w:rPr>
          <w:rFonts w:ascii="Calibri" w:hAnsi="Calibri" w:cs="Calibri"/>
          <w:lang w:val="es-GT"/>
        </w:rPr>
      </w:pPr>
    </w:p>
    <w:p w:rsidR="00424E4D" w:rsidRPr="001A01AB" w:rsidRDefault="00436A41" w:rsidP="002E085A">
      <w:pPr>
        <w:jc w:val="both"/>
        <w:rPr>
          <w:rFonts w:ascii="Calibri" w:hAnsi="Calibri" w:cs="Calibri"/>
          <w:lang w:val="es-GT"/>
        </w:rPr>
      </w:pPr>
      <w:r w:rsidRPr="001A01AB">
        <w:rPr>
          <w:rFonts w:ascii="Calibri" w:hAnsi="Calibri" w:cs="Calibri"/>
          <w:lang w:val="es-GT"/>
        </w:rPr>
        <w:t>Algunos de estos factores se r</w:t>
      </w:r>
      <w:r w:rsidR="0041327B">
        <w:rPr>
          <w:rFonts w:ascii="Calibri" w:hAnsi="Calibri" w:cs="Calibri"/>
          <w:lang w:val="es-GT"/>
        </w:rPr>
        <w:t>evisan a continuación</w:t>
      </w:r>
      <w:r w:rsidRPr="001A01AB">
        <w:rPr>
          <w:rFonts w:ascii="Calibri" w:hAnsi="Calibri" w:cs="Calibri"/>
          <w:lang w:val="es-GT"/>
        </w:rPr>
        <w:t xml:space="preserve"> siguiendo un enfoque sistémico, </w:t>
      </w:r>
      <w:r w:rsidR="0041327B">
        <w:rPr>
          <w:rFonts w:ascii="Calibri" w:hAnsi="Calibri" w:cs="Calibri"/>
          <w:lang w:val="es-GT"/>
        </w:rPr>
        <w:t>por lo que</w:t>
      </w:r>
      <w:r w:rsidRPr="001A01AB">
        <w:rPr>
          <w:rFonts w:ascii="Calibri" w:hAnsi="Calibri" w:cs="Calibri"/>
          <w:lang w:val="es-GT"/>
        </w:rPr>
        <w:t xml:space="preserve"> se revisa la contribución de cuatro subsistemas</w:t>
      </w:r>
      <w:r w:rsidR="00141A70">
        <w:rPr>
          <w:rFonts w:ascii="Calibri" w:hAnsi="Calibri" w:cs="Calibri"/>
          <w:lang w:val="es-GT"/>
        </w:rPr>
        <w:t xml:space="preserve"> </w:t>
      </w:r>
      <w:r w:rsidRPr="001A01AB">
        <w:rPr>
          <w:rFonts w:ascii="Calibri" w:hAnsi="Calibri" w:cs="Calibri"/>
          <w:lang w:val="es-GT"/>
        </w:rPr>
        <w:t>a la vulnerabilidad del sistema de referencia. Un balance entre los subsistemas</w:t>
      </w:r>
      <w:r w:rsidR="0041327B">
        <w:rPr>
          <w:rFonts w:ascii="Calibri" w:hAnsi="Calibri" w:cs="Calibri"/>
          <w:lang w:val="es-GT"/>
        </w:rPr>
        <w:t>, a cargo del subsistema institucional,</w:t>
      </w:r>
      <w:r w:rsidRPr="001A01AB">
        <w:rPr>
          <w:rFonts w:ascii="Calibri" w:hAnsi="Calibri" w:cs="Calibri"/>
          <w:lang w:val="es-GT"/>
        </w:rPr>
        <w:t xml:space="preserve"> debe garantizar la vida en todas sus formas, incluyendo por supuesto, la vida de las personas integrantes de la sociedad. La vulnerabilidad del sistema depende entonces: (i) del estado de cada uno de los subsistemas; (ii) de las relaciones entre estos, (iii) de las interacciones con un sistema mayor, el entorno.</w:t>
      </w:r>
      <w:r w:rsidR="00141A70">
        <w:rPr>
          <w:rFonts w:ascii="Calibri" w:hAnsi="Calibri" w:cs="Calibri"/>
          <w:lang w:val="es-GT"/>
        </w:rPr>
        <w:t xml:space="preserve"> </w:t>
      </w:r>
      <w:r w:rsidRPr="001A01AB">
        <w:rPr>
          <w:rFonts w:ascii="Calibri" w:hAnsi="Calibri" w:cs="Calibri"/>
          <w:lang w:val="es-GT"/>
        </w:rPr>
        <w:t xml:space="preserve">En el caso del sistema país, los dos primeros aspectos se refieren al ámbito local (nacional) y el tercero al ámbito </w:t>
      </w:r>
      <w:r w:rsidRPr="001A01AB">
        <w:rPr>
          <w:rFonts w:ascii="Calibri" w:hAnsi="Calibri" w:cs="Calibri"/>
          <w:lang w:val="es-GT"/>
        </w:rPr>
        <w:lastRenderedPageBreak/>
        <w:t>global. Estos conceptos tienen aplicabilidad a distintas escalas, desde una pequeña comunidad, una cuenca, una ciudad, un país o una región integrada por varios países.</w:t>
      </w:r>
    </w:p>
    <w:p w:rsidR="002E085A" w:rsidRPr="001A01AB" w:rsidRDefault="002E085A" w:rsidP="002E085A">
      <w:pPr>
        <w:jc w:val="both"/>
        <w:rPr>
          <w:rFonts w:ascii="Calibri" w:hAnsi="Calibri" w:cs="Calibri"/>
          <w:lang w:val="es-GT"/>
        </w:rPr>
      </w:pPr>
    </w:p>
    <w:p w:rsidR="00424E4D" w:rsidRPr="001A01AB" w:rsidRDefault="00436A41" w:rsidP="002E085A">
      <w:pPr>
        <w:jc w:val="both"/>
        <w:rPr>
          <w:rFonts w:ascii="Calibri" w:hAnsi="Calibri" w:cs="Calibri"/>
          <w:lang w:val="es-GT"/>
        </w:rPr>
      </w:pPr>
      <w:r w:rsidRPr="001A01AB">
        <w:rPr>
          <w:rFonts w:ascii="Calibri" w:hAnsi="Calibri" w:cs="Calibri"/>
          <w:lang w:val="es-GT"/>
        </w:rPr>
        <w:t xml:space="preserve">En este sentido, </w:t>
      </w:r>
      <w:r w:rsidRPr="001A01AB">
        <w:rPr>
          <w:rFonts w:ascii="Calibri" w:hAnsi="Calibri" w:cs="Calibri"/>
          <w:i/>
          <w:lang w:val="es-GT"/>
        </w:rPr>
        <w:t>la primera dimensión se refiere a la vulnerabilidad del sistema derivada de la calidad del subsistema natural</w:t>
      </w:r>
      <w:r w:rsidRPr="001A01AB">
        <w:rPr>
          <w:rFonts w:ascii="Calibri" w:hAnsi="Calibri" w:cs="Calibri"/>
          <w:lang w:val="es-GT"/>
        </w:rPr>
        <w:t xml:space="preserve"> y se relaciona con esquemas de utilización del territorio y de los bienes y servicios ambientales presentes en éste. Se manifiesta cuando esos esquemas de utilización no consideran la propia capacidad de recuperación de los mismos, generando evidentes niveles de agotamiento, deterioro y contaminación. Estos hechos consecuentemente, afectan de manera directa al “sistema de referencia” al mermar su propia</w:t>
      </w:r>
      <w:r w:rsidR="00141A70">
        <w:rPr>
          <w:rFonts w:ascii="Calibri" w:hAnsi="Calibri" w:cs="Calibri"/>
          <w:lang w:val="es-GT"/>
        </w:rPr>
        <w:t xml:space="preserve"> </w:t>
      </w:r>
      <w:r w:rsidRPr="001A01AB">
        <w:rPr>
          <w:rFonts w:ascii="Calibri" w:hAnsi="Calibri" w:cs="Calibri"/>
          <w:lang w:val="es-GT"/>
        </w:rPr>
        <w:t>resiliencia -de soportar y sobreponerse a situaciones límite-.</w:t>
      </w:r>
      <w:r w:rsidR="00141A70">
        <w:rPr>
          <w:rFonts w:ascii="Calibri" w:hAnsi="Calibri" w:cs="Calibri"/>
          <w:lang w:val="es-GT"/>
        </w:rPr>
        <w:t xml:space="preserve"> </w:t>
      </w:r>
    </w:p>
    <w:p w:rsidR="00424E4D" w:rsidRPr="001A01AB" w:rsidRDefault="00424E4D" w:rsidP="002E085A">
      <w:pPr>
        <w:jc w:val="both"/>
        <w:rPr>
          <w:rFonts w:ascii="Calibri" w:hAnsi="Calibri" w:cs="Calibri"/>
          <w:lang w:val="es-GT"/>
        </w:rPr>
      </w:pPr>
    </w:p>
    <w:p w:rsidR="00455DBB" w:rsidRDefault="00436A41" w:rsidP="002E085A">
      <w:pPr>
        <w:jc w:val="both"/>
        <w:rPr>
          <w:rStyle w:val="eacep1"/>
          <w:rFonts w:ascii="Calibri" w:hAnsi="Calibri" w:cs="Calibri"/>
          <w:lang w:val="es-GT"/>
        </w:rPr>
      </w:pPr>
      <w:r w:rsidRPr="001A01AB">
        <w:rPr>
          <w:rFonts w:ascii="Calibri" w:hAnsi="Calibri" w:cs="Calibri"/>
          <w:lang w:val="es-GT"/>
        </w:rPr>
        <w:t>La mayoría de estos factores son añejos y</w:t>
      </w:r>
      <w:r w:rsidR="00455DBB">
        <w:rPr>
          <w:rFonts w:ascii="Calibri" w:hAnsi="Calibri" w:cs="Calibri"/>
          <w:lang w:val="es-GT"/>
        </w:rPr>
        <w:t>,</w:t>
      </w:r>
      <w:r w:rsidRPr="001A01AB">
        <w:rPr>
          <w:rFonts w:ascii="Calibri" w:hAnsi="Calibri" w:cs="Calibri"/>
          <w:lang w:val="es-GT"/>
        </w:rPr>
        <w:t xml:space="preserve"> en vez de diluirse, se vuelven más complejos y cada vez más determinantes en la conflictividad social a nivel territorial. Los más significativos son </w:t>
      </w:r>
      <w:r w:rsidR="00455DBB">
        <w:rPr>
          <w:rStyle w:val="eacep1"/>
          <w:rFonts w:ascii="Calibri" w:hAnsi="Calibri" w:cs="Calibri"/>
          <w:lang w:val="es-GT"/>
        </w:rPr>
        <w:t>la contaminación del ai</w:t>
      </w:r>
      <w:r w:rsidRPr="001A01AB">
        <w:rPr>
          <w:rStyle w:val="eacep1"/>
          <w:rFonts w:ascii="Calibri" w:hAnsi="Calibri" w:cs="Calibri"/>
          <w:lang w:val="es-GT"/>
        </w:rPr>
        <w:t xml:space="preserve">re; </w:t>
      </w:r>
      <w:r w:rsidR="00455DBB">
        <w:rPr>
          <w:rStyle w:val="eacep1"/>
          <w:rFonts w:ascii="Calibri" w:hAnsi="Calibri" w:cs="Calibri"/>
          <w:lang w:val="es-GT"/>
        </w:rPr>
        <w:t xml:space="preserve">la </w:t>
      </w:r>
      <w:r w:rsidRPr="001A01AB">
        <w:rPr>
          <w:rStyle w:val="eacep1"/>
          <w:rFonts w:ascii="Calibri" w:hAnsi="Calibri" w:cs="Calibri"/>
          <w:lang w:val="es-GT"/>
        </w:rPr>
        <w:t xml:space="preserve">contaminación de los bienes hídricos; </w:t>
      </w:r>
      <w:r w:rsidR="00455DBB">
        <w:rPr>
          <w:rStyle w:val="eacep1"/>
          <w:rFonts w:ascii="Calibri" w:hAnsi="Calibri" w:cs="Calibri"/>
          <w:lang w:val="es-GT"/>
        </w:rPr>
        <w:t xml:space="preserve">la </w:t>
      </w:r>
      <w:r w:rsidRPr="001A01AB">
        <w:rPr>
          <w:rStyle w:val="eacep1"/>
          <w:rFonts w:ascii="Calibri" w:hAnsi="Calibri" w:cs="Calibri"/>
          <w:lang w:val="es-GT"/>
        </w:rPr>
        <w:t xml:space="preserve">producción masiva y sin control de aguas residuales y desechos; </w:t>
      </w:r>
      <w:r w:rsidR="00455DBB">
        <w:rPr>
          <w:rStyle w:val="eacep1"/>
          <w:rFonts w:ascii="Calibri" w:hAnsi="Calibri" w:cs="Calibri"/>
          <w:lang w:val="es-GT"/>
        </w:rPr>
        <w:t xml:space="preserve">la </w:t>
      </w:r>
      <w:r w:rsidRPr="001A01AB">
        <w:rPr>
          <w:rStyle w:val="eacep1"/>
          <w:rFonts w:ascii="Calibri" w:hAnsi="Calibri" w:cs="Calibri"/>
          <w:lang w:val="es-GT"/>
        </w:rPr>
        <w:t>degradación de zonas marino-costeras -con especial énfasis en la destrucción de manglares y sobrepesca-; el empobrecimiento, contaminación y erosión de suelos agrícolas y forestales; la sostenida pérdida de bosques, incluso dentro de “áreas naturales protegidas”; la merma de poblaciones naturales</w:t>
      </w:r>
      <w:r w:rsidR="00455DBB">
        <w:rPr>
          <w:rStyle w:val="eacep1"/>
          <w:rFonts w:ascii="Calibri" w:hAnsi="Calibri" w:cs="Calibri"/>
          <w:lang w:val="es-GT"/>
        </w:rPr>
        <w:t>;</w:t>
      </w:r>
      <w:r w:rsidRPr="001A01AB">
        <w:rPr>
          <w:rStyle w:val="eacep1"/>
          <w:rFonts w:ascii="Calibri" w:hAnsi="Calibri" w:cs="Calibri"/>
          <w:lang w:val="es-GT"/>
        </w:rPr>
        <w:t xml:space="preserve"> y la extinción definitiva de especies vegetales y animales. </w:t>
      </w:r>
    </w:p>
    <w:p w:rsidR="00455DBB" w:rsidRDefault="00455DBB" w:rsidP="002E085A">
      <w:pPr>
        <w:jc w:val="both"/>
        <w:rPr>
          <w:rStyle w:val="eacep1"/>
          <w:rFonts w:ascii="Calibri" w:hAnsi="Calibri" w:cs="Calibri"/>
          <w:lang w:val="es-GT"/>
        </w:rPr>
      </w:pPr>
    </w:p>
    <w:p w:rsidR="00424E4D" w:rsidRPr="001A01AB" w:rsidRDefault="00436A41" w:rsidP="002E085A">
      <w:pPr>
        <w:jc w:val="both"/>
        <w:rPr>
          <w:rStyle w:val="eacep1"/>
          <w:rFonts w:ascii="Calibri" w:hAnsi="Calibri" w:cs="Calibri"/>
          <w:lang w:val="es-GT"/>
        </w:rPr>
      </w:pPr>
      <w:r w:rsidRPr="001A01AB">
        <w:rPr>
          <w:rStyle w:val="eacep1"/>
          <w:rFonts w:ascii="Calibri" w:hAnsi="Calibri" w:cs="Calibri"/>
          <w:lang w:val="es-GT"/>
        </w:rPr>
        <w:t>Algunos de estos eventos se mantienen en niveles inusuales cuando se comparan con otros países de la región latinoamericana. Por ejemplo,</w:t>
      </w:r>
      <w:r w:rsidR="003C4B1C">
        <w:rPr>
          <w:rStyle w:val="eacep1"/>
          <w:rFonts w:ascii="Calibri" w:hAnsi="Calibri" w:cs="Calibri"/>
          <w:lang w:val="es-GT"/>
        </w:rPr>
        <w:t xml:space="preserve"> como se </w:t>
      </w:r>
      <w:r w:rsidR="00BC44FA">
        <w:rPr>
          <w:rStyle w:val="eacep1"/>
          <w:rFonts w:ascii="Calibri" w:hAnsi="Calibri" w:cs="Calibri"/>
          <w:lang w:val="es-GT"/>
        </w:rPr>
        <w:t>indicó</w:t>
      </w:r>
      <w:r w:rsidR="003C4B1C">
        <w:rPr>
          <w:rStyle w:val="eacep1"/>
          <w:rFonts w:ascii="Calibri" w:hAnsi="Calibri" w:cs="Calibri"/>
          <w:lang w:val="es-GT"/>
        </w:rPr>
        <w:t xml:space="preserve"> anteriormente,</w:t>
      </w:r>
      <w:r w:rsidR="00141A70">
        <w:rPr>
          <w:rStyle w:val="eacep1"/>
          <w:rFonts w:ascii="Calibri" w:hAnsi="Calibri" w:cs="Calibri"/>
          <w:lang w:val="es-GT"/>
        </w:rPr>
        <w:t xml:space="preserve"> </w:t>
      </w:r>
      <w:r w:rsidRPr="001A01AB">
        <w:rPr>
          <w:rStyle w:val="eacep1"/>
          <w:rFonts w:ascii="Calibri" w:hAnsi="Calibri" w:cs="Calibri"/>
          <w:lang w:val="es-GT"/>
        </w:rPr>
        <w:t xml:space="preserve">la deforestación bruta alcanzó 3.42% en el período 2006-2010. Estos ritmos de pérdida de bosque natural también tienen efectos en cadena en todos los componentes ambientales del ecosistema y a nivel local amenazan con intensificar las crisis en el ciclo hidrológico, en la disponibilidad de energía, en la estabilidad de las tierras, sobretodo en el período lluvioso, y consecuentemente en la producción de alimentos, entre otros. La </w:t>
      </w:r>
      <w:r w:rsidR="00BC44FA" w:rsidRPr="001A01AB">
        <w:rPr>
          <w:rStyle w:val="eacep1"/>
          <w:rFonts w:ascii="Calibri" w:hAnsi="Calibri" w:cs="Calibri"/>
          <w:lang w:val="es-GT"/>
        </w:rPr>
        <w:t>pérdida</w:t>
      </w:r>
      <w:r w:rsidRPr="001A01AB">
        <w:rPr>
          <w:rStyle w:val="eacep1"/>
          <w:rFonts w:ascii="Calibri" w:hAnsi="Calibri" w:cs="Calibri"/>
          <w:lang w:val="es-GT"/>
        </w:rPr>
        <w:t xml:space="preserve"> de bosques, que también es un indicador de la merma en la capacidad de fijación de gases con efecto invernadero, unida a la intensificación e incremento de los procesos productivos contaminantes, nos otorgan ahora, una condición de país emisor neto de gases con efecto invernadero.</w:t>
      </w:r>
    </w:p>
    <w:p w:rsidR="00424E4D" w:rsidRPr="001A01AB" w:rsidRDefault="00424E4D" w:rsidP="002E085A">
      <w:pPr>
        <w:autoSpaceDE w:val="0"/>
        <w:autoSpaceDN w:val="0"/>
        <w:adjustRightInd w:val="0"/>
        <w:jc w:val="both"/>
        <w:rPr>
          <w:rFonts w:ascii="Calibri" w:hAnsi="Calibri" w:cs="Calibri"/>
          <w:b/>
          <w:color w:val="17365D"/>
          <w:lang w:val="es-GT"/>
        </w:rPr>
      </w:pPr>
    </w:p>
    <w:p w:rsidR="00424E4D" w:rsidRPr="001A01AB" w:rsidRDefault="00436A41" w:rsidP="002E085A">
      <w:pPr>
        <w:jc w:val="both"/>
        <w:rPr>
          <w:rStyle w:val="eacep1"/>
          <w:rFonts w:ascii="Calibri" w:hAnsi="Calibri" w:cs="Calibri"/>
          <w:lang w:val="es-GT"/>
        </w:rPr>
      </w:pPr>
      <w:r w:rsidRPr="001A01AB">
        <w:rPr>
          <w:rStyle w:val="eacep1"/>
          <w:rFonts w:ascii="Calibri" w:hAnsi="Calibri" w:cs="Calibri"/>
          <w:lang w:val="es-GT"/>
        </w:rPr>
        <w:t>En</w:t>
      </w:r>
      <w:r w:rsidR="00141A70">
        <w:rPr>
          <w:rStyle w:val="eacep1"/>
          <w:rFonts w:ascii="Calibri" w:hAnsi="Calibri" w:cs="Calibri"/>
          <w:lang w:val="es-GT"/>
        </w:rPr>
        <w:t xml:space="preserve"> </w:t>
      </w:r>
      <w:r w:rsidRPr="001A01AB">
        <w:rPr>
          <w:rStyle w:val="eacep1"/>
          <w:rFonts w:ascii="Calibri" w:hAnsi="Calibri" w:cs="Calibri"/>
          <w:lang w:val="es-GT"/>
        </w:rPr>
        <w:t>el caso del agua, no</w:t>
      </w:r>
      <w:r w:rsidR="00141A70">
        <w:rPr>
          <w:rStyle w:val="eacep1"/>
          <w:rFonts w:ascii="Calibri" w:hAnsi="Calibri" w:cs="Calibri"/>
          <w:lang w:val="es-GT"/>
        </w:rPr>
        <w:t xml:space="preserve"> </w:t>
      </w:r>
      <w:r w:rsidRPr="001A01AB">
        <w:rPr>
          <w:rStyle w:val="eacep1"/>
          <w:rFonts w:ascii="Calibri" w:hAnsi="Calibri" w:cs="Calibri"/>
          <w:lang w:val="es-GT"/>
        </w:rPr>
        <w:t>existe</w:t>
      </w:r>
      <w:r w:rsidR="00141A70">
        <w:rPr>
          <w:rStyle w:val="eacep1"/>
          <w:rFonts w:ascii="Calibri" w:hAnsi="Calibri" w:cs="Calibri"/>
          <w:lang w:val="es-GT"/>
        </w:rPr>
        <w:t xml:space="preserve"> </w:t>
      </w:r>
      <w:r w:rsidRPr="001A01AB">
        <w:rPr>
          <w:rStyle w:val="eacep1"/>
          <w:rFonts w:ascii="Calibri" w:hAnsi="Calibri" w:cs="Calibri"/>
          <w:lang w:val="es-GT"/>
        </w:rPr>
        <w:t>un</w:t>
      </w:r>
      <w:r w:rsidR="00141A70">
        <w:rPr>
          <w:rStyle w:val="eacep1"/>
          <w:rFonts w:ascii="Calibri" w:hAnsi="Calibri" w:cs="Calibri"/>
          <w:lang w:val="es-GT"/>
        </w:rPr>
        <w:t xml:space="preserve"> </w:t>
      </w:r>
      <w:r w:rsidRPr="001A01AB">
        <w:rPr>
          <w:rStyle w:val="eacep1"/>
          <w:rFonts w:ascii="Calibri" w:hAnsi="Calibri" w:cs="Calibri"/>
          <w:lang w:val="es-GT"/>
        </w:rPr>
        <w:t>esquema de gestión</w:t>
      </w:r>
      <w:r w:rsidR="00141A70">
        <w:rPr>
          <w:rStyle w:val="eacep1"/>
          <w:rFonts w:ascii="Calibri" w:hAnsi="Calibri" w:cs="Calibri"/>
          <w:lang w:val="es-GT"/>
        </w:rPr>
        <w:t xml:space="preserve"> </w:t>
      </w:r>
      <w:r w:rsidRPr="001A01AB">
        <w:rPr>
          <w:rStyle w:val="eacep1"/>
          <w:rFonts w:ascii="Calibri" w:hAnsi="Calibri" w:cs="Calibri"/>
          <w:lang w:val="es-GT"/>
        </w:rPr>
        <w:t>que, considerando la</w:t>
      </w:r>
      <w:r w:rsidR="00141A70">
        <w:rPr>
          <w:rStyle w:val="eacep1"/>
          <w:rFonts w:ascii="Calibri" w:hAnsi="Calibri" w:cs="Calibri"/>
          <w:lang w:val="es-GT"/>
        </w:rPr>
        <w:t xml:space="preserve"> </w:t>
      </w:r>
      <w:r w:rsidRPr="001A01AB">
        <w:rPr>
          <w:rStyle w:val="eacep1"/>
          <w:rFonts w:ascii="Calibri" w:hAnsi="Calibri" w:cs="Calibri"/>
          <w:lang w:val="es-GT"/>
        </w:rPr>
        <w:t>oferta, -y todos los elementos naturales que la definen-</w:t>
      </w:r>
      <w:r w:rsidR="00141A70">
        <w:rPr>
          <w:rStyle w:val="eacep1"/>
          <w:rFonts w:ascii="Calibri" w:hAnsi="Calibri" w:cs="Calibri"/>
          <w:lang w:val="es-GT"/>
        </w:rPr>
        <w:t xml:space="preserve"> </w:t>
      </w:r>
      <w:r w:rsidRPr="001A01AB">
        <w:rPr>
          <w:rStyle w:val="eacep1"/>
          <w:rFonts w:ascii="Calibri" w:hAnsi="Calibri" w:cs="Calibri"/>
          <w:lang w:val="es-GT"/>
        </w:rPr>
        <w:t>garantice, como propósito fundamental,</w:t>
      </w:r>
      <w:r w:rsidR="00141A70">
        <w:rPr>
          <w:rStyle w:val="eacep1"/>
          <w:rFonts w:ascii="Calibri" w:hAnsi="Calibri" w:cs="Calibri"/>
          <w:lang w:val="es-GT"/>
        </w:rPr>
        <w:t xml:space="preserve"> </w:t>
      </w:r>
      <w:r w:rsidRPr="001A01AB">
        <w:rPr>
          <w:rStyle w:val="eacep1"/>
          <w:rFonts w:ascii="Calibri" w:hAnsi="Calibri" w:cs="Calibri"/>
          <w:lang w:val="es-GT"/>
        </w:rPr>
        <w:t>la provisión equitativa y eficiente de agua en cantidad, calidad y de manera permanente para todos los tipos de demanda nacional -consumo humano, usos productivos, recreativos, ecológicos, entre otros-.</w:t>
      </w:r>
      <w:r w:rsidR="00141A70">
        <w:rPr>
          <w:rStyle w:val="eacep1"/>
          <w:rFonts w:ascii="Calibri" w:hAnsi="Calibri" w:cs="Calibri"/>
          <w:lang w:val="es-GT"/>
        </w:rPr>
        <w:t xml:space="preserve"> </w:t>
      </w:r>
      <w:r w:rsidRPr="001A01AB">
        <w:rPr>
          <w:rStyle w:val="eacep1"/>
          <w:rFonts w:ascii="Calibri" w:hAnsi="Calibri" w:cs="Calibri"/>
          <w:lang w:val="es-GT"/>
        </w:rPr>
        <w:t>Casos d</w:t>
      </w:r>
      <w:r w:rsidR="00455DBB">
        <w:rPr>
          <w:rStyle w:val="eacep1"/>
          <w:rFonts w:ascii="Calibri" w:hAnsi="Calibri" w:cs="Calibri"/>
          <w:lang w:val="es-GT"/>
        </w:rPr>
        <w:t>e gestión conducidos desde las m</w:t>
      </w:r>
      <w:r w:rsidRPr="001A01AB">
        <w:rPr>
          <w:rStyle w:val="eacep1"/>
          <w:rFonts w:ascii="Calibri" w:hAnsi="Calibri" w:cs="Calibri"/>
          <w:lang w:val="es-GT"/>
        </w:rPr>
        <w:t>unicipalidades</w:t>
      </w:r>
      <w:r w:rsidR="00455DBB">
        <w:rPr>
          <w:rStyle w:val="eacep1"/>
          <w:rFonts w:ascii="Calibri" w:hAnsi="Calibri" w:cs="Calibri"/>
          <w:lang w:val="es-GT"/>
        </w:rPr>
        <w:t>,</w:t>
      </w:r>
      <w:r w:rsidRPr="001A01AB">
        <w:rPr>
          <w:rStyle w:val="eacep1"/>
          <w:rFonts w:ascii="Calibri" w:hAnsi="Calibri" w:cs="Calibri"/>
          <w:lang w:val="es-GT"/>
        </w:rPr>
        <w:t xml:space="preserve"> o bien desde ámbitos privados </w:t>
      </w:r>
      <w:r w:rsidR="00BC44FA">
        <w:rPr>
          <w:rStyle w:val="eacep1"/>
          <w:rFonts w:ascii="Calibri" w:hAnsi="Calibri" w:cs="Calibri"/>
          <w:lang w:val="es-GT"/>
        </w:rPr>
        <w:t xml:space="preserve">                     </w:t>
      </w:r>
      <w:r w:rsidRPr="001A01AB">
        <w:rPr>
          <w:rStyle w:val="eacep1"/>
          <w:rFonts w:ascii="Calibri" w:hAnsi="Calibri" w:cs="Calibri"/>
          <w:lang w:val="es-GT"/>
        </w:rPr>
        <w:t>-empresariales o comunitarios-</w:t>
      </w:r>
      <w:r w:rsidR="00141A70">
        <w:rPr>
          <w:rStyle w:val="eacep1"/>
          <w:rFonts w:ascii="Calibri" w:hAnsi="Calibri" w:cs="Calibri"/>
          <w:lang w:val="es-GT"/>
        </w:rPr>
        <w:t xml:space="preserve"> </w:t>
      </w:r>
      <w:r w:rsidRPr="001A01AB">
        <w:rPr>
          <w:rStyle w:val="eacep1"/>
          <w:rFonts w:ascii="Calibri" w:hAnsi="Calibri" w:cs="Calibri"/>
          <w:lang w:val="es-GT"/>
        </w:rPr>
        <w:t>para garantizar el consumo humano</w:t>
      </w:r>
      <w:r w:rsidR="00455DBB">
        <w:rPr>
          <w:rStyle w:val="eacep1"/>
          <w:rFonts w:ascii="Calibri" w:hAnsi="Calibri" w:cs="Calibri"/>
          <w:lang w:val="es-GT"/>
        </w:rPr>
        <w:t>,</w:t>
      </w:r>
      <w:r w:rsidRPr="001A01AB">
        <w:rPr>
          <w:rStyle w:val="eacep1"/>
          <w:rFonts w:ascii="Calibri" w:hAnsi="Calibri" w:cs="Calibri"/>
          <w:lang w:val="es-GT"/>
        </w:rPr>
        <w:t xml:space="preserve"> no dejan de ser aislados y en última instancia, parciales en soluciones, pues carecen de enfoques territoriales, de fundamento técnico -al menos análisis de oferta y demanda-</w:t>
      </w:r>
      <w:r w:rsidR="00141A70">
        <w:rPr>
          <w:rStyle w:val="eacep1"/>
          <w:rFonts w:ascii="Calibri" w:hAnsi="Calibri" w:cs="Calibri"/>
          <w:lang w:val="es-GT"/>
        </w:rPr>
        <w:t xml:space="preserve"> </w:t>
      </w:r>
      <w:r w:rsidRPr="001A01AB">
        <w:rPr>
          <w:rStyle w:val="eacep1"/>
          <w:rFonts w:ascii="Calibri" w:hAnsi="Calibri" w:cs="Calibri"/>
          <w:lang w:val="es-GT"/>
        </w:rPr>
        <w:t>y visión de largo plazo. Al estar centrados en el consumo humano, estos esfue</w:t>
      </w:r>
      <w:r w:rsidR="00455DBB">
        <w:rPr>
          <w:rStyle w:val="eacep1"/>
          <w:rFonts w:ascii="Calibri" w:hAnsi="Calibri" w:cs="Calibri"/>
          <w:lang w:val="es-GT"/>
        </w:rPr>
        <w:t>rzos de gestión se relacionan só</w:t>
      </w:r>
      <w:r w:rsidRPr="001A01AB">
        <w:rPr>
          <w:rStyle w:val="eacep1"/>
          <w:rFonts w:ascii="Calibri" w:hAnsi="Calibri" w:cs="Calibri"/>
          <w:lang w:val="es-GT"/>
        </w:rPr>
        <w:t>lo con el 2.5% del total de agua que se utiliza a</w:t>
      </w:r>
      <w:r w:rsidR="00141A70">
        <w:rPr>
          <w:rStyle w:val="eacep1"/>
          <w:rFonts w:ascii="Calibri" w:hAnsi="Calibri" w:cs="Calibri"/>
          <w:lang w:val="es-GT"/>
        </w:rPr>
        <w:t xml:space="preserve"> </w:t>
      </w:r>
      <w:r w:rsidRPr="001A01AB">
        <w:rPr>
          <w:rStyle w:val="eacep1"/>
          <w:rFonts w:ascii="Calibri" w:hAnsi="Calibri" w:cs="Calibri"/>
          <w:lang w:val="es-GT"/>
        </w:rPr>
        <w:t>nivel nacional. En general, el uso del agua es totalmente anárquico. Se utilizan fuentes superficiales o se perforan pozos</w:t>
      </w:r>
      <w:r w:rsidR="00141A70">
        <w:rPr>
          <w:rStyle w:val="eacep1"/>
          <w:rFonts w:ascii="Calibri" w:hAnsi="Calibri" w:cs="Calibri"/>
          <w:lang w:val="es-GT"/>
        </w:rPr>
        <w:t xml:space="preserve"> </w:t>
      </w:r>
      <w:r w:rsidRPr="001A01AB">
        <w:rPr>
          <w:rStyle w:val="eacep1"/>
          <w:rFonts w:ascii="Calibri" w:hAnsi="Calibri" w:cs="Calibri"/>
          <w:lang w:val="es-GT"/>
        </w:rPr>
        <w:t>sin ningún control para aprovechar agua subterránea. Estos hallazgos en relación a la utilización del agua generan vulnerabilidad al sistema.</w:t>
      </w:r>
    </w:p>
    <w:p w:rsidR="00424E4D" w:rsidRPr="001A01AB" w:rsidRDefault="00424E4D" w:rsidP="002E085A">
      <w:pPr>
        <w:jc w:val="both"/>
        <w:rPr>
          <w:rStyle w:val="eacep1"/>
          <w:rFonts w:ascii="Calibri" w:hAnsi="Calibri" w:cs="Calibri"/>
          <w:lang w:val="es-GT"/>
        </w:rPr>
      </w:pPr>
    </w:p>
    <w:p w:rsidR="00424E4D" w:rsidRPr="001A01AB" w:rsidRDefault="00436A41" w:rsidP="002E085A">
      <w:pPr>
        <w:jc w:val="both"/>
        <w:rPr>
          <w:rStyle w:val="eacep1"/>
          <w:rFonts w:ascii="Calibri" w:hAnsi="Calibri" w:cs="Calibri"/>
          <w:lang w:val="es-GT"/>
        </w:rPr>
      </w:pPr>
      <w:r w:rsidRPr="001A01AB">
        <w:rPr>
          <w:rStyle w:val="eacep1"/>
          <w:rFonts w:ascii="Calibri" w:hAnsi="Calibri" w:cs="Calibri"/>
          <w:i/>
          <w:lang w:val="es-GT"/>
        </w:rPr>
        <w:lastRenderedPageBreak/>
        <w:t>La segunda dimensión se refiere a la vulnerabilidad derivada de características sociales, incluyendo aspectos demográficos y culturales, es decir, del subsistema social</w:t>
      </w:r>
      <w:r w:rsidRPr="001A01AB">
        <w:rPr>
          <w:rStyle w:val="eacep1"/>
          <w:rFonts w:ascii="Calibri" w:hAnsi="Calibri" w:cs="Calibri"/>
          <w:lang w:val="es-GT"/>
        </w:rPr>
        <w:t>. Aunque no es el objeto de esta sección profundizar en estos aspectos, es imprescindible indicar que los niveles de pobreza que afectan a la población guatemalteca</w:t>
      </w:r>
      <w:r w:rsidR="00455DBB">
        <w:rPr>
          <w:rStyle w:val="eacep1"/>
          <w:rFonts w:ascii="Calibri" w:hAnsi="Calibri" w:cs="Calibri"/>
          <w:lang w:val="es-GT"/>
        </w:rPr>
        <w:t>,</w:t>
      </w:r>
      <w:r w:rsidRPr="001A01AB">
        <w:rPr>
          <w:rStyle w:val="eacep1"/>
          <w:rFonts w:ascii="Calibri" w:hAnsi="Calibri" w:cs="Calibri"/>
          <w:lang w:val="es-GT"/>
        </w:rPr>
        <w:t xml:space="preserve"> y que se deriva de un “proceso de desarrollo” desigual y excluyente, son determinantes en la explicación de nuestros niveles sociales de vulnerabilidad.</w:t>
      </w:r>
      <w:r w:rsidR="00141A70">
        <w:rPr>
          <w:rStyle w:val="eacep1"/>
          <w:rFonts w:ascii="Calibri" w:hAnsi="Calibri" w:cs="Calibri"/>
          <w:lang w:val="es-GT"/>
        </w:rPr>
        <w:t xml:space="preserve"> </w:t>
      </w:r>
      <w:r w:rsidRPr="001A01AB">
        <w:rPr>
          <w:rStyle w:val="eacep1"/>
          <w:rFonts w:ascii="Calibri" w:hAnsi="Calibri" w:cs="Calibri"/>
          <w:lang w:val="es-GT"/>
        </w:rPr>
        <w:t xml:space="preserve">Las cifras oficiales indican que para el año 2011, el 53.75% de la población guatemalteca está en condiciones de pobreza y el 13.33% en condiciones de pobreza extrema. </w:t>
      </w:r>
      <w:r w:rsidRPr="001A01AB">
        <w:rPr>
          <w:rFonts w:ascii="Calibri" w:hAnsi="Calibri" w:cs="Calibri"/>
          <w:lang w:val="es-GT"/>
        </w:rPr>
        <w:t>En la realidad de los países latinoamericanos se plantea que la pobreza es la que tiene mayor impacto en el acceso a alimentos, medios de vida (viviendas seguras, por ejemplo), seguridad económica y oportunidades en general. Es por ello que, para el año 2009,</w:t>
      </w:r>
      <w:r w:rsidR="00141A70">
        <w:rPr>
          <w:rFonts w:ascii="Calibri" w:hAnsi="Calibri" w:cs="Calibri"/>
          <w:lang w:val="es-GT"/>
        </w:rPr>
        <w:t xml:space="preserve"> </w:t>
      </w:r>
      <w:r w:rsidRPr="001A01AB">
        <w:rPr>
          <w:rFonts w:ascii="Calibri" w:hAnsi="Calibri" w:cs="Calibri"/>
          <w:lang w:val="es-GT"/>
        </w:rPr>
        <w:t>se reportó que el 1.4% de los niños menores de cinco años padecía de desnutrición aguda y casi el 50% de desnutrición crónica.</w:t>
      </w:r>
      <w:r w:rsidR="00141A70">
        <w:rPr>
          <w:rFonts w:ascii="Calibri" w:hAnsi="Calibri" w:cs="Calibri"/>
          <w:lang w:val="es-GT"/>
        </w:rPr>
        <w:t xml:space="preserve"> </w:t>
      </w:r>
    </w:p>
    <w:p w:rsidR="002E085A" w:rsidRPr="001A01AB" w:rsidRDefault="002E085A" w:rsidP="002E085A">
      <w:pPr>
        <w:jc w:val="both"/>
        <w:rPr>
          <w:rFonts w:ascii="Calibri" w:hAnsi="Calibri" w:cs="Calibri"/>
          <w:i/>
          <w:lang w:val="es-GT"/>
        </w:rPr>
      </w:pPr>
    </w:p>
    <w:p w:rsidR="00424E4D" w:rsidRPr="001A01AB" w:rsidRDefault="00436A41" w:rsidP="002E085A">
      <w:pPr>
        <w:jc w:val="both"/>
        <w:rPr>
          <w:rFonts w:ascii="Calibri" w:hAnsi="Calibri" w:cs="Calibri"/>
          <w:lang w:val="es-GT"/>
        </w:rPr>
      </w:pPr>
      <w:r w:rsidRPr="001A01AB">
        <w:rPr>
          <w:rFonts w:ascii="Calibri" w:hAnsi="Calibri" w:cs="Calibri"/>
          <w:i/>
          <w:lang w:val="es-GT"/>
        </w:rPr>
        <w:t>La tercera dimensión se refiere a la vulnerabilidad derivada de las características del subsistema económico establecido</w:t>
      </w:r>
      <w:r w:rsidRPr="001A01AB">
        <w:rPr>
          <w:rFonts w:ascii="Calibri" w:hAnsi="Calibri" w:cs="Calibri"/>
          <w:lang w:val="es-GT"/>
        </w:rPr>
        <w:t>.</w:t>
      </w:r>
      <w:r w:rsidR="00141A70">
        <w:rPr>
          <w:rFonts w:ascii="Calibri" w:hAnsi="Calibri" w:cs="Calibri"/>
          <w:lang w:val="es-GT"/>
        </w:rPr>
        <w:t xml:space="preserve"> </w:t>
      </w:r>
      <w:r w:rsidRPr="001A01AB">
        <w:rPr>
          <w:rFonts w:ascii="Calibri" w:hAnsi="Calibri" w:cs="Calibri"/>
          <w:lang w:val="es-GT"/>
        </w:rPr>
        <w:t>Se refiere no solo a la vulnerabilidad del subsistema en sí mismo, sino también, a las contribuciones que éste tiene para inducir la vulnerabilidad derivada de la calidad del subsistema natural y del subsistema social. En</w:t>
      </w:r>
      <w:r w:rsidR="00455DBB">
        <w:rPr>
          <w:rFonts w:ascii="Calibri" w:hAnsi="Calibri" w:cs="Calibri"/>
          <w:lang w:val="es-GT"/>
        </w:rPr>
        <w:t xml:space="preserve"> el primer caso, García Lara </w:t>
      </w:r>
      <w:r w:rsidR="00455DBB" w:rsidRPr="00455DBB">
        <w:rPr>
          <w:rFonts w:ascii="Calibri" w:hAnsi="Calibri" w:cs="Calibri"/>
          <w:i/>
          <w:lang w:val="es-GT"/>
        </w:rPr>
        <w:t>et</w:t>
      </w:r>
      <w:r w:rsidRPr="00455DBB">
        <w:rPr>
          <w:rFonts w:ascii="Calibri" w:hAnsi="Calibri" w:cs="Calibri"/>
          <w:i/>
          <w:lang w:val="es-GT"/>
        </w:rPr>
        <w:t xml:space="preserve"> al</w:t>
      </w:r>
      <w:r w:rsidR="00455DBB" w:rsidRPr="00455DBB">
        <w:rPr>
          <w:rFonts w:ascii="Calibri" w:hAnsi="Calibri" w:cs="Calibri"/>
          <w:i/>
          <w:lang w:val="es-GT"/>
        </w:rPr>
        <w:t>.</w:t>
      </w:r>
      <w:r w:rsidRPr="001A01AB">
        <w:rPr>
          <w:rFonts w:ascii="Calibri" w:hAnsi="Calibri" w:cs="Calibri"/>
          <w:lang w:val="es-GT"/>
        </w:rPr>
        <w:t xml:space="preserve"> (2010) indican que al sistema económico nacional tiene un crecimiento mediocre.</w:t>
      </w:r>
      <w:r w:rsidR="00141A70">
        <w:rPr>
          <w:rFonts w:ascii="Calibri" w:hAnsi="Calibri" w:cs="Calibri"/>
          <w:lang w:val="es-GT"/>
        </w:rPr>
        <w:t xml:space="preserve"> </w:t>
      </w:r>
      <w:r w:rsidRPr="001A01AB">
        <w:rPr>
          <w:rFonts w:ascii="Calibri" w:hAnsi="Calibri" w:cs="Calibri"/>
          <w:lang w:val="es-GT"/>
        </w:rPr>
        <w:t>Según el Banco de Guatemala, la economía creció 3.3, 0.5 y 2.8 en 2008, 2009 y 2010</w:t>
      </w:r>
      <w:r w:rsidR="00455DBB">
        <w:rPr>
          <w:rFonts w:ascii="Calibri" w:hAnsi="Calibri" w:cs="Calibri"/>
          <w:lang w:val="es-GT"/>
        </w:rPr>
        <w:t>,</w:t>
      </w:r>
      <w:r w:rsidRPr="001A01AB">
        <w:rPr>
          <w:rFonts w:ascii="Calibri" w:hAnsi="Calibri" w:cs="Calibri"/>
          <w:lang w:val="es-GT"/>
        </w:rPr>
        <w:t xml:space="preserve"> respectivamente.</w:t>
      </w:r>
      <w:r w:rsidR="00141A70">
        <w:rPr>
          <w:rFonts w:ascii="Calibri" w:hAnsi="Calibri" w:cs="Calibri"/>
          <w:lang w:val="es-GT"/>
        </w:rPr>
        <w:t xml:space="preserve"> </w:t>
      </w:r>
      <w:r w:rsidRPr="001A01AB">
        <w:rPr>
          <w:rFonts w:ascii="Calibri" w:hAnsi="Calibri" w:cs="Calibri"/>
          <w:lang w:val="es-GT"/>
        </w:rPr>
        <w:t>Este crecimiento no solo es limitado</w:t>
      </w:r>
      <w:r w:rsidR="00455DBB">
        <w:rPr>
          <w:rFonts w:ascii="Calibri" w:hAnsi="Calibri" w:cs="Calibri"/>
          <w:lang w:val="es-GT"/>
        </w:rPr>
        <w:t>, si</w:t>
      </w:r>
      <w:r w:rsidRPr="001A01AB">
        <w:rPr>
          <w:rFonts w:ascii="Calibri" w:hAnsi="Calibri" w:cs="Calibri"/>
          <w:lang w:val="es-GT"/>
        </w:rPr>
        <w:t>no que está fuertemente concentrado. Bajo el enfoque de ingresos, para el año 2009, se estima que del Producto Interno Bruto total, el 30.6% correspondió a remuneración de asalariados, el 6.8% a impuestos netos sobre producción e importaciones y el 62.6% a los ingresos de las empresas</w:t>
      </w:r>
      <w:r w:rsidR="00455DBB">
        <w:rPr>
          <w:rFonts w:ascii="Calibri" w:hAnsi="Calibri" w:cs="Calibri"/>
          <w:lang w:val="es-GT"/>
        </w:rPr>
        <w:t>,</w:t>
      </w:r>
      <w:r w:rsidRPr="001A01AB">
        <w:rPr>
          <w:rFonts w:ascii="Calibri" w:hAnsi="Calibri" w:cs="Calibri"/>
          <w:lang w:val="es-GT"/>
        </w:rPr>
        <w:t xml:space="preserve"> incluyendo aquellas constituidas a nivel de hogares. Transitar hacia un sistema con menor vulnerabilidad derivada de la economía, significa, en términos generales, generar condiciones para mejorar las proporciones equivalentes al empleo y a los impuestos, pero sobretodo, modificar los criterios de inversión pública para generar infraestructura de beneficio social a fin de que se amplíe el número de beneficiarios de los ingresos correspondientes al capital.</w:t>
      </w:r>
    </w:p>
    <w:p w:rsidR="002E085A" w:rsidRPr="001A01AB" w:rsidRDefault="002E085A" w:rsidP="002E085A">
      <w:pPr>
        <w:jc w:val="both"/>
        <w:rPr>
          <w:rFonts w:ascii="Calibri" w:hAnsi="Calibri" w:cs="Calibri"/>
          <w:lang w:val="es-GT"/>
        </w:rPr>
      </w:pPr>
    </w:p>
    <w:p w:rsidR="00424E4D" w:rsidRPr="001A01AB" w:rsidRDefault="00436A41" w:rsidP="002E085A">
      <w:pPr>
        <w:jc w:val="both"/>
        <w:rPr>
          <w:rFonts w:ascii="Calibri" w:hAnsi="Calibri" w:cs="Calibri"/>
          <w:noProof/>
          <w:color w:val="000000"/>
          <w:lang w:val="es-GT"/>
        </w:rPr>
      </w:pPr>
      <w:r w:rsidRPr="001A01AB">
        <w:rPr>
          <w:rFonts w:ascii="Calibri" w:hAnsi="Calibri" w:cs="Calibri"/>
          <w:lang w:val="es-GT"/>
        </w:rPr>
        <w:t>En el segundo caso, está ampliamente documentado que el subsistema económico de Guatemala, fuertemente dominado por el extractivismo irracional,</w:t>
      </w:r>
      <w:r w:rsidR="00141A70">
        <w:rPr>
          <w:rFonts w:ascii="Calibri" w:hAnsi="Calibri" w:cs="Calibri"/>
          <w:lang w:val="es-GT"/>
        </w:rPr>
        <w:t xml:space="preserve"> </w:t>
      </w:r>
      <w:r w:rsidRPr="001A01AB">
        <w:rPr>
          <w:rFonts w:ascii="Calibri" w:hAnsi="Calibri" w:cs="Calibri"/>
          <w:lang w:val="es-GT"/>
        </w:rPr>
        <w:t xml:space="preserve">tiene dos rasgos esenciales: (i) de </w:t>
      </w:r>
      <w:r w:rsidRPr="001A01AB">
        <w:rPr>
          <w:rFonts w:ascii="Calibri" w:hAnsi="Calibri" w:cs="Calibri"/>
          <w:color w:val="000000"/>
          <w:lang w:val="es-GT"/>
        </w:rPr>
        <w:t>agotamiento, degradación y contaminación en la dimensión ambiental -que impide la capacidad</w:t>
      </w:r>
      <w:r w:rsidR="00455DBB">
        <w:rPr>
          <w:rFonts w:ascii="Calibri" w:hAnsi="Calibri" w:cs="Calibri"/>
          <w:color w:val="000000"/>
          <w:lang w:val="es-GT"/>
        </w:rPr>
        <w:t xml:space="preserve"> natural de auto recuperación-</w:t>
      </w:r>
      <w:r w:rsidRPr="001A01AB">
        <w:rPr>
          <w:rFonts w:ascii="Calibri" w:hAnsi="Calibri" w:cs="Calibri"/>
          <w:color w:val="000000"/>
          <w:lang w:val="es-GT"/>
        </w:rPr>
        <w:t>;</w:t>
      </w:r>
      <w:r w:rsidR="00455DBB">
        <w:rPr>
          <w:rFonts w:ascii="Calibri" w:hAnsi="Calibri" w:cs="Calibri"/>
          <w:color w:val="000000"/>
          <w:lang w:val="es-GT"/>
        </w:rPr>
        <w:t xml:space="preserve"> y</w:t>
      </w:r>
      <w:r w:rsidRPr="001A01AB">
        <w:rPr>
          <w:rFonts w:ascii="Calibri" w:hAnsi="Calibri" w:cs="Calibri"/>
          <w:color w:val="000000"/>
          <w:lang w:val="es-GT"/>
        </w:rPr>
        <w:t xml:space="preserve"> (ii) de desigualdad y exclusión en la dimensión social. Bajo estas consideraciones, paradójicamente, este subsistema se constituye en una de las principales fuerzas impulsoras de la vulnerabilidad sistémica -del país y de territorios específicos- debida a los subsistemas natural y social.</w:t>
      </w:r>
      <w:r w:rsidRPr="001A01AB">
        <w:rPr>
          <w:rFonts w:ascii="Calibri" w:hAnsi="Calibri" w:cs="Calibri"/>
          <w:noProof/>
          <w:color w:val="000000"/>
          <w:lang w:val="es-GT"/>
        </w:rPr>
        <w:t xml:space="preserve"> </w:t>
      </w:r>
    </w:p>
    <w:p w:rsidR="00424E4D" w:rsidRPr="001A01AB" w:rsidRDefault="00424E4D" w:rsidP="002E085A">
      <w:pPr>
        <w:jc w:val="both"/>
        <w:rPr>
          <w:rFonts w:ascii="Calibri" w:hAnsi="Calibri" w:cs="Calibri"/>
          <w:noProof/>
          <w:color w:val="000000"/>
          <w:lang w:val="es-GT"/>
        </w:rPr>
      </w:pPr>
    </w:p>
    <w:p w:rsidR="00424E4D" w:rsidRDefault="00436A41" w:rsidP="002E085A">
      <w:pPr>
        <w:jc w:val="both"/>
        <w:rPr>
          <w:rFonts w:ascii="Calibri" w:hAnsi="Calibri" w:cs="Calibri"/>
          <w:color w:val="2A2A2A"/>
          <w:lang w:val="es-GT"/>
        </w:rPr>
      </w:pPr>
      <w:r w:rsidRPr="001A01AB">
        <w:rPr>
          <w:rFonts w:ascii="Calibri" w:hAnsi="Calibri" w:cs="Calibri"/>
          <w:i/>
          <w:color w:val="000000"/>
          <w:lang w:val="es-GT"/>
        </w:rPr>
        <w:t>La cuarta dimensión se refiere a la vulnerabilidad derivada de la calidad de las instituciones, es decir al subsistema institucional</w:t>
      </w:r>
      <w:r w:rsidRPr="001A01AB">
        <w:rPr>
          <w:rFonts w:ascii="Calibri" w:hAnsi="Calibri" w:cs="Calibri"/>
          <w:color w:val="000000"/>
          <w:lang w:val="es-GT"/>
        </w:rPr>
        <w:t xml:space="preserve">. </w:t>
      </w:r>
      <w:r w:rsidRPr="001A01AB">
        <w:rPr>
          <w:rFonts w:ascii="Calibri" w:hAnsi="Calibri" w:cs="Calibri"/>
          <w:color w:val="2A2A2A"/>
          <w:lang w:val="es-GT"/>
        </w:rPr>
        <w:t>Bajo un enfoque sistémico</w:t>
      </w:r>
      <w:r w:rsidR="00455DBB">
        <w:rPr>
          <w:rFonts w:ascii="Calibri" w:hAnsi="Calibri" w:cs="Calibri"/>
          <w:color w:val="2A2A2A"/>
          <w:lang w:val="es-GT"/>
        </w:rPr>
        <w:t>,</w:t>
      </w:r>
      <w:r w:rsidRPr="001A01AB">
        <w:rPr>
          <w:rFonts w:ascii="Calibri" w:hAnsi="Calibri" w:cs="Calibri"/>
          <w:color w:val="2A2A2A"/>
          <w:lang w:val="es-GT"/>
        </w:rPr>
        <w:t xml:space="preserve"> para el análisis de la vulnerabilidad, como el adoptado en esta sección,</w:t>
      </w:r>
      <w:r w:rsidR="00141A70">
        <w:rPr>
          <w:rFonts w:ascii="Calibri" w:hAnsi="Calibri" w:cs="Calibri"/>
          <w:color w:val="2A2A2A"/>
          <w:lang w:val="es-GT"/>
        </w:rPr>
        <w:t xml:space="preserve"> </w:t>
      </w:r>
      <w:r w:rsidRPr="001A01AB">
        <w:rPr>
          <w:rFonts w:ascii="Calibri" w:hAnsi="Calibri" w:cs="Calibri"/>
          <w:color w:val="2A2A2A"/>
          <w:lang w:val="es-GT"/>
        </w:rPr>
        <w:t xml:space="preserve">las instituciones de carácter público están concebidas, entre otros aspectos, para generar balances entre los subsistemas -anteriormente abordados-, evitar excesos, procurar el bien común, evitar exclusiones, estimular o regular dinámicas en función de la maximización de los beneficios nacionales, evitar privilegios, evitar la depauperación de la persona, en fin, evitar que las libertades de uno comprometan las libertades de otro. Si bien resulta ingenuo hablar de autonomía frente a los países geopolíticamente dominantes, </w:t>
      </w:r>
      <w:r w:rsidRPr="001A01AB">
        <w:rPr>
          <w:rFonts w:ascii="Calibri" w:hAnsi="Calibri" w:cs="Calibri"/>
          <w:color w:val="2A2A2A"/>
          <w:lang w:val="es-GT"/>
        </w:rPr>
        <w:lastRenderedPageBreak/>
        <w:t xml:space="preserve">instituciones funcionales también podrían sustentar relaciones más dignas cuando de negociar con éstos se trata. </w:t>
      </w:r>
    </w:p>
    <w:p w:rsidR="00455DBB" w:rsidRPr="001A01AB" w:rsidRDefault="00455DBB" w:rsidP="002E085A">
      <w:pPr>
        <w:jc w:val="both"/>
        <w:rPr>
          <w:rFonts w:ascii="Calibri" w:hAnsi="Calibri" w:cs="Calibri"/>
          <w:color w:val="2A2A2A"/>
          <w:lang w:val="es-GT"/>
        </w:rPr>
      </w:pPr>
    </w:p>
    <w:p w:rsidR="00455DBB" w:rsidRDefault="00436A41" w:rsidP="002E085A">
      <w:pPr>
        <w:jc w:val="both"/>
        <w:rPr>
          <w:rFonts w:ascii="Calibri" w:hAnsi="Calibri" w:cs="Calibri"/>
          <w:lang w:val="es-GT"/>
        </w:rPr>
      </w:pPr>
      <w:r w:rsidRPr="001A01AB">
        <w:rPr>
          <w:rFonts w:ascii="Calibri" w:hAnsi="Calibri" w:cs="Calibri"/>
          <w:lang w:val="es-GT"/>
        </w:rPr>
        <w:t>Cuando el conglomerado de instituciones es disfuncional -cuantitativa y cualitativamente hablando-</w:t>
      </w:r>
      <w:r w:rsidR="00455DBB">
        <w:rPr>
          <w:rFonts w:ascii="Calibri" w:hAnsi="Calibri" w:cs="Calibri"/>
          <w:lang w:val="es-GT"/>
        </w:rPr>
        <w:t>,</w:t>
      </w:r>
      <w:r w:rsidRPr="001A01AB">
        <w:rPr>
          <w:rFonts w:ascii="Calibri" w:hAnsi="Calibri" w:cs="Calibri"/>
          <w:lang w:val="es-GT"/>
        </w:rPr>
        <w:t xml:space="preserve"> sucede lo contrario en todos los aspectos arriba citados. Este es el caso en Guatemala, para la institucionalidad pública en general y para aquella que tiene que ver con la gestión del riesgo. Esa disfuncionalidad se debe a una subordinación absoluta de las instituciones a poderes económicos y políticos que</w:t>
      </w:r>
      <w:r w:rsidR="00455DBB">
        <w:rPr>
          <w:rFonts w:ascii="Calibri" w:hAnsi="Calibri" w:cs="Calibri"/>
          <w:lang w:val="es-GT"/>
        </w:rPr>
        <w:t>,</w:t>
      </w:r>
      <w:r w:rsidRPr="001A01AB">
        <w:rPr>
          <w:rFonts w:ascii="Calibri" w:hAnsi="Calibri" w:cs="Calibri"/>
          <w:lang w:val="es-GT"/>
        </w:rPr>
        <w:t xml:space="preserve"> en contubernio</w:t>
      </w:r>
      <w:r w:rsidR="00455DBB">
        <w:rPr>
          <w:rFonts w:ascii="Calibri" w:hAnsi="Calibri" w:cs="Calibri"/>
          <w:lang w:val="es-GT"/>
        </w:rPr>
        <w:t>,</w:t>
      </w:r>
      <w:r w:rsidRPr="001A01AB">
        <w:rPr>
          <w:rFonts w:ascii="Calibri" w:hAnsi="Calibri" w:cs="Calibri"/>
          <w:lang w:val="es-GT"/>
        </w:rPr>
        <w:t xml:space="preserve"> definen los destinos del país. Las instituciones están casi absolutamente al servicio de estos intereses. Los procesos de creación de nuevas entidades, casi invariablemente, aunque sean concebidos apropiadamente, se desarrollan al amparo y en favor de estos intereses. </w:t>
      </w:r>
    </w:p>
    <w:p w:rsidR="00455DBB" w:rsidRDefault="00455DBB" w:rsidP="002E085A">
      <w:pPr>
        <w:jc w:val="both"/>
        <w:rPr>
          <w:rFonts w:ascii="Calibri" w:hAnsi="Calibri" w:cs="Calibri"/>
          <w:lang w:val="es-GT"/>
        </w:rPr>
      </w:pPr>
    </w:p>
    <w:p w:rsidR="00424E4D" w:rsidRPr="001A01AB" w:rsidRDefault="00436A41" w:rsidP="002E085A">
      <w:pPr>
        <w:jc w:val="both"/>
        <w:rPr>
          <w:rFonts w:ascii="Calibri" w:hAnsi="Calibri" w:cs="Calibri"/>
          <w:lang w:val="es-GT"/>
        </w:rPr>
      </w:pPr>
      <w:r w:rsidRPr="001A01AB">
        <w:rPr>
          <w:rFonts w:ascii="Calibri" w:hAnsi="Calibri" w:cs="Calibri"/>
          <w:lang w:val="es-GT"/>
        </w:rPr>
        <w:t>Las consecuencias, además del obvio y sostenido desprestigio institucional,</w:t>
      </w:r>
      <w:r w:rsidR="00141A70">
        <w:rPr>
          <w:rFonts w:ascii="Calibri" w:hAnsi="Calibri" w:cs="Calibri"/>
          <w:lang w:val="es-GT"/>
        </w:rPr>
        <w:t xml:space="preserve"> </w:t>
      </w:r>
      <w:r w:rsidRPr="001A01AB">
        <w:rPr>
          <w:rFonts w:ascii="Calibri" w:hAnsi="Calibri" w:cs="Calibri"/>
          <w:lang w:val="es-GT"/>
        </w:rPr>
        <w:t>son las tremendas exclusiones sociales, una crisis ambiental de enormes dimensiones e incontenibles trayectorias, un excesivo desorden en la ocupación del territorio (por urbanismo, comunicaciones, infraestructura de servicios públicos, por ejemplo), la incapacidad de</w:t>
      </w:r>
      <w:r w:rsidR="00141A70">
        <w:rPr>
          <w:rFonts w:ascii="Calibri" w:hAnsi="Calibri" w:cs="Calibri"/>
          <w:lang w:val="es-GT"/>
        </w:rPr>
        <w:t xml:space="preserve"> </w:t>
      </w:r>
      <w:r w:rsidRPr="001A01AB">
        <w:rPr>
          <w:rFonts w:ascii="Calibri" w:hAnsi="Calibri" w:cs="Calibri"/>
          <w:lang w:val="es-GT"/>
        </w:rPr>
        <w:t>proveer bienes públicos a</w:t>
      </w:r>
      <w:r w:rsidR="00455DBB">
        <w:rPr>
          <w:rFonts w:ascii="Calibri" w:hAnsi="Calibri" w:cs="Calibri"/>
          <w:lang w:val="es-GT"/>
        </w:rPr>
        <w:t>propiados, entre otros factores</w:t>
      </w:r>
      <w:r w:rsidRPr="001A01AB">
        <w:rPr>
          <w:rFonts w:ascii="Calibri" w:hAnsi="Calibri" w:cs="Calibri"/>
          <w:lang w:val="es-GT"/>
        </w:rPr>
        <w:t xml:space="preserve"> que</w:t>
      </w:r>
      <w:r w:rsidR="00455DBB">
        <w:rPr>
          <w:rFonts w:ascii="Calibri" w:hAnsi="Calibri" w:cs="Calibri"/>
          <w:lang w:val="es-GT"/>
        </w:rPr>
        <w:t>,</w:t>
      </w:r>
      <w:r w:rsidRPr="001A01AB">
        <w:rPr>
          <w:rFonts w:ascii="Calibri" w:hAnsi="Calibri" w:cs="Calibri"/>
          <w:lang w:val="es-GT"/>
        </w:rPr>
        <w:t xml:space="preserve"> en conjunto, explican los altos niveles de vulnerabilidad derivados de los subsistemas natural y social. Estos elementos, unidos a la ausencia de espacios de diálogo constructivo, conducen constantemente a las manifestaciones sociales de inconformidad, que junto </w:t>
      </w:r>
      <w:r w:rsidR="00455DBB">
        <w:rPr>
          <w:rFonts w:ascii="Calibri" w:hAnsi="Calibri" w:cs="Calibri"/>
          <w:lang w:val="es-GT"/>
        </w:rPr>
        <w:t>con</w:t>
      </w:r>
      <w:r w:rsidRPr="001A01AB">
        <w:rPr>
          <w:rFonts w:ascii="Calibri" w:hAnsi="Calibri" w:cs="Calibri"/>
          <w:lang w:val="es-GT"/>
        </w:rPr>
        <w:t xml:space="preserve"> la desconfianza en el accionar público o privado, generan un círculo vicioso perverso que conduce a la ingobernabilidad. Estos elementos representan un desperdicio de esfuerzos que solo alimentan nuestra vulnerabilidad sistémica.</w:t>
      </w:r>
    </w:p>
    <w:p w:rsidR="002E085A" w:rsidRPr="001A01AB" w:rsidRDefault="002E085A" w:rsidP="002E085A">
      <w:pPr>
        <w:jc w:val="both"/>
        <w:rPr>
          <w:rFonts w:ascii="Calibri" w:hAnsi="Calibri" w:cs="Calibri"/>
          <w:lang w:val="es-GT"/>
        </w:rPr>
      </w:pPr>
    </w:p>
    <w:p w:rsidR="00424E4D" w:rsidRPr="001A01AB" w:rsidRDefault="00436A41" w:rsidP="002E085A">
      <w:pPr>
        <w:jc w:val="both"/>
        <w:rPr>
          <w:rFonts w:ascii="Calibri" w:hAnsi="Calibri" w:cs="Calibri"/>
          <w:lang w:val="es-GT"/>
        </w:rPr>
      </w:pPr>
      <w:r w:rsidRPr="001A01AB">
        <w:rPr>
          <w:rFonts w:ascii="Calibri" w:hAnsi="Calibri" w:cs="Calibri"/>
          <w:lang w:val="es-GT"/>
        </w:rPr>
        <w:t>Estas consideraciones enfatizan en la institucionalidad pública, pero en el análisis de la calidad de las instituciones es necesario incluir a todas las formas institucionales fuera del ámbito público. En un momento como el actual, cuando, como se indicó anteriormente, se carece de un sistema de instituciones que sea funcional, las entidades no públicas, genuinamente interesadas y motivadas por un mejor futuro, son necesarias para rev</w:t>
      </w:r>
      <w:r w:rsidR="00455DBB">
        <w:rPr>
          <w:rFonts w:ascii="Calibri" w:hAnsi="Calibri" w:cs="Calibri"/>
          <w:lang w:val="es-GT"/>
        </w:rPr>
        <w:t>italizar la institucionalidad pú</w:t>
      </w:r>
      <w:r w:rsidRPr="001A01AB">
        <w:rPr>
          <w:rFonts w:ascii="Calibri" w:hAnsi="Calibri" w:cs="Calibri"/>
          <w:lang w:val="es-GT"/>
        </w:rPr>
        <w:t>blica con capacidades humanas, físicas y financieras acordes, no solo a la necesidad de remediar nuestra vulnerabilidad sistémica, sino también, a las necesidades de impulsar un nuevo modelo de desarrollo.</w:t>
      </w:r>
    </w:p>
    <w:p w:rsidR="002E085A" w:rsidRPr="001A01AB" w:rsidRDefault="002E085A" w:rsidP="002E085A">
      <w:pPr>
        <w:jc w:val="both"/>
        <w:rPr>
          <w:rFonts w:ascii="Calibri" w:hAnsi="Calibri" w:cs="Calibri"/>
          <w:lang w:val="es-GT"/>
        </w:rPr>
      </w:pPr>
    </w:p>
    <w:p w:rsidR="00424E4D" w:rsidRPr="001A01AB" w:rsidRDefault="00436A41" w:rsidP="002E085A">
      <w:pPr>
        <w:jc w:val="both"/>
        <w:rPr>
          <w:rFonts w:ascii="Calibri" w:hAnsi="Calibri" w:cs="Calibri"/>
          <w:lang w:val="es-GT"/>
        </w:rPr>
      </w:pPr>
      <w:r w:rsidRPr="001A01AB">
        <w:rPr>
          <w:rFonts w:ascii="Calibri" w:hAnsi="Calibri" w:cs="Calibri"/>
          <w:lang w:val="es-GT"/>
        </w:rPr>
        <w:t>Es evidente que la vulnerabilidad en Guatemala, tanto a nivel nacional como</w:t>
      </w:r>
      <w:r w:rsidR="00141A70">
        <w:rPr>
          <w:rFonts w:ascii="Calibri" w:hAnsi="Calibri" w:cs="Calibri"/>
          <w:lang w:val="es-GT"/>
        </w:rPr>
        <w:t xml:space="preserve"> </w:t>
      </w:r>
      <w:r w:rsidRPr="001A01AB">
        <w:rPr>
          <w:rFonts w:ascii="Calibri" w:hAnsi="Calibri" w:cs="Calibri"/>
          <w:lang w:val="es-GT"/>
        </w:rPr>
        <w:t>a nivel de territorios específicos, resulta de las múltiples interacciones entre los factores que definen cada uno de los subsistemas a</w:t>
      </w:r>
      <w:r w:rsidR="00455DBB">
        <w:rPr>
          <w:rFonts w:ascii="Calibri" w:hAnsi="Calibri" w:cs="Calibri"/>
          <w:lang w:val="es-GT"/>
        </w:rPr>
        <w:t>nalizados. El peso de éstos varí</w:t>
      </w:r>
      <w:r w:rsidRPr="001A01AB">
        <w:rPr>
          <w:rFonts w:ascii="Calibri" w:hAnsi="Calibri" w:cs="Calibri"/>
          <w:lang w:val="es-GT"/>
        </w:rPr>
        <w:t>a, por supuesto de un lugar a otro.</w:t>
      </w:r>
    </w:p>
    <w:p w:rsidR="00424E4D" w:rsidRPr="001A01AB" w:rsidRDefault="00424E4D" w:rsidP="002E085A">
      <w:pPr>
        <w:jc w:val="both"/>
        <w:rPr>
          <w:rFonts w:ascii="Calibri" w:hAnsi="Calibri" w:cs="Calibri"/>
          <w:lang w:val="es-GT"/>
        </w:rPr>
      </w:pPr>
    </w:p>
    <w:p w:rsidR="00CB031E" w:rsidRPr="00523BC1" w:rsidRDefault="00CB031E" w:rsidP="00523BC1">
      <w:pPr>
        <w:pStyle w:val="Prrafodelista"/>
        <w:numPr>
          <w:ilvl w:val="1"/>
          <w:numId w:val="22"/>
        </w:numPr>
        <w:autoSpaceDE w:val="0"/>
        <w:autoSpaceDN w:val="0"/>
        <w:adjustRightInd w:val="0"/>
        <w:spacing w:after="120" w:line="264" w:lineRule="auto"/>
        <w:ind w:left="720" w:hanging="720"/>
        <w:jc w:val="both"/>
        <w:outlineLvl w:val="1"/>
        <w:rPr>
          <w:rFonts w:cs="Calibri"/>
          <w:b/>
          <w:color w:val="365F91"/>
          <w:sz w:val="28"/>
          <w:lang w:eastAsia="es-GT"/>
        </w:rPr>
      </w:pPr>
      <w:bookmarkStart w:id="114" w:name="_Toc340565851"/>
      <w:bookmarkStart w:id="115" w:name="_Toc347841301"/>
      <w:r w:rsidRPr="00523BC1">
        <w:rPr>
          <w:rFonts w:cs="Calibri"/>
          <w:b/>
          <w:color w:val="365F91"/>
          <w:sz w:val="28"/>
          <w:lang w:eastAsia="es-GT"/>
        </w:rPr>
        <w:t>Reflexiones finales sobre el contexto</w:t>
      </w:r>
      <w:bookmarkEnd w:id="114"/>
      <w:bookmarkEnd w:id="115"/>
    </w:p>
    <w:p w:rsidR="00CB4EA0" w:rsidRDefault="00CB4EA0" w:rsidP="00CB4EA0">
      <w:pPr>
        <w:pStyle w:val="Epgrafe"/>
        <w:jc w:val="both"/>
        <w:rPr>
          <w:rFonts w:ascii="Calibri" w:hAnsi="Calibri" w:cs="Calibri"/>
          <w:b w:val="0"/>
          <w:sz w:val="24"/>
          <w:szCs w:val="24"/>
          <w:lang w:val="es-GT"/>
        </w:rPr>
      </w:pPr>
      <w:r>
        <w:rPr>
          <w:rFonts w:ascii="Calibri" w:hAnsi="Calibri" w:cs="Calibri"/>
          <w:b w:val="0"/>
          <w:sz w:val="24"/>
          <w:szCs w:val="24"/>
          <w:lang w:val="es-GT"/>
        </w:rPr>
        <w:t>Guatemala se caracteriza por un sistema de “</w:t>
      </w:r>
      <w:r w:rsidR="00BC44FA">
        <w:rPr>
          <w:rFonts w:ascii="Calibri" w:hAnsi="Calibri" w:cs="Calibri"/>
          <w:b w:val="0"/>
          <w:sz w:val="24"/>
          <w:szCs w:val="24"/>
          <w:lang w:val="es-GT"/>
        </w:rPr>
        <w:t>gestión</w:t>
      </w:r>
      <w:r>
        <w:rPr>
          <w:rFonts w:ascii="Calibri" w:hAnsi="Calibri" w:cs="Calibri"/>
          <w:b w:val="0"/>
          <w:sz w:val="24"/>
          <w:szCs w:val="24"/>
          <w:lang w:val="es-GT"/>
        </w:rPr>
        <w:t xml:space="preserve"> del bienestar” que es concentrador en lo económico, excluyente en lo social, degradante en lo ambiental y con altos niveles de corrupción e ineficacia en lo </w:t>
      </w:r>
      <w:r w:rsidR="00DF65E5">
        <w:rPr>
          <w:rFonts w:ascii="Calibri" w:hAnsi="Calibri" w:cs="Calibri"/>
          <w:b w:val="0"/>
          <w:sz w:val="24"/>
          <w:szCs w:val="24"/>
          <w:lang w:val="es-GT"/>
        </w:rPr>
        <w:t>institucional</w:t>
      </w:r>
      <w:r>
        <w:rPr>
          <w:rFonts w:ascii="Calibri" w:hAnsi="Calibri" w:cs="Calibri"/>
          <w:b w:val="0"/>
          <w:sz w:val="24"/>
          <w:szCs w:val="24"/>
          <w:lang w:val="es-GT"/>
        </w:rPr>
        <w:t>.</w:t>
      </w:r>
      <w:r w:rsidR="00141A70">
        <w:rPr>
          <w:rFonts w:ascii="Calibri" w:hAnsi="Calibri" w:cs="Calibri"/>
          <w:b w:val="0"/>
          <w:sz w:val="24"/>
          <w:szCs w:val="24"/>
          <w:lang w:val="es-GT"/>
        </w:rPr>
        <w:t xml:space="preserve"> </w:t>
      </w:r>
      <w:r w:rsidR="00DF65E5">
        <w:rPr>
          <w:rFonts w:ascii="Calibri" w:hAnsi="Calibri" w:cs="Calibri"/>
          <w:b w:val="0"/>
          <w:sz w:val="24"/>
          <w:szCs w:val="24"/>
          <w:lang w:val="es-GT"/>
        </w:rPr>
        <w:t>Consecuentemente, e</w:t>
      </w:r>
      <w:r>
        <w:rPr>
          <w:rFonts w:ascii="Calibri" w:hAnsi="Calibri" w:cs="Calibri"/>
          <w:b w:val="0"/>
          <w:sz w:val="24"/>
          <w:szCs w:val="24"/>
          <w:lang w:val="es-GT"/>
        </w:rPr>
        <w:t>l sistema niega el bienestar a una alta proporción de la población guatemalteca. Corregir este sistema requiere de una propuesta orgánica de abordaje del desarrollo que puede estar inspirado en el concepto del desarrollo sostenible.</w:t>
      </w:r>
    </w:p>
    <w:p w:rsidR="00CB4EA0" w:rsidRPr="00CB4EA0" w:rsidRDefault="00CB4EA0" w:rsidP="00CB4EA0">
      <w:pPr>
        <w:rPr>
          <w:lang w:val="es-GT"/>
        </w:rPr>
      </w:pPr>
    </w:p>
    <w:p w:rsidR="00CB4EA0" w:rsidRPr="00CB4EA0" w:rsidRDefault="00CB4EA0" w:rsidP="00CB4EA0">
      <w:pPr>
        <w:pStyle w:val="Epgrafe"/>
        <w:jc w:val="both"/>
        <w:rPr>
          <w:rFonts w:ascii="Calibri" w:hAnsi="Calibri" w:cs="Calibri"/>
          <w:b w:val="0"/>
          <w:sz w:val="24"/>
          <w:szCs w:val="24"/>
          <w:lang w:val="es-GT"/>
        </w:rPr>
      </w:pPr>
      <w:r w:rsidRPr="00CB4EA0">
        <w:rPr>
          <w:rFonts w:ascii="Calibri" w:hAnsi="Calibri" w:cs="Calibri"/>
          <w:b w:val="0"/>
          <w:sz w:val="24"/>
          <w:szCs w:val="24"/>
          <w:lang w:val="es-GT"/>
        </w:rPr>
        <w:lastRenderedPageBreak/>
        <w:t xml:space="preserve">A lo largo del contexto se ha mencionado que el desarrollo sostenible se refiere a un proceso de mejoramiento cuantitativo y cualitativo que puede sostenerse en el tiempo, al menos para las dimensiones ambiental, económica, social e institucional. El mejoramiento debe ser simultáneo </w:t>
      </w:r>
      <w:r w:rsidR="00DF65E5">
        <w:rPr>
          <w:rFonts w:ascii="Calibri" w:hAnsi="Calibri" w:cs="Calibri"/>
          <w:b w:val="0"/>
          <w:sz w:val="24"/>
          <w:szCs w:val="24"/>
          <w:lang w:val="es-GT"/>
        </w:rPr>
        <w:t>para estas dimensiones, sistémico y</w:t>
      </w:r>
      <w:r w:rsidRPr="00CB4EA0">
        <w:rPr>
          <w:rFonts w:ascii="Calibri" w:hAnsi="Calibri" w:cs="Calibri"/>
          <w:b w:val="0"/>
          <w:sz w:val="24"/>
          <w:szCs w:val="24"/>
          <w:lang w:val="es-GT"/>
        </w:rPr>
        <w:t xml:space="preserve"> no sectorial. </w:t>
      </w:r>
    </w:p>
    <w:p w:rsidR="00CB4EA0" w:rsidRPr="00CB4EA0" w:rsidRDefault="00CB4EA0" w:rsidP="00CB4EA0">
      <w:pPr>
        <w:pStyle w:val="Epgrafe"/>
        <w:jc w:val="both"/>
        <w:rPr>
          <w:rFonts w:ascii="Calibri" w:hAnsi="Calibri" w:cs="Calibri"/>
          <w:b w:val="0"/>
          <w:sz w:val="24"/>
          <w:szCs w:val="24"/>
          <w:lang w:val="es-GT"/>
        </w:rPr>
      </w:pPr>
    </w:p>
    <w:p w:rsidR="00CB4EA0" w:rsidRPr="00CB4EA0" w:rsidRDefault="00CB4EA0" w:rsidP="00CB4EA0">
      <w:pPr>
        <w:pStyle w:val="Epgrafe"/>
        <w:jc w:val="both"/>
        <w:rPr>
          <w:rFonts w:ascii="Calibri" w:hAnsi="Calibri" w:cs="Calibri"/>
          <w:b w:val="0"/>
          <w:sz w:val="24"/>
          <w:szCs w:val="24"/>
          <w:lang w:val="es-GT"/>
        </w:rPr>
      </w:pPr>
      <w:r w:rsidRPr="00CB4EA0">
        <w:rPr>
          <w:rFonts w:ascii="Calibri" w:hAnsi="Calibri" w:cs="Calibri"/>
          <w:b w:val="0"/>
          <w:sz w:val="24"/>
          <w:szCs w:val="24"/>
          <w:lang w:val="es-GT"/>
        </w:rPr>
        <w:t>El espíritu y las orientaciones operativas de este pl</w:t>
      </w:r>
      <w:r w:rsidR="00DF65E5">
        <w:rPr>
          <w:rFonts w:ascii="Calibri" w:hAnsi="Calibri" w:cs="Calibri"/>
          <w:b w:val="0"/>
          <w:sz w:val="24"/>
          <w:szCs w:val="24"/>
          <w:lang w:val="es-GT"/>
        </w:rPr>
        <w:t>anteamiento deben permear las “p</w:t>
      </w:r>
      <w:r w:rsidRPr="00CB4EA0">
        <w:rPr>
          <w:rFonts w:ascii="Calibri" w:hAnsi="Calibri" w:cs="Calibri"/>
          <w:b w:val="0"/>
          <w:sz w:val="24"/>
          <w:szCs w:val="24"/>
          <w:lang w:val="es-GT"/>
        </w:rPr>
        <w:t xml:space="preserve">ropuestas que pretenden abordar el desarrollo rural integral”; haciendo énfasis en algunos aspectos, siendo los </w:t>
      </w:r>
      <w:r>
        <w:rPr>
          <w:rFonts w:ascii="Calibri" w:hAnsi="Calibri" w:cs="Calibri"/>
          <w:b w:val="0"/>
          <w:sz w:val="24"/>
          <w:szCs w:val="24"/>
          <w:lang w:val="es-GT"/>
        </w:rPr>
        <w:t>más</w:t>
      </w:r>
      <w:r w:rsidRPr="00CB4EA0">
        <w:rPr>
          <w:rFonts w:ascii="Calibri" w:hAnsi="Calibri" w:cs="Calibri"/>
          <w:b w:val="0"/>
          <w:sz w:val="24"/>
          <w:szCs w:val="24"/>
          <w:lang w:val="es-GT"/>
        </w:rPr>
        <w:t xml:space="preserve"> relevantes:</w:t>
      </w:r>
    </w:p>
    <w:p w:rsidR="00CB4EA0" w:rsidRPr="00CB4EA0" w:rsidRDefault="00CB4EA0" w:rsidP="00CB4EA0">
      <w:pPr>
        <w:pStyle w:val="Epgrafe"/>
        <w:jc w:val="both"/>
        <w:rPr>
          <w:rFonts w:ascii="Calibri" w:hAnsi="Calibri" w:cs="Calibri"/>
          <w:b w:val="0"/>
          <w:sz w:val="24"/>
          <w:szCs w:val="24"/>
          <w:lang w:val="es-GT"/>
        </w:rPr>
      </w:pPr>
    </w:p>
    <w:p w:rsidR="00CB4EA0" w:rsidRPr="00CB4EA0" w:rsidRDefault="00CB4EA0" w:rsidP="00103F11">
      <w:pPr>
        <w:pStyle w:val="Epgrafe"/>
        <w:numPr>
          <w:ilvl w:val="0"/>
          <w:numId w:val="56"/>
        </w:numPr>
        <w:ind w:left="360"/>
        <w:jc w:val="both"/>
        <w:rPr>
          <w:rFonts w:ascii="Calibri" w:hAnsi="Calibri" w:cs="Calibri"/>
          <w:b w:val="0"/>
          <w:sz w:val="24"/>
          <w:szCs w:val="24"/>
          <w:lang w:val="es-GT"/>
        </w:rPr>
      </w:pPr>
      <w:r w:rsidRPr="00CB4EA0">
        <w:rPr>
          <w:rFonts w:ascii="Calibri" w:hAnsi="Calibri" w:cs="Calibri"/>
          <w:b w:val="0"/>
          <w:sz w:val="24"/>
          <w:szCs w:val="24"/>
          <w:lang w:val="es-GT"/>
        </w:rPr>
        <w:t>La pobreza y la desnutrición infantil son males esencialmente concentrados en el área rural. Al menos el 64% del total de pobres están ahí</w:t>
      </w:r>
      <w:r w:rsidR="00141A70">
        <w:rPr>
          <w:rFonts w:ascii="Calibri" w:hAnsi="Calibri" w:cs="Calibri"/>
          <w:b w:val="0"/>
          <w:sz w:val="24"/>
          <w:szCs w:val="24"/>
          <w:lang w:val="es-GT"/>
        </w:rPr>
        <w:t xml:space="preserve"> </w:t>
      </w:r>
      <w:r w:rsidRPr="00CB4EA0">
        <w:rPr>
          <w:rFonts w:ascii="Calibri" w:hAnsi="Calibri" w:cs="Calibri"/>
          <w:b w:val="0"/>
          <w:sz w:val="24"/>
          <w:szCs w:val="24"/>
          <w:lang w:val="es-GT"/>
        </w:rPr>
        <w:t xml:space="preserve">y al menos la mitad de los niños rurales con menos de </w:t>
      </w:r>
      <w:r w:rsidR="00DF65E5">
        <w:rPr>
          <w:rFonts w:ascii="Calibri" w:hAnsi="Calibri" w:cs="Calibri"/>
          <w:b w:val="0"/>
          <w:sz w:val="24"/>
          <w:szCs w:val="24"/>
          <w:lang w:val="es-GT"/>
        </w:rPr>
        <w:t>cinco</w:t>
      </w:r>
      <w:r w:rsidRPr="00CB4EA0">
        <w:rPr>
          <w:rFonts w:ascii="Calibri" w:hAnsi="Calibri" w:cs="Calibri"/>
          <w:b w:val="0"/>
          <w:sz w:val="24"/>
          <w:szCs w:val="24"/>
          <w:lang w:val="es-GT"/>
        </w:rPr>
        <w:t xml:space="preserve"> años padecen desnutrición crónica. Madres desnutridas, inevitablemente, darán a luz niños con retardo de crecimiento intrauterino, ensanchando la proporción de la población infantil que sufre retardo en el crecimiento postnatal y desnutrición severa. El riesgo a morir, a vivir expuestos a múltiples enfermedades, a una esperanza de vida mermada o a un desempeño limitado de la ciudadanía, son las secuelas de esta condición. </w:t>
      </w:r>
    </w:p>
    <w:p w:rsidR="00CB4EA0" w:rsidRPr="00CB4EA0" w:rsidRDefault="00CB4EA0" w:rsidP="00CB4EA0">
      <w:pPr>
        <w:pStyle w:val="Epgrafe"/>
        <w:jc w:val="both"/>
        <w:rPr>
          <w:rFonts w:ascii="Calibri" w:hAnsi="Calibri" w:cs="Calibri"/>
          <w:b w:val="0"/>
          <w:sz w:val="24"/>
          <w:szCs w:val="24"/>
          <w:lang w:val="es-GT"/>
        </w:rPr>
      </w:pPr>
    </w:p>
    <w:p w:rsidR="00CB4EA0" w:rsidRPr="00CB4EA0" w:rsidRDefault="00CB4EA0" w:rsidP="00CB4EA0">
      <w:pPr>
        <w:pStyle w:val="Epgrafe"/>
        <w:jc w:val="both"/>
        <w:rPr>
          <w:rFonts w:ascii="Calibri" w:hAnsi="Calibri" w:cs="Calibri"/>
          <w:b w:val="0"/>
          <w:sz w:val="24"/>
          <w:szCs w:val="24"/>
          <w:lang w:val="es-GT"/>
        </w:rPr>
      </w:pPr>
    </w:p>
    <w:p w:rsidR="00CB4EA0" w:rsidRDefault="00CB4EA0" w:rsidP="00103F11">
      <w:pPr>
        <w:pStyle w:val="Epgrafe"/>
        <w:numPr>
          <w:ilvl w:val="0"/>
          <w:numId w:val="56"/>
        </w:numPr>
        <w:ind w:left="360"/>
        <w:jc w:val="both"/>
        <w:rPr>
          <w:rFonts w:ascii="Calibri" w:hAnsi="Calibri" w:cs="Calibri"/>
          <w:b w:val="0"/>
          <w:sz w:val="24"/>
          <w:szCs w:val="24"/>
          <w:lang w:val="es-GT"/>
        </w:rPr>
      </w:pPr>
      <w:r w:rsidRPr="00CB4EA0">
        <w:rPr>
          <w:rFonts w:ascii="Calibri" w:hAnsi="Calibri" w:cs="Calibri"/>
          <w:b w:val="0"/>
          <w:sz w:val="24"/>
          <w:szCs w:val="24"/>
          <w:lang w:val="es-GT"/>
        </w:rPr>
        <w:t xml:space="preserve">Pretender resolver una situación de tanta envergadura y de tanta significancia humana como </w:t>
      </w:r>
      <w:r w:rsidR="00DF65E5">
        <w:rPr>
          <w:rFonts w:ascii="Calibri" w:hAnsi="Calibri" w:cs="Calibri"/>
          <w:b w:val="0"/>
          <w:sz w:val="24"/>
          <w:szCs w:val="24"/>
          <w:lang w:val="es-GT"/>
        </w:rPr>
        <w:t>esta, só</w:t>
      </w:r>
      <w:r w:rsidRPr="00CB4EA0">
        <w:rPr>
          <w:rFonts w:ascii="Calibri" w:hAnsi="Calibri" w:cs="Calibri"/>
          <w:b w:val="0"/>
          <w:sz w:val="24"/>
          <w:szCs w:val="24"/>
          <w:lang w:val="es-GT"/>
        </w:rPr>
        <w:t xml:space="preserve">lo con ayuda alimentaria ocasional o con un eventual derrame de la economía, equivale a una tentativa que raya en la demagogia y en la inmoralidad. </w:t>
      </w:r>
      <w:r>
        <w:rPr>
          <w:rFonts w:ascii="Calibri" w:hAnsi="Calibri" w:cs="Calibri"/>
          <w:b w:val="0"/>
          <w:sz w:val="24"/>
          <w:szCs w:val="24"/>
          <w:lang w:val="es-GT"/>
        </w:rPr>
        <w:t xml:space="preserve">Es necesario </w:t>
      </w:r>
      <w:r w:rsidR="00DF65E5">
        <w:rPr>
          <w:rFonts w:ascii="Calibri" w:hAnsi="Calibri" w:cs="Calibri"/>
          <w:b w:val="0"/>
          <w:sz w:val="24"/>
          <w:szCs w:val="24"/>
          <w:lang w:val="es-GT"/>
        </w:rPr>
        <w:t>ofrecer de manera directa</w:t>
      </w:r>
      <w:r w:rsidRPr="00CB4EA0">
        <w:rPr>
          <w:rFonts w:ascii="Calibri" w:hAnsi="Calibri" w:cs="Calibri"/>
          <w:b w:val="0"/>
          <w:sz w:val="24"/>
          <w:szCs w:val="24"/>
          <w:lang w:val="es-GT"/>
        </w:rPr>
        <w:t xml:space="preserve"> una “plataforma económica” que permita al menos, a cerca de 800,000 familias rurales, asegurar una dotación anual de granos básicos para solventar sus necesidades alimentarias fundamentales.</w:t>
      </w:r>
      <w:r w:rsidR="00141A70">
        <w:rPr>
          <w:rFonts w:ascii="Calibri" w:hAnsi="Calibri" w:cs="Calibri"/>
          <w:b w:val="0"/>
          <w:sz w:val="24"/>
          <w:szCs w:val="24"/>
          <w:lang w:val="es-GT"/>
        </w:rPr>
        <w:t xml:space="preserve"> </w:t>
      </w:r>
      <w:r w:rsidRPr="00CB4EA0">
        <w:rPr>
          <w:rFonts w:ascii="Calibri" w:hAnsi="Calibri" w:cs="Calibri"/>
          <w:b w:val="0"/>
          <w:sz w:val="24"/>
          <w:szCs w:val="24"/>
          <w:lang w:val="es-GT"/>
        </w:rPr>
        <w:t>Esta plataforma estaría representada por lo que en el mundo se conoce como “economía campesina”</w:t>
      </w:r>
      <w:r w:rsidR="00DF65E5">
        <w:rPr>
          <w:rFonts w:ascii="Calibri" w:hAnsi="Calibri" w:cs="Calibri"/>
          <w:b w:val="0"/>
          <w:sz w:val="24"/>
          <w:szCs w:val="24"/>
          <w:lang w:val="es-GT"/>
        </w:rPr>
        <w:t>,</w:t>
      </w:r>
      <w:r w:rsidRPr="00CB4EA0">
        <w:rPr>
          <w:rFonts w:ascii="Calibri" w:hAnsi="Calibri" w:cs="Calibri"/>
          <w:b w:val="0"/>
          <w:sz w:val="24"/>
          <w:szCs w:val="24"/>
          <w:lang w:val="es-GT"/>
        </w:rPr>
        <w:t xml:space="preserve"> dos de cuyos rasgos esenciales, entre otros, son la producción de alimentos y el uso intensivo de la mano de obra familiar. La diversificación de esos sistemas familiares -a través de sistemas agroforestales variados, incluyendo los huertos caseros-; la venta de excedentes de producción y el uso eficiente de los bienes naturales -agua, tierra, biodiversidad, energía-</w:t>
      </w:r>
      <w:r w:rsidR="00DF65E5">
        <w:rPr>
          <w:rFonts w:ascii="Calibri" w:hAnsi="Calibri" w:cs="Calibri"/>
          <w:b w:val="0"/>
          <w:sz w:val="24"/>
          <w:szCs w:val="24"/>
          <w:lang w:val="es-GT"/>
        </w:rPr>
        <w:t>;</w:t>
      </w:r>
      <w:r w:rsidRPr="00CB4EA0">
        <w:rPr>
          <w:rFonts w:ascii="Calibri" w:hAnsi="Calibri" w:cs="Calibri"/>
          <w:b w:val="0"/>
          <w:sz w:val="24"/>
          <w:szCs w:val="24"/>
          <w:lang w:val="es-GT"/>
        </w:rPr>
        <w:t xml:space="preserve"> son factores que están ligados al grado de desarrollo que esa economía va alcanzando progresivamente y que permitiría transitar hacia esquemas productivos, alimentarios y nutritivos </w:t>
      </w:r>
      <w:r w:rsidR="00BC44FA" w:rsidRPr="00CB4EA0">
        <w:rPr>
          <w:rFonts w:ascii="Calibri" w:hAnsi="Calibri" w:cs="Calibri"/>
          <w:b w:val="0"/>
          <w:sz w:val="24"/>
          <w:szCs w:val="24"/>
          <w:lang w:val="es-GT"/>
        </w:rPr>
        <w:t>más</w:t>
      </w:r>
      <w:r w:rsidRPr="00CB4EA0">
        <w:rPr>
          <w:rFonts w:ascii="Calibri" w:hAnsi="Calibri" w:cs="Calibri"/>
          <w:b w:val="0"/>
          <w:sz w:val="24"/>
          <w:szCs w:val="24"/>
          <w:lang w:val="es-GT"/>
        </w:rPr>
        <w:t xml:space="preserve"> integrales.</w:t>
      </w:r>
    </w:p>
    <w:p w:rsidR="00CB4EA0" w:rsidRPr="00CB4EA0" w:rsidRDefault="00CB4EA0" w:rsidP="00CB4EA0">
      <w:pPr>
        <w:rPr>
          <w:lang w:val="es-GT"/>
        </w:rPr>
      </w:pPr>
    </w:p>
    <w:p w:rsidR="00CB4EA0" w:rsidRDefault="00CB4EA0" w:rsidP="00103F11">
      <w:pPr>
        <w:pStyle w:val="Epgrafe"/>
        <w:numPr>
          <w:ilvl w:val="0"/>
          <w:numId w:val="56"/>
        </w:numPr>
        <w:ind w:left="360"/>
        <w:jc w:val="both"/>
        <w:rPr>
          <w:rFonts w:ascii="Calibri" w:hAnsi="Calibri" w:cs="Calibri"/>
          <w:b w:val="0"/>
          <w:sz w:val="24"/>
          <w:szCs w:val="24"/>
          <w:lang w:val="es-GT"/>
        </w:rPr>
      </w:pPr>
      <w:r>
        <w:rPr>
          <w:rFonts w:ascii="Calibri" w:hAnsi="Calibri" w:cs="Calibri"/>
          <w:b w:val="0"/>
          <w:sz w:val="24"/>
          <w:szCs w:val="24"/>
          <w:lang w:val="es-GT"/>
        </w:rPr>
        <w:t>R</w:t>
      </w:r>
      <w:r w:rsidRPr="00CB4EA0">
        <w:rPr>
          <w:rFonts w:ascii="Calibri" w:hAnsi="Calibri" w:cs="Calibri"/>
          <w:b w:val="0"/>
          <w:sz w:val="24"/>
          <w:szCs w:val="24"/>
          <w:lang w:val="es-GT"/>
        </w:rPr>
        <w:t>evitalizar la economía campesina requiere de condiciones que hoy no existen y que deben ser provistas por el Estado bajo el mandato constitucional del “bien común”. Sobre la base de un sistema funcional de instituciones públicas, el gobierno -central departamental y munic</w:t>
      </w:r>
      <w:r w:rsidR="00DF65E5">
        <w:rPr>
          <w:rFonts w:ascii="Calibri" w:hAnsi="Calibri" w:cs="Calibri"/>
          <w:b w:val="0"/>
          <w:sz w:val="24"/>
          <w:szCs w:val="24"/>
          <w:lang w:val="es-GT"/>
        </w:rPr>
        <w:t>ipal- debería proveer, al menos:</w:t>
      </w:r>
      <w:r w:rsidRPr="00CB4EA0">
        <w:rPr>
          <w:rFonts w:ascii="Calibri" w:hAnsi="Calibri" w:cs="Calibri"/>
          <w:b w:val="0"/>
          <w:sz w:val="24"/>
          <w:szCs w:val="24"/>
          <w:lang w:val="es-GT"/>
        </w:rPr>
        <w:t xml:space="preserve"> acceso a recursos financieros -quien puede tener éxito sin éstos-; asistencia técnica para optimizar las cosechas;</w:t>
      </w:r>
      <w:r w:rsidR="00141A70">
        <w:rPr>
          <w:rFonts w:ascii="Calibri" w:hAnsi="Calibri" w:cs="Calibri"/>
          <w:b w:val="0"/>
          <w:sz w:val="24"/>
          <w:szCs w:val="24"/>
          <w:lang w:val="es-GT"/>
        </w:rPr>
        <w:t xml:space="preserve"> </w:t>
      </w:r>
      <w:r w:rsidRPr="00CB4EA0">
        <w:rPr>
          <w:rFonts w:ascii="Calibri" w:hAnsi="Calibri" w:cs="Calibri"/>
          <w:b w:val="0"/>
          <w:sz w:val="24"/>
          <w:szCs w:val="24"/>
          <w:lang w:val="es-GT"/>
        </w:rPr>
        <w:t>apoyo a la organización para la obtención de insumos, la producción y la comercialización de excedentes-; provisión de riego de pequeña escala</w:t>
      </w:r>
      <w:r w:rsidR="00DF65E5">
        <w:rPr>
          <w:rFonts w:ascii="Calibri" w:hAnsi="Calibri" w:cs="Calibri"/>
          <w:b w:val="0"/>
          <w:sz w:val="24"/>
          <w:szCs w:val="24"/>
          <w:lang w:val="es-GT"/>
        </w:rPr>
        <w:t>;</w:t>
      </w:r>
      <w:r w:rsidRPr="00CB4EA0">
        <w:rPr>
          <w:rFonts w:ascii="Calibri" w:hAnsi="Calibri" w:cs="Calibri"/>
          <w:b w:val="0"/>
          <w:sz w:val="24"/>
          <w:szCs w:val="24"/>
          <w:lang w:val="es-GT"/>
        </w:rPr>
        <w:t xml:space="preserve"> y caminos rural</w:t>
      </w:r>
      <w:r w:rsidR="00DF65E5">
        <w:rPr>
          <w:rFonts w:ascii="Calibri" w:hAnsi="Calibri" w:cs="Calibri"/>
          <w:b w:val="0"/>
          <w:sz w:val="24"/>
          <w:szCs w:val="24"/>
          <w:lang w:val="es-GT"/>
        </w:rPr>
        <w:t>es</w:t>
      </w:r>
      <w:r w:rsidRPr="00CB4EA0">
        <w:rPr>
          <w:rFonts w:ascii="Calibri" w:hAnsi="Calibri" w:cs="Calibri"/>
          <w:b w:val="0"/>
          <w:sz w:val="24"/>
          <w:szCs w:val="24"/>
          <w:lang w:val="es-GT"/>
        </w:rPr>
        <w:t>. Numerosos estudios econométricos en los que se relaciona el desarrollo agrícola</w:t>
      </w:r>
      <w:r w:rsidR="00141A70">
        <w:rPr>
          <w:rFonts w:ascii="Calibri" w:hAnsi="Calibri" w:cs="Calibri"/>
          <w:b w:val="0"/>
          <w:sz w:val="24"/>
          <w:szCs w:val="24"/>
          <w:lang w:val="es-GT"/>
        </w:rPr>
        <w:t xml:space="preserve"> </w:t>
      </w:r>
      <w:r w:rsidRPr="00CB4EA0">
        <w:rPr>
          <w:rFonts w:ascii="Calibri" w:hAnsi="Calibri" w:cs="Calibri"/>
          <w:b w:val="0"/>
          <w:sz w:val="24"/>
          <w:szCs w:val="24"/>
          <w:lang w:val="es-GT"/>
        </w:rPr>
        <w:t>con diversas variables, muestran consistentemente el papel preponderante que juegan los caminos rurales, situándose cercanamente al papel de la inversión en investigación agrícola. Estudios de I</w:t>
      </w:r>
      <w:r w:rsidR="00BC44FA">
        <w:rPr>
          <w:rFonts w:ascii="Calibri" w:hAnsi="Calibri" w:cs="Calibri"/>
          <w:b w:val="0"/>
          <w:sz w:val="24"/>
          <w:szCs w:val="24"/>
          <w:lang w:val="es-GT"/>
        </w:rPr>
        <w:t>ARNA</w:t>
      </w:r>
      <w:r w:rsidR="00DF65E5">
        <w:rPr>
          <w:rFonts w:ascii="Calibri" w:hAnsi="Calibri" w:cs="Calibri"/>
          <w:b w:val="0"/>
          <w:sz w:val="24"/>
          <w:szCs w:val="24"/>
          <w:lang w:val="es-GT"/>
        </w:rPr>
        <w:t>-</w:t>
      </w:r>
      <w:r w:rsidRPr="00CB4EA0">
        <w:rPr>
          <w:rFonts w:ascii="Calibri" w:hAnsi="Calibri" w:cs="Calibri"/>
          <w:b w:val="0"/>
          <w:sz w:val="24"/>
          <w:szCs w:val="24"/>
          <w:lang w:val="es-GT"/>
        </w:rPr>
        <w:t>URL muestran que unidades productivas que están ubicadas más allá de 2.5 kilómetros de una carretera transitable son inviables cuand</w:t>
      </w:r>
      <w:r w:rsidR="00DF65E5">
        <w:rPr>
          <w:rFonts w:ascii="Calibri" w:hAnsi="Calibri" w:cs="Calibri"/>
          <w:b w:val="0"/>
          <w:sz w:val="24"/>
          <w:szCs w:val="24"/>
          <w:lang w:val="es-GT"/>
        </w:rPr>
        <w:t>o se trata de vender excedentes</w:t>
      </w:r>
      <w:r w:rsidRPr="00CB4EA0">
        <w:rPr>
          <w:rFonts w:ascii="Calibri" w:hAnsi="Calibri" w:cs="Calibri"/>
          <w:b w:val="0"/>
          <w:sz w:val="24"/>
          <w:szCs w:val="24"/>
          <w:lang w:val="es-GT"/>
        </w:rPr>
        <w:t xml:space="preserve">. El impulso de estas condiciones, diferenciadas en función de territorios </w:t>
      </w:r>
      <w:r w:rsidRPr="00CB4EA0">
        <w:rPr>
          <w:rFonts w:ascii="Calibri" w:hAnsi="Calibri" w:cs="Calibri"/>
          <w:b w:val="0"/>
          <w:sz w:val="24"/>
          <w:szCs w:val="24"/>
          <w:lang w:val="es-GT"/>
        </w:rPr>
        <w:lastRenderedPageBreak/>
        <w:t>particulares, debe ser susceptible de programación para dimensionar las inversiones requeridas y las fases de ejecución. Nuevamente</w:t>
      </w:r>
      <w:r w:rsidR="00DF65E5">
        <w:rPr>
          <w:rFonts w:ascii="Calibri" w:hAnsi="Calibri" w:cs="Calibri"/>
          <w:b w:val="0"/>
          <w:sz w:val="24"/>
          <w:szCs w:val="24"/>
          <w:lang w:val="es-GT"/>
        </w:rPr>
        <w:t>,</w:t>
      </w:r>
      <w:r w:rsidRPr="00CB4EA0">
        <w:rPr>
          <w:rFonts w:ascii="Calibri" w:hAnsi="Calibri" w:cs="Calibri"/>
          <w:b w:val="0"/>
          <w:sz w:val="24"/>
          <w:szCs w:val="24"/>
          <w:lang w:val="es-GT"/>
        </w:rPr>
        <w:t xml:space="preserve"> la propuesta de mejoramiento de caminos rurales para el Altiplano Occidental, formulada por I</w:t>
      </w:r>
      <w:r w:rsidR="00D77610">
        <w:rPr>
          <w:rFonts w:ascii="Calibri" w:hAnsi="Calibri" w:cs="Calibri"/>
          <w:b w:val="0"/>
          <w:sz w:val="24"/>
          <w:szCs w:val="24"/>
          <w:lang w:val="es-GT"/>
        </w:rPr>
        <w:t>ARNA</w:t>
      </w:r>
      <w:r w:rsidR="00DF65E5">
        <w:rPr>
          <w:rFonts w:ascii="Calibri" w:hAnsi="Calibri" w:cs="Calibri"/>
          <w:b w:val="0"/>
          <w:sz w:val="24"/>
          <w:szCs w:val="24"/>
          <w:lang w:val="es-GT"/>
        </w:rPr>
        <w:t>-</w:t>
      </w:r>
      <w:r w:rsidRPr="00CB4EA0">
        <w:rPr>
          <w:rFonts w:ascii="Calibri" w:hAnsi="Calibri" w:cs="Calibri"/>
          <w:b w:val="0"/>
          <w:sz w:val="24"/>
          <w:szCs w:val="24"/>
          <w:lang w:val="es-GT"/>
        </w:rPr>
        <w:t>URL es un buen ejemplo</w:t>
      </w:r>
      <w:r w:rsidR="00DF65E5">
        <w:rPr>
          <w:rFonts w:ascii="Calibri" w:hAnsi="Calibri" w:cs="Calibri"/>
          <w:b w:val="0"/>
          <w:sz w:val="24"/>
          <w:szCs w:val="24"/>
          <w:lang w:val="es-GT"/>
        </w:rPr>
        <w:t xml:space="preserve"> (IARNA-URL, 2008)</w:t>
      </w:r>
      <w:r w:rsidRPr="00CB4EA0">
        <w:rPr>
          <w:rFonts w:ascii="Calibri" w:hAnsi="Calibri" w:cs="Calibri"/>
          <w:b w:val="0"/>
          <w:sz w:val="24"/>
          <w:szCs w:val="24"/>
          <w:lang w:val="es-GT"/>
        </w:rPr>
        <w:t>.</w:t>
      </w:r>
    </w:p>
    <w:p w:rsidR="00CB4EA0" w:rsidRPr="00CB4EA0" w:rsidRDefault="00CB4EA0" w:rsidP="00CB4EA0">
      <w:pPr>
        <w:rPr>
          <w:lang w:val="es-GT"/>
        </w:rPr>
      </w:pPr>
    </w:p>
    <w:p w:rsidR="00CB4EA0" w:rsidRDefault="00CB4EA0" w:rsidP="00103F11">
      <w:pPr>
        <w:pStyle w:val="Epgrafe"/>
        <w:numPr>
          <w:ilvl w:val="0"/>
          <w:numId w:val="56"/>
        </w:numPr>
        <w:ind w:left="360"/>
        <w:jc w:val="both"/>
        <w:rPr>
          <w:rFonts w:ascii="Calibri" w:hAnsi="Calibri" w:cs="Calibri"/>
          <w:b w:val="0"/>
          <w:sz w:val="24"/>
          <w:szCs w:val="24"/>
          <w:lang w:val="es-GT"/>
        </w:rPr>
      </w:pPr>
      <w:r>
        <w:rPr>
          <w:rFonts w:ascii="Calibri" w:hAnsi="Calibri" w:cs="Calibri"/>
          <w:b w:val="0"/>
          <w:sz w:val="24"/>
          <w:szCs w:val="24"/>
          <w:lang w:val="es-GT"/>
        </w:rPr>
        <w:t>L</w:t>
      </w:r>
      <w:r w:rsidRPr="00CB4EA0">
        <w:rPr>
          <w:rFonts w:ascii="Calibri" w:hAnsi="Calibri" w:cs="Calibri"/>
          <w:b w:val="0"/>
          <w:sz w:val="24"/>
          <w:szCs w:val="24"/>
          <w:lang w:val="es-GT"/>
        </w:rPr>
        <w:t xml:space="preserve">a propuesta plantea la necesidad de cultivar e impulsar </w:t>
      </w:r>
      <w:r w:rsidR="00D77610" w:rsidRPr="00CB4EA0">
        <w:rPr>
          <w:rFonts w:ascii="Calibri" w:hAnsi="Calibri" w:cs="Calibri"/>
          <w:b w:val="0"/>
          <w:sz w:val="24"/>
          <w:szCs w:val="24"/>
          <w:lang w:val="es-GT"/>
        </w:rPr>
        <w:t>simultánea</w:t>
      </w:r>
      <w:r w:rsidRPr="00CB4EA0">
        <w:rPr>
          <w:rFonts w:ascii="Calibri" w:hAnsi="Calibri" w:cs="Calibri"/>
          <w:b w:val="0"/>
          <w:sz w:val="24"/>
          <w:szCs w:val="24"/>
          <w:lang w:val="es-GT"/>
        </w:rPr>
        <w:t xml:space="preserve"> y sinérgicamente las intersecciones entre este modelo de producción con el “modelo empresarial”, </w:t>
      </w:r>
      <w:r>
        <w:rPr>
          <w:rFonts w:ascii="Calibri" w:hAnsi="Calibri" w:cs="Calibri"/>
          <w:b w:val="0"/>
          <w:sz w:val="24"/>
          <w:szCs w:val="24"/>
          <w:lang w:val="es-GT"/>
        </w:rPr>
        <w:t>que privilegia el empleo</w:t>
      </w:r>
      <w:r w:rsidRPr="00CB4EA0">
        <w:rPr>
          <w:rFonts w:ascii="Calibri" w:hAnsi="Calibri" w:cs="Calibri"/>
          <w:b w:val="0"/>
          <w:sz w:val="24"/>
          <w:szCs w:val="24"/>
          <w:lang w:val="es-GT"/>
        </w:rPr>
        <w:t>.</w:t>
      </w:r>
      <w:r w:rsidR="00141A70">
        <w:rPr>
          <w:rFonts w:ascii="Calibri" w:hAnsi="Calibri" w:cs="Calibri"/>
          <w:b w:val="0"/>
          <w:sz w:val="24"/>
          <w:szCs w:val="24"/>
          <w:lang w:val="es-GT"/>
        </w:rPr>
        <w:t xml:space="preserve"> </w:t>
      </w:r>
      <w:r w:rsidRPr="00CB4EA0">
        <w:rPr>
          <w:rFonts w:ascii="Calibri" w:hAnsi="Calibri" w:cs="Calibri"/>
          <w:b w:val="0"/>
          <w:sz w:val="24"/>
          <w:szCs w:val="24"/>
          <w:lang w:val="es-GT"/>
        </w:rPr>
        <w:t xml:space="preserve">El concepto de intersecciones se refiere a la existencia objetiva de elementos que son comunes a ambos modelos de producción y que, teóricamente, impulsarían a ambos. Algunas de estas intersecciones son, por ejemplo, la competitividad impulsada, no de manera selectiva, sino de manera sistémica, </w:t>
      </w:r>
      <w:r w:rsidR="00DF65E5">
        <w:rPr>
          <w:rFonts w:ascii="Calibri" w:hAnsi="Calibri" w:cs="Calibri"/>
          <w:b w:val="0"/>
          <w:sz w:val="24"/>
          <w:szCs w:val="24"/>
          <w:lang w:val="es-GT"/>
        </w:rPr>
        <w:t xml:space="preserve">y </w:t>
      </w:r>
      <w:r w:rsidRPr="00CB4EA0">
        <w:rPr>
          <w:rFonts w:ascii="Calibri" w:hAnsi="Calibri" w:cs="Calibri"/>
          <w:b w:val="0"/>
          <w:sz w:val="24"/>
          <w:szCs w:val="24"/>
          <w:lang w:val="es-GT"/>
        </w:rPr>
        <w:t xml:space="preserve">una competitividad nacional, no empresarial. Las condiciones mencionadas en el punto anterior abonan a este enfoque. Otro elemento se refiere a la participación gubernamental de manera diferenciada. Un rol promotor para la economía campesina de subsistencia a fin de impulsarla hacia niveles excedentarios, un rol subsidiario para los productores excedentarios y un rol facilitador y regulador para grandes productores. </w:t>
      </w:r>
    </w:p>
    <w:p w:rsidR="00CB4EA0" w:rsidRPr="00CB4EA0" w:rsidRDefault="00CB4EA0" w:rsidP="00CB4EA0">
      <w:pPr>
        <w:rPr>
          <w:lang w:val="es-GT"/>
        </w:rPr>
      </w:pPr>
    </w:p>
    <w:p w:rsidR="00CB4EA0" w:rsidRDefault="00CB4EA0" w:rsidP="00103F11">
      <w:pPr>
        <w:pStyle w:val="Epgrafe"/>
        <w:numPr>
          <w:ilvl w:val="0"/>
          <w:numId w:val="56"/>
        </w:numPr>
        <w:ind w:left="360"/>
        <w:jc w:val="both"/>
        <w:rPr>
          <w:rFonts w:ascii="Calibri" w:hAnsi="Calibri" w:cs="Calibri"/>
          <w:b w:val="0"/>
          <w:sz w:val="24"/>
          <w:szCs w:val="24"/>
          <w:lang w:val="es-GT"/>
        </w:rPr>
      </w:pPr>
      <w:r>
        <w:rPr>
          <w:rFonts w:ascii="Calibri" w:hAnsi="Calibri" w:cs="Calibri"/>
          <w:b w:val="0"/>
          <w:sz w:val="24"/>
          <w:szCs w:val="24"/>
          <w:lang w:val="es-GT"/>
        </w:rPr>
        <w:t>L</w:t>
      </w:r>
      <w:r w:rsidRPr="00CB4EA0">
        <w:rPr>
          <w:rFonts w:ascii="Calibri" w:hAnsi="Calibri" w:cs="Calibri"/>
          <w:b w:val="0"/>
          <w:sz w:val="24"/>
          <w:szCs w:val="24"/>
          <w:lang w:val="es-GT"/>
        </w:rPr>
        <w:t>a dimensión económica, promovida</w:t>
      </w:r>
      <w:r w:rsidR="00141A70">
        <w:rPr>
          <w:rFonts w:ascii="Calibri" w:hAnsi="Calibri" w:cs="Calibri"/>
          <w:b w:val="0"/>
          <w:sz w:val="24"/>
          <w:szCs w:val="24"/>
          <w:lang w:val="es-GT"/>
        </w:rPr>
        <w:t xml:space="preserve"> </w:t>
      </w:r>
      <w:r w:rsidRPr="00CB4EA0">
        <w:rPr>
          <w:rFonts w:ascii="Calibri" w:hAnsi="Calibri" w:cs="Calibri"/>
          <w:b w:val="0"/>
          <w:sz w:val="24"/>
          <w:szCs w:val="24"/>
          <w:lang w:val="es-GT"/>
        </w:rPr>
        <w:t>a través de la “economía campesina” deberá ser complementada por acciones de política pública en las dimensiones social y ambiental. En el primer caso, priorizando servicios de salud y educación.</w:t>
      </w:r>
      <w:r w:rsidR="00141A70">
        <w:rPr>
          <w:rFonts w:ascii="Calibri" w:hAnsi="Calibri" w:cs="Calibri"/>
          <w:b w:val="0"/>
          <w:sz w:val="24"/>
          <w:szCs w:val="24"/>
          <w:lang w:val="es-GT"/>
        </w:rPr>
        <w:t xml:space="preserve"> </w:t>
      </w:r>
      <w:r w:rsidRPr="00CB4EA0">
        <w:rPr>
          <w:rFonts w:ascii="Calibri" w:hAnsi="Calibri" w:cs="Calibri"/>
          <w:b w:val="0"/>
          <w:sz w:val="24"/>
          <w:szCs w:val="24"/>
          <w:lang w:val="es-GT"/>
        </w:rPr>
        <w:t>Las escuelas deberían convertirse en centros de excelencia para la formación, la nutrición, el deporte y las artes. En el</w:t>
      </w:r>
      <w:r w:rsidR="00141A70">
        <w:rPr>
          <w:rFonts w:ascii="Calibri" w:hAnsi="Calibri" w:cs="Calibri"/>
          <w:b w:val="0"/>
          <w:sz w:val="24"/>
          <w:szCs w:val="24"/>
          <w:lang w:val="es-GT"/>
        </w:rPr>
        <w:t xml:space="preserve"> </w:t>
      </w:r>
      <w:r w:rsidRPr="00CB4EA0">
        <w:rPr>
          <w:rFonts w:ascii="Calibri" w:hAnsi="Calibri" w:cs="Calibri"/>
          <w:b w:val="0"/>
          <w:sz w:val="24"/>
          <w:szCs w:val="24"/>
          <w:lang w:val="es-GT"/>
        </w:rPr>
        <w:t>segundo caso, priorizando la gestión del riesgo a desastres, del agua y de los bosques. Si vamos a asumir más deuda</w:t>
      </w:r>
      <w:r w:rsidR="007F0B83">
        <w:rPr>
          <w:rFonts w:ascii="Calibri" w:hAnsi="Calibri" w:cs="Calibri"/>
          <w:b w:val="0"/>
          <w:sz w:val="24"/>
          <w:szCs w:val="24"/>
          <w:lang w:val="es-GT"/>
        </w:rPr>
        <w:t>,</w:t>
      </w:r>
      <w:r w:rsidRPr="00CB4EA0">
        <w:rPr>
          <w:rFonts w:ascii="Calibri" w:hAnsi="Calibri" w:cs="Calibri"/>
          <w:b w:val="0"/>
          <w:sz w:val="24"/>
          <w:szCs w:val="24"/>
          <w:lang w:val="es-GT"/>
        </w:rPr>
        <w:t xml:space="preserve"> que sea para tentativas de alto alcance, de largo plazo y capaces de modificar radicalmente nuestra realidad y poner el desarrollo al alcance de todos.</w:t>
      </w:r>
    </w:p>
    <w:p w:rsidR="00BB1061" w:rsidRPr="001A01AB" w:rsidRDefault="00CB4EA0" w:rsidP="00CB4EA0">
      <w:pPr>
        <w:pStyle w:val="Epgrafe"/>
        <w:jc w:val="both"/>
        <w:rPr>
          <w:rFonts w:ascii="Calibri" w:hAnsi="Calibri" w:cs="Calibri"/>
          <w:lang w:val="es-GT"/>
        </w:rPr>
      </w:pPr>
      <w:r w:rsidRPr="00CB4EA0">
        <w:rPr>
          <w:rFonts w:ascii="Calibri" w:hAnsi="Calibri" w:cs="Calibri"/>
          <w:b w:val="0"/>
          <w:sz w:val="24"/>
          <w:szCs w:val="24"/>
          <w:lang w:val="es-GT"/>
        </w:rPr>
        <w:t xml:space="preserve"> </w:t>
      </w:r>
      <w:r w:rsidR="003C4B1C" w:rsidRPr="00CB4EA0">
        <w:rPr>
          <w:rFonts w:ascii="Calibri" w:hAnsi="Calibri" w:cs="Calibri"/>
          <w:b w:val="0"/>
          <w:sz w:val="24"/>
          <w:szCs w:val="24"/>
          <w:lang w:val="es-GT"/>
        </w:rPr>
        <w:br w:type="page"/>
      </w:r>
    </w:p>
    <w:p w:rsidR="00E31B19" w:rsidRPr="001A01AB" w:rsidRDefault="00E31B19" w:rsidP="001A01AB">
      <w:pPr>
        <w:pStyle w:val="Prrafodelista"/>
        <w:numPr>
          <w:ilvl w:val="0"/>
          <w:numId w:val="54"/>
        </w:numPr>
        <w:pBdr>
          <w:bottom w:val="single" w:sz="12" w:space="1" w:color="365F91"/>
        </w:pBdr>
        <w:autoSpaceDE w:val="0"/>
        <w:autoSpaceDN w:val="0"/>
        <w:adjustRightInd w:val="0"/>
        <w:spacing w:after="120" w:line="264" w:lineRule="auto"/>
        <w:jc w:val="both"/>
        <w:outlineLvl w:val="0"/>
        <w:rPr>
          <w:rFonts w:cs="Calibri"/>
          <w:b/>
          <w:color w:val="365F91"/>
          <w:sz w:val="36"/>
          <w:lang w:eastAsia="es-GT"/>
        </w:rPr>
      </w:pPr>
      <w:bookmarkStart w:id="116" w:name="_Toc336951327"/>
      <w:bookmarkStart w:id="117" w:name="_Toc339926596"/>
      <w:bookmarkStart w:id="118" w:name="_Toc340065167"/>
      <w:bookmarkStart w:id="119" w:name="_Toc340065259"/>
      <w:bookmarkStart w:id="120" w:name="_Toc340565852"/>
      <w:bookmarkStart w:id="121" w:name="_Toc347841302"/>
      <w:r w:rsidRPr="001A01AB">
        <w:rPr>
          <w:rFonts w:cs="Calibri"/>
          <w:b/>
          <w:color w:val="365F91"/>
          <w:sz w:val="36"/>
          <w:lang w:eastAsia="es-GT"/>
        </w:rPr>
        <w:lastRenderedPageBreak/>
        <w:t>Análisis estratégico</w:t>
      </w:r>
      <w:bookmarkEnd w:id="116"/>
      <w:bookmarkEnd w:id="117"/>
      <w:bookmarkEnd w:id="118"/>
      <w:bookmarkEnd w:id="119"/>
      <w:bookmarkEnd w:id="120"/>
      <w:bookmarkEnd w:id="121"/>
    </w:p>
    <w:p w:rsidR="00E31B19" w:rsidRPr="001A01AB" w:rsidRDefault="00E31B19" w:rsidP="00E31B19">
      <w:pPr>
        <w:ind w:left="360"/>
        <w:jc w:val="both"/>
        <w:rPr>
          <w:rFonts w:ascii="Calibri" w:hAnsi="Calibri" w:cs="Calibri"/>
          <w:bCs/>
          <w:lang w:val="es-GT"/>
        </w:rPr>
      </w:pPr>
    </w:p>
    <w:p w:rsidR="00E31B19" w:rsidRPr="001A01AB" w:rsidRDefault="00141A70" w:rsidP="006B0A31">
      <w:pPr>
        <w:pStyle w:val="Prrafodelista"/>
        <w:numPr>
          <w:ilvl w:val="1"/>
          <w:numId w:val="55"/>
        </w:numPr>
        <w:autoSpaceDE w:val="0"/>
        <w:autoSpaceDN w:val="0"/>
        <w:adjustRightInd w:val="0"/>
        <w:spacing w:after="120" w:line="264" w:lineRule="auto"/>
        <w:jc w:val="both"/>
        <w:outlineLvl w:val="1"/>
        <w:rPr>
          <w:rFonts w:cs="Calibri"/>
          <w:b/>
          <w:color w:val="365F91"/>
          <w:sz w:val="28"/>
          <w:lang w:eastAsia="es-GT"/>
        </w:rPr>
      </w:pPr>
      <w:bookmarkStart w:id="122" w:name="_Toc336951328"/>
      <w:bookmarkStart w:id="123" w:name="_Toc339926597"/>
      <w:r>
        <w:rPr>
          <w:rFonts w:cs="Calibri"/>
          <w:b/>
          <w:color w:val="365F91"/>
          <w:sz w:val="28"/>
          <w:lang w:eastAsia="es-GT"/>
        </w:rPr>
        <w:t xml:space="preserve"> </w:t>
      </w:r>
      <w:bookmarkStart w:id="124" w:name="_Toc340065168"/>
      <w:bookmarkStart w:id="125" w:name="_Toc340065260"/>
      <w:bookmarkStart w:id="126" w:name="_Toc340565853"/>
      <w:bookmarkStart w:id="127" w:name="_Toc347841303"/>
      <w:r w:rsidR="00E31B19" w:rsidRPr="001A01AB">
        <w:rPr>
          <w:rFonts w:cs="Calibri"/>
          <w:b/>
          <w:color w:val="365F91"/>
          <w:sz w:val="28"/>
          <w:lang w:eastAsia="es-GT"/>
        </w:rPr>
        <w:t xml:space="preserve">Definición del Objetivo Estratégico de la intervención del </w:t>
      </w:r>
      <w:r w:rsidR="005462E3">
        <w:rPr>
          <w:rFonts w:cs="Calibri"/>
          <w:b/>
          <w:color w:val="365F91"/>
          <w:sz w:val="28"/>
          <w:lang w:eastAsia="es-GT"/>
        </w:rPr>
        <w:t>Fondo Internacional de Desarrollo Agrícola (</w:t>
      </w:r>
      <w:r w:rsidR="00E31B19" w:rsidRPr="001A01AB">
        <w:rPr>
          <w:rFonts w:cs="Calibri"/>
          <w:b/>
          <w:color w:val="365F91"/>
          <w:sz w:val="28"/>
          <w:lang w:eastAsia="es-GT"/>
        </w:rPr>
        <w:t>FIDA</w:t>
      </w:r>
      <w:r w:rsidR="005462E3">
        <w:rPr>
          <w:rFonts w:cs="Calibri"/>
          <w:b/>
          <w:color w:val="365F91"/>
          <w:sz w:val="28"/>
          <w:lang w:eastAsia="es-GT"/>
        </w:rPr>
        <w:t>)</w:t>
      </w:r>
      <w:r w:rsidR="00E31B19" w:rsidRPr="001A01AB">
        <w:rPr>
          <w:rFonts w:cs="Calibri"/>
          <w:b/>
          <w:color w:val="365F91"/>
          <w:sz w:val="28"/>
          <w:lang w:eastAsia="es-GT"/>
        </w:rPr>
        <w:t xml:space="preserve"> para Guatemala</w:t>
      </w:r>
      <w:bookmarkEnd w:id="122"/>
      <w:bookmarkEnd w:id="123"/>
      <w:bookmarkEnd w:id="124"/>
      <w:bookmarkEnd w:id="125"/>
      <w:bookmarkEnd w:id="126"/>
      <w:bookmarkEnd w:id="127"/>
      <w:r w:rsidR="00E31B19" w:rsidRPr="001A01AB">
        <w:rPr>
          <w:rFonts w:cs="Calibri"/>
          <w:b/>
          <w:color w:val="365F91"/>
          <w:sz w:val="28"/>
          <w:lang w:eastAsia="es-GT"/>
        </w:rPr>
        <w:t xml:space="preserve"> </w:t>
      </w:r>
    </w:p>
    <w:p w:rsidR="00E31B19" w:rsidRPr="001A01AB" w:rsidRDefault="00E31B19" w:rsidP="00E31B19">
      <w:pPr>
        <w:ind w:left="360"/>
        <w:jc w:val="both"/>
        <w:rPr>
          <w:rFonts w:ascii="Calibri" w:hAnsi="Calibri" w:cs="Calibri"/>
          <w:bCs/>
          <w:lang w:val="es-GT"/>
        </w:rPr>
      </w:pPr>
    </w:p>
    <w:p w:rsidR="00E31B19" w:rsidRPr="001A01AB" w:rsidRDefault="00E31B19" w:rsidP="006B0A31">
      <w:pPr>
        <w:pStyle w:val="Prrafodelista"/>
        <w:numPr>
          <w:ilvl w:val="2"/>
          <w:numId w:val="55"/>
        </w:numPr>
        <w:spacing w:after="120"/>
        <w:jc w:val="both"/>
        <w:rPr>
          <w:rFonts w:cs="Calibri"/>
          <w:b/>
          <w:i/>
          <w:color w:val="365F91"/>
          <w:sz w:val="24"/>
          <w:szCs w:val="24"/>
        </w:rPr>
      </w:pPr>
      <w:bookmarkStart w:id="128" w:name="_Toc339926598"/>
      <w:r w:rsidRPr="001A01AB">
        <w:rPr>
          <w:rFonts w:cs="Calibri"/>
          <w:b/>
          <w:i/>
          <w:color w:val="365F91"/>
          <w:sz w:val="24"/>
          <w:szCs w:val="24"/>
        </w:rPr>
        <w:t>Antecedentes de la intervención del FIDA en Guatemala</w:t>
      </w:r>
      <w:bookmarkEnd w:id="128"/>
    </w:p>
    <w:p w:rsidR="004E2482" w:rsidRPr="005462E3" w:rsidRDefault="004E2482" w:rsidP="004E2482">
      <w:pPr>
        <w:pStyle w:val="IFADparagraphnumbering"/>
        <w:numPr>
          <w:ilvl w:val="0"/>
          <w:numId w:val="0"/>
        </w:numPr>
        <w:tabs>
          <w:tab w:val="left" w:pos="454"/>
        </w:tabs>
        <w:ind w:left="360"/>
        <w:jc w:val="both"/>
        <w:rPr>
          <w:rFonts w:ascii="Calibri" w:hAnsi="Calibri"/>
          <w:sz w:val="24"/>
          <w:szCs w:val="24"/>
          <w:lang w:val="es-MX"/>
        </w:rPr>
      </w:pPr>
      <w:r w:rsidRPr="005462E3">
        <w:rPr>
          <w:rFonts w:ascii="Calibri" w:hAnsi="Calibri"/>
          <w:sz w:val="24"/>
          <w:szCs w:val="24"/>
          <w:lang w:val="es-MX"/>
        </w:rPr>
        <w:t>FIDA inici</w:t>
      </w:r>
      <w:r w:rsidR="00D77610" w:rsidRPr="005462E3">
        <w:rPr>
          <w:rFonts w:ascii="Calibri" w:hAnsi="Calibri"/>
          <w:sz w:val="24"/>
          <w:szCs w:val="24"/>
          <w:lang w:val="es-MX"/>
        </w:rPr>
        <w:t>ó</w:t>
      </w:r>
      <w:r w:rsidRPr="005462E3">
        <w:rPr>
          <w:rFonts w:ascii="Calibri" w:hAnsi="Calibri"/>
          <w:sz w:val="24"/>
          <w:szCs w:val="24"/>
          <w:lang w:val="es-MX"/>
        </w:rPr>
        <w:t xml:space="preserve"> a</w:t>
      </w:r>
      <w:r w:rsidR="00D77610" w:rsidRPr="005462E3">
        <w:rPr>
          <w:rFonts w:ascii="Calibri" w:hAnsi="Calibri"/>
          <w:sz w:val="24"/>
          <w:szCs w:val="24"/>
          <w:lang w:val="es-MX"/>
        </w:rPr>
        <w:t>ctividades</w:t>
      </w:r>
      <w:r w:rsidRPr="005462E3">
        <w:rPr>
          <w:rFonts w:ascii="Calibri" w:hAnsi="Calibri"/>
          <w:sz w:val="24"/>
          <w:szCs w:val="24"/>
          <w:lang w:val="es-MX"/>
        </w:rPr>
        <w:t xml:space="preserve"> en Guatemala en 1986. Desde su </w:t>
      </w:r>
      <w:r w:rsidR="00D77610" w:rsidRPr="005462E3">
        <w:rPr>
          <w:rFonts w:ascii="Calibri" w:hAnsi="Calibri"/>
          <w:sz w:val="24"/>
          <w:szCs w:val="24"/>
          <w:lang w:val="es-MX"/>
        </w:rPr>
        <w:t>comienzo</w:t>
      </w:r>
      <w:r w:rsidRPr="005462E3">
        <w:rPr>
          <w:rFonts w:ascii="Calibri" w:hAnsi="Calibri"/>
          <w:sz w:val="24"/>
          <w:szCs w:val="24"/>
          <w:lang w:val="es-MX"/>
        </w:rPr>
        <w:t xml:space="preserve">, sus acciones han estado centradas en apoyar la reducción de la pobreza rural y fortalecer las iniciativas de desarrollo agrícola y rural. En la primera fase, principalmente durante la primera década, su labor se orientó a apoyar al Gobierno en la consolidación del proceso de paz y la reconstrucción del tejido social en las zonas que fueron afectadas por el conflicto armado, y la construcción de una plataforma económica e institucional para el desarrollo de comunidades marginadas, rurales e indígenas. Posteriormente, sus acciones han evolucionado </w:t>
      </w:r>
      <w:r w:rsidR="005462E3" w:rsidRPr="005462E3">
        <w:rPr>
          <w:rFonts w:ascii="Calibri" w:hAnsi="Calibri"/>
          <w:sz w:val="24"/>
          <w:szCs w:val="24"/>
          <w:lang w:val="es-MX"/>
        </w:rPr>
        <w:t>hacia</w:t>
      </w:r>
      <w:r w:rsidRPr="005462E3">
        <w:rPr>
          <w:rFonts w:ascii="Calibri" w:hAnsi="Calibri"/>
          <w:sz w:val="24"/>
          <w:szCs w:val="24"/>
          <w:lang w:val="es-MX"/>
        </w:rPr>
        <w:t xml:space="preserve"> proyectos de desarrollo rural focalizados en el territorio y a programas de inversión </w:t>
      </w:r>
      <w:r w:rsidRPr="005462E3">
        <w:rPr>
          <w:rFonts w:ascii="Calibri" w:hAnsi="Calibri"/>
          <w:sz w:val="24"/>
          <w:szCs w:val="24"/>
          <w:highlight w:val="magenta"/>
          <w:lang w:val="es-MX"/>
        </w:rPr>
        <w:t>(FIDA, 2012).</w:t>
      </w:r>
    </w:p>
    <w:p w:rsidR="004E2482" w:rsidRPr="005462E3" w:rsidRDefault="004E2482" w:rsidP="004E2482">
      <w:pPr>
        <w:pStyle w:val="IFADparagraphnumbering"/>
        <w:numPr>
          <w:ilvl w:val="0"/>
          <w:numId w:val="0"/>
        </w:numPr>
        <w:tabs>
          <w:tab w:val="left" w:pos="454"/>
        </w:tabs>
        <w:ind w:left="360"/>
        <w:jc w:val="both"/>
        <w:rPr>
          <w:rFonts w:ascii="Calibri" w:hAnsi="Calibri"/>
          <w:sz w:val="24"/>
          <w:szCs w:val="24"/>
          <w:lang w:val="es-MX"/>
        </w:rPr>
      </w:pPr>
    </w:p>
    <w:p w:rsidR="004E2482" w:rsidRPr="005462E3" w:rsidRDefault="004E2482" w:rsidP="004E2482">
      <w:pPr>
        <w:pStyle w:val="IFADparagraphnumbering"/>
        <w:numPr>
          <w:ilvl w:val="0"/>
          <w:numId w:val="0"/>
        </w:numPr>
        <w:tabs>
          <w:tab w:val="left" w:pos="454"/>
        </w:tabs>
        <w:ind w:left="360"/>
        <w:jc w:val="both"/>
        <w:rPr>
          <w:rFonts w:ascii="Calibri" w:hAnsi="Calibri"/>
          <w:sz w:val="24"/>
          <w:szCs w:val="24"/>
          <w:lang w:val="es-MX"/>
        </w:rPr>
      </w:pPr>
      <w:r w:rsidRPr="005462E3">
        <w:rPr>
          <w:rFonts w:ascii="Calibri" w:hAnsi="Calibri"/>
          <w:sz w:val="24"/>
          <w:szCs w:val="24"/>
          <w:lang w:val="es-MX"/>
        </w:rPr>
        <w:t>A la fecha, FIDA ha apoyado con la ejecución de nueve proyectos orientados principalmente al desarrollo rural, mismos que han tenido diversas formas de diseño y ejecución, lo cual ha permitido obtener una serie de experiencias. Dentro de estas se puede decir que los proyectos de FIDA en Guatemala se han caracterizado por: a) poseer un enfoque integral y atender a las poblaciones con varia</w:t>
      </w:r>
      <w:r w:rsidR="005462E3">
        <w:rPr>
          <w:rFonts w:ascii="Calibri" w:hAnsi="Calibri"/>
          <w:sz w:val="24"/>
          <w:szCs w:val="24"/>
          <w:lang w:val="es-MX"/>
        </w:rPr>
        <w:t>s actividades interrelacionadas;</w:t>
      </w:r>
      <w:r w:rsidRPr="005462E3">
        <w:rPr>
          <w:rFonts w:ascii="Calibri" w:hAnsi="Calibri"/>
          <w:sz w:val="24"/>
          <w:szCs w:val="24"/>
          <w:lang w:val="es-MX"/>
        </w:rPr>
        <w:t xml:space="preserve"> b) estar focalizados en territorios específicos, focalizados a grupos de c</w:t>
      </w:r>
      <w:r w:rsidR="005462E3">
        <w:rPr>
          <w:rFonts w:ascii="Calibri" w:hAnsi="Calibri"/>
          <w:sz w:val="24"/>
          <w:szCs w:val="24"/>
          <w:lang w:val="es-MX"/>
        </w:rPr>
        <w:t>omunidades, familias y personas;</w:t>
      </w:r>
      <w:r w:rsidRPr="005462E3">
        <w:rPr>
          <w:rFonts w:ascii="Calibri" w:hAnsi="Calibri"/>
          <w:sz w:val="24"/>
          <w:szCs w:val="24"/>
          <w:lang w:val="es-MX"/>
        </w:rPr>
        <w:t xml:space="preserve"> y c) poseer mecanismos que permiten flexibilidad al momento de su ejecución. Estas condiciones han permitido que los proyectos de FIDA posean condiciones especiales en términos de efectos e impactos.</w:t>
      </w:r>
    </w:p>
    <w:p w:rsidR="004E2482" w:rsidRDefault="004E2482" w:rsidP="004E2482">
      <w:pPr>
        <w:ind w:left="360"/>
        <w:jc w:val="both"/>
        <w:rPr>
          <w:rFonts w:ascii="Calibri" w:hAnsi="Calibri" w:cs="Calibri"/>
          <w:bCs/>
          <w:lang w:val="es-GT"/>
        </w:rPr>
      </w:pPr>
    </w:p>
    <w:p w:rsidR="00E31B19" w:rsidRPr="001A01AB" w:rsidRDefault="00E31B19" w:rsidP="00E31B19">
      <w:pPr>
        <w:ind w:left="360"/>
        <w:jc w:val="both"/>
        <w:rPr>
          <w:rFonts w:ascii="Calibri" w:hAnsi="Calibri" w:cs="Calibri"/>
          <w:bCs/>
          <w:lang w:val="es-GT"/>
        </w:rPr>
      </w:pPr>
      <w:r w:rsidRPr="001A01AB">
        <w:rPr>
          <w:rFonts w:ascii="Calibri" w:hAnsi="Calibri" w:cs="Calibri"/>
          <w:bCs/>
          <w:lang w:val="es-GT"/>
        </w:rPr>
        <w:t>Las intervenciones del FIDA en Guatemala en los últimos años han estado enfocadas en los siguientes temas: desarrollo agrícola, servicios financieros, fortalecimiento de capacidades locales, infraestructura rural, protección y manejo de recursos naturales, servicios de apoyo a la comercialización y microempresas rurales (SEGEPLAN, 2012</w:t>
      </w:r>
      <w:r w:rsidR="005462E3">
        <w:rPr>
          <w:rFonts w:ascii="Calibri" w:hAnsi="Calibri" w:cs="Calibri"/>
          <w:bCs/>
          <w:lang w:val="es-GT"/>
        </w:rPr>
        <w:t xml:space="preserve"> </w:t>
      </w:r>
      <w:r w:rsidR="005462E3" w:rsidRPr="005462E3">
        <w:rPr>
          <w:rFonts w:ascii="Calibri" w:hAnsi="Calibri" w:cs="Calibri"/>
          <w:bCs/>
          <w:highlight w:val="magenta"/>
          <w:lang w:val="es-GT"/>
        </w:rPr>
        <w:t>a ó b?</w:t>
      </w:r>
      <w:r w:rsidRPr="001A01AB">
        <w:rPr>
          <w:rFonts w:ascii="Calibri" w:hAnsi="Calibri" w:cs="Calibri"/>
          <w:bCs/>
          <w:lang w:val="es-GT"/>
        </w:rPr>
        <w:t>).</w:t>
      </w:r>
    </w:p>
    <w:p w:rsidR="00E31B19" w:rsidRPr="001A01AB" w:rsidRDefault="00E31B19" w:rsidP="00E31B19">
      <w:pPr>
        <w:ind w:left="360"/>
        <w:jc w:val="both"/>
        <w:rPr>
          <w:rFonts w:ascii="Calibri" w:hAnsi="Calibri" w:cs="Calibri"/>
          <w:bCs/>
          <w:lang w:val="es-GT"/>
        </w:rPr>
      </w:pPr>
    </w:p>
    <w:p w:rsidR="00E31B19" w:rsidRPr="001A01AB" w:rsidRDefault="00E31B19" w:rsidP="00E31B19">
      <w:pPr>
        <w:ind w:left="360"/>
        <w:jc w:val="both"/>
        <w:rPr>
          <w:rFonts w:ascii="Calibri" w:hAnsi="Calibri" w:cs="Calibri"/>
          <w:bCs/>
          <w:lang w:val="es-GT"/>
        </w:rPr>
      </w:pPr>
      <w:r w:rsidRPr="001A01AB">
        <w:rPr>
          <w:rFonts w:ascii="Calibri" w:hAnsi="Calibri" w:cs="Calibri"/>
          <w:bCs/>
          <w:lang w:val="es-GT"/>
        </w:rPr>
        <w:t>La Estrategia del Programa sobre Oportunidades Estratégicas Nacionales (COSO</w:t>
      </w:r>
      <w:r w:rsidR="005462E3">
        <w:rPr>
          <w:rFonts w:ascii="Calibri" w:hAnsi="Calibri" w:cs="Calibri"/>
          <w:bCs/>
          <w:lang w:val="es-GT"/>
        </w:rPr>
        <w:t xml:space="preserve">P) para el período 2008-2012, </w:t>
      </w:r>
      <w:r w:rsidRPr="001A01AB">
        <w:rPr>
          <w:rFonts w:ascii="Calibri" w:hAnsi="Calibri" w:cs="Calibri"/>
          <w:bCs/>
          <w:lang w:val="es-GT"/>
        </w:rPr>
        <w:t xml:space="preserve">es la segunda que ha elaborado el FIDA para Guatemala. En dicho Programa se expone la estrategia concebida por el FIDA para ayudar al Gobierno de Guatemala a promover el desarrollo rural, aumentar la seguridad alimentaria y reducir la pobreza entre las comunidades rurales e indígenas. El COSOP 2008-2012 estuvo alineado con el Plan de Gobierno anterior (Plan de la Esperanza), y respondía a los esfuerzos del gobierno por alcanzar los Objetivos de Desarrollo del Milenio (ODM). Asimismo, se fundamentaba en las enseñanzas de los más de 20 años de actividad del FIDA en el país. </w:t>
      </w:r>
    </w:p>
    <w:p w:rsidR="00E31B19" w:rsidRPr="001A01AB" w:rsidRDefault="00E31B19" w:rsidP="00E31B19">
      <w:pPr>
        <w:ind w:left="360"/>
        <w:jc w:val="both"/>
        <w:rPr>
          <w:rFonts w:ascii="Calibri" w:hAnsi="Calibri" w:cs="Calibri"/>
          <w:bCs/>
          <w:lang w:val="es-GT"/>
        </w:rPr>
      </w:pPr>
    </w:p>
    <w:p w:rsidR="00E31B19" w:rsidRPr="001A01AB" w:rsidRDefault="00E31B19" w:rsidP="00E31B19">
      <w:pPr>
        <w:ind w:left="360"/>
        <w:jc w:val="both"/>
        <w:rPr>
          <w:rFonts w:ascii="Calibri" w:hAnsi="Calibri" w:cs="Calibri"/>
          <w:bCs/>
          <w:lang w:val="es-GT"/>
        </w:rPr>
      </w:pPr>
      <w:r w:rsidRPr="001A01AB">
        <w:rPr>
          <w:rFonts w:ascii="Calibri" w:hAnsi="Calibri" w:cs="Calibri"/>
          <w:bCs/>
          <w:lang w:val="es-GT"/>
        </w:rPr>
        <w:t xml:space="preserve">En el COSOP 2008-2012 se atienden los siguientes aspectos transversales: la necesidad de reducir la vulnerabilidad al impacto del cambio climático y al alza de los precios de los </w:t>
      </w:r>
      <w:r w:rsidRPr="001A01AB">
        <w:rPr>
          <w:rFonts w:ascii="Calibri" w:hAnsi="Calibri" w:cs="Calibri"/>
          <w:bCs/>
          <w:lang w:val="es-GT"/>
        </w:rPr>
        <w:lastRenderedPageBreak/>
        <w:t>alimentos; la necesidad de afirmar la identidad multicultural y multilingüe de los pueb</w:t>
      </w:r>
      <w:r w:rsidR="005462E3">
        <w:rPr>
          <w:rFonts w:ascii="Calibri" w:hAnsi="Calibri" w:cs="Calibri"/>
          <w:bCs/>
          <w:lang w:val="es-GT"/>
        </w:rPr>
        <w:t>los indígenas del país;</w:t>
      </w:r>
      <w:r w:rsidRPr="001A01AB">
        <w:rPr>
          <w:rFonts w:ascii="Calibri" w:hAnsi="Calibri" w:cs="Calibri"/>
          <w:bCs/>
          <w:lang w:val="es-GT"/>
        </w:rPr>
        <w:t xml:space="preserve"> y la necesidad de una mayor equidad de género e intergeneracional. </w:t>
      </w:r>
    </w:p>
    <w:p w:rsidR="00E31B19" w:rsidRPr="001A01AB" w:rsidRDefault="00E31B19" w:rsidP="00E31B19">
      <w:pPr>
        <w:ind w:left="360"/>
        <w:jc w:val="both"/>
        <w:rPr>
          <w:rFonts w:ascii="Calibri" w:hAnsi="Calibri" w:cs="Calibri"/>
          <w:bCs/>
          <w:lang w:val="es-GT"/>
        </w:rPr>
      </w:pPr>
    </w:p>
    <w:p w:rsidR="00E31B19" w:rsidRPr="001A01AB" w:rsidRDefault="00E31B19" w:rsidP="00E31B19">
      <w:pPr>
        <w:ind w:left="360"/>
        <w:jc w:val="both"/>
        <w:rPr>
          <w:rFonts w:ascii="Calibri" w:hAnsi="Calibri" w:cs="Calibri"/>
          <w:bCs/>
          <w:lang w:val="es-GT"/>
        </w:rPr>
      </w:pPr>
      <w:r w:rsidRPr="001A01AB">
        <w:rPr>
          <w:rFonts w:ascii="Calibri" w:hAnsi="Calibri" w:cs="Calibri"/>
          <w:bCs/>
          <w:lang w:val="es-GT"/>
        </w:rPr>
        <w:t>Este programa estratégico: i) sustenta las nuevas estrategias sectoriales del gobierno</w:t>
      </w:r>
      <w:r w:rsidR="005462E3">
        <w:rPr>
          <w:rFonts w:ascii="Calibri" w:hAnsi="Calibri" w:cs="Calibri"/>
          <w:bCs/>
          <w:lang w:val="es-GT"/>
        </w:rPr>
        <w:t>,</w:t>
      </w:r>
      <w:r w:rsidRPr="001A01AB">
        <w:rPr>
          <w:rFonts w:ascii="Calibri" w:hAnsi="Calibri" w:cs="Calibri"/>
          <w:bCs/>
          <w:lang w:val="es-GT"/>
        </w:rPr>
        <w:t xml:space="preserve"> así como el Programa Nacional de Desarrollo Rural, en ejecución; ii) hace un fuerte hincapié en el apoyo a la ejecución y el aprendizaje, a lo que se dará seguimiento mediante la supervisión directa y una presencia activa del FIDA; y iii) prevé el apoyo a la expansión </w:t>
      </w:r>
      <w:r w:rsidR="005462E3">
        <w:rPr>
          <w:rFonts w:ascii="Calibri" w:hAnsi="Calibri" w:cs="Calibri"/>
          <w:bCs/>
          <w:lang w:val="es-GT"/>
        </w:rPr>
        <w:t xml:space="preserve">las actividades </w:t>
      </w:r>
      <w:r w:rsidRPr="001A01AB">
        <w:rPr>
          <w:rFonts w:ascii="Calibri" w:hAnsi="Calibri" w:cs="Calibri"/>
          <w:bCs/>
          <w:lang w:val="es-GT"/>
        </w:rPr>
        <w:t>prevista</w:t>
      </w:r>
      <w:r w:rsidR="005462E3">
        <w:rPr>
          <w:rFonts w:ascii="Calibri" w:hAnsi="Calibri" w:cs="Calibri"/>
          <w:bCs/>
          <w:lang w:val="es-GT"/>
        </w:rPr>
        <w:t>s</w:t>
      </w:r>
      <w:r w:rsidRPr="001A01AB">
        <w:rPr>
          <w:rFonts w:ascii="Calibri" w:hAnsi="Calibri" w:cs="Calibri"/>
          <w:bCs/>
          <w:lang w:val="es-GT"/>
        </w:rPr>
        <w:t xml:space="preserve"> por el go</w:t>
      </w:r>
      <w:r w:rsidR="005462E3">
        <w:rPr>
          <w:rFonts w:ascii="Calibri" w:hAnsi="Calibri" w:cs="Calibri"/>
          <w:bCs/>
          <w:lang w:val="es-GT"/>
        </w:rPr>
        <w:t xml:space="preserve">bierno en las regiones </w:t>
      </w:r>
      <w:r w:rsidRPr="001A01AB">
        <w:rPr>
          <w:rFonts w:ascii="Calibri" w:hAnsi="Calibri" w:cs="Calibri"/>
          <w:bCs/>
          <w:lang w:val="es-GT"/>
        </w:rPr>
        <w:t>norte y noroccidental mediante préstamos del FIDA, con arreglo al sistema de asignación de recursos basado en los resultados durante el ciclo de asignación de 2007 a 2009.</w:t>
      </w:r>
      <w:r w:rsidR="005462E3">
        <w:rPr>
          <w:rFonts w:ascii="Calibri" w:hAnsi="Calibri" w:cs="Calibri"/>
          <w:bCs/>
          <w:lang w:val="es-GT"/>
        </w:rPr>
        <w:t xml:space="preserve"> </w:t>
      </w:r>
    </w:p>
    <w:p w:rsidR="00E31B19" w:rsidRPr="001A01AB" w:rsidRDefault="00E31B19" w:rsidP="00E31B19">
      <w:pPr>
        <w:ind w:left="360"/>
        <w:jc w:val="both"/>
        <w:rPr>
          <w:rFonts w:ascii="Calibri" w:hAnsi="Calibri" w:cs="Calibri"/>
          <w:bCs/>
          <w:lang w:val="es-ES_tradnl"/>
        </w:rPr>
      </w:pPr>
    </w:p>
    <w:p w:rsidR="00E31B19" w:rsidRPr="001A01AB" w:rsidRDefault="00E31B19" w:rsidP="00E31B19">
      <w:pPr>
        <w:ind w:left="360"/>
        <w:jc w:val="both"/>
        <w:rPr>
          <w:rFonts w:ascii="Calibri" w:hAnsi="Calibri" w:cs="Calibri"/>
          <w:bCs/>
          <w:iCs/>
          <w:lang w:val="es-GT"/>
        </w:rPr>
      </w:pPr>
      <w:r w:rsidRPr="001A01AB">
        <w:rPr>
          <w:rFonts w:ascii="Calibri" w:hAnsi="Calibri" w:cs="Calibri"/>
          <w:bCs/>
          <w:lang w:val="es-ES_tradnl"/>
        </w:rPr>
        <w:t xml:space="preserve">El proceso de formulación de un nuevo COSOP-BR para Guatemala debe asegurar la consistencia del mismo con las políticas e instrumentos impulsados por la gestión del nuevo Gobierno, incluyendo el </w:t>
      </w:r>
      <w:r w:rsidRPr="001A01AB">
        <w:rPr>
          <w:rFonts w:ascii="Calibri" w:hAnsi="Calibri" w:cs="Calibri"/>
          <w:bCs/>
          <w:lang w:val="es-GT"/>
        </w:rPr>
        <w:t>Plan para Activar y Adecuar la Política Nacional de Desarrollo Rural Integral (</w:t>
      </w:r>
      <w:r w:rsidRPr="001A01AB">
        <w:rPr>
          <w:rFonts w:ascii="Calibri" w:hAnsi="Calibri" w:cs="Calibri"/>
          <w:bCs/>
          <w:iCs/>
          <w:lang w:val="es-GT"/>
        </w:rPr>
        <w:t>A</w:t>
      </w:r>
      <w:r w:rsidR="005462E3">
        <w:rPr>
          <w:rFonts w:ascii="Calibri" w:hAnsi="Calibri" w:cs="Calibri"/>
          <w:bCs/>
          <w:iCs/>
          <w:lang w:val="es-GT"/>
        </w:rPr>
        <w:t>cuerdo Gubernativo Número 196–</w:t>
      </w:r>
      <w:r w:rsidRPr="001A01AB">
        <w:rPr>
          <w:rFonts w:ascii="Calibri" w:hAnsi="Calibri" w:cs="Calibri"/>
          <w:bCs/>
          <w:iCs/>
          <w:lang w:val="es-GT"/>
        </w:rPr>
        <w:t xml:space="preserve">2009), el cual toma en consideración una propuesta de </w:t>
      </w:r>
      <w:r w:rsidR="005462E3" w:rsidRPr="001A01AB">
        <w:rPr>
          <w:rFonts w:ascii="Calibri" w:hAnsi="Calibri" w:cs="Calibri"/>
          <w:bCs/>
          <w:iCs/>
          <w:lang w:val="es-GT"/>
        </w:rPr>
        <w:t>abordaje del desarrollo rural integral</w:t>
      </w:r>
      <w:r w:rsidRPr="001A01AB">
        <w:rPr>
          <w:rFonts w:ascii="Calibri" w:hAnsi="Calibri" w:cs="Calibri"/>
          <w:bCs/>
          <w:iCs/>
          <w:lang w:val="es-GT"/>
        </w:rPr>
        <w:t xml:space="preserve"> gestada desde el sector académico (Universidad de San Carlos</w:t>
      </w:r>
      <w:r w:rsidR="005462E3">
        <w:rPr>
          <w:rFonts w:ascii="Calibri" w:hAnsi="Calibri" w:cs="Calibri"/>
          <w:bCs/>
          <w:iCs/>
          <w:lang w:val="es-GT"/>
        </w:rPr>
        <w:t xml:space="preserve"> y</w:t>
      </w:r>
      <w:r w:rsidRPr="001A01AB">
        <w:rPr>
          <w:rFonts w:ascii="Calibri" w:hAnsi="Calibri" w:cs="Calibri"/>
          <w:bCs/>
          <w:iCs/>
          <w:lang w:val="es-GT"/>
        </w:rPr>
        <w:t xml:space="preserve"> Universidad Rafael Landívar)</w:t>
      </w:r>
      <w:r w:rsidR="005462E3">
        <w:rPr>
          <w:rFonts w:ascii="Calibri" w:hAnsi="Calibri" w:cs="Calibri"/>
          <w:bCs/>
          <w:iCs/>
          <w:lang w:val="es-GT"/>
        </w:rPr>
        <w:t>,</w:t>
      </w:r>
      <w:r w:rsidRPr="001A01AB">
        <w:rPr>
          <w:rFonts w:ascii="Calibri" w:hAnsi="Calibri" w:cs="Calibri"/>
          <w:bCs/>
          <w:iCs/>
          <w:lang w:val="es-GT"/>
        </w:rPr>
        <w:t xml:space="preserve"> y que básicamente es de naturaleza metodológica, dirigida a encontrar “intersecciones” entre los modelos de desarrollo rural que han provocado contradicciones y polarizaciones sociales y políticas, con la pretensión de construir acuerdos nacionales al respecto, a partir del desarrollo de dichas intersecciones.</w:t>
      </w:r>
    </w:p>
    <w:p w:rsidR="00E31B19" w:rsidRPr="004E2482" w:rsidRDefault="00E31B19" w:rsidP="00E31B19">
      <w:pPr>
        <w:ind w:left="360"/>
        <w:jc w:val="both"/>
        <w:rPr>
          <w:rFonts w:ascii="Calibri" w:hAnsi="Calibri" w:cs="Calibri"/>
          <w:lang w:val="es-GT"/>
        </w:rPr>
      </w:pPr>
    </w:p>
    <w:p w:rsidR="00E31B19" w:rsidRPr="001A01AB" w:rsidRDefault="00E31B19" w:rsidP="006B0A31">
      <w:pPr>
        <w:pStyle w:val="Prrafodelista"/>
        <w:numPr>
          <w:ilvl w:val="2"/>
          <w:numId w:val="55"/>
        </w:numPr>
        <w:spacing w:after="120"/>
        <w:jc w:val="both"/>
        <w:rPr>
          <w:rFonts w:cs="Calibri"/>
          <w:b/>
          <w:i/>
          <w:color w:val="365F91"/>
          <w:sz w:val="24"/>
          <w:szCs w:val="24"/>
        </w:rPr>
      </w:pPr>
      <w:r w:rsidRPr="001A01AB">
        <w:rPr>
          <w:rFonts w:cs="Calibri"/>
          <w:b/>
          <w:i/>
          <w:color w:val="365F91"/>
          <w:sz w:val="24"/>
          <w:szCs w:val="24"/>
        </w:rPr>
        <w:t>Objetivos estratégicos de la intervención del FIDA en Guatemala</w:t>
      </w:r>
    </w:p>
    <w:p w:rsidR="00E31B19" w:rsidRPr="001A01AB" w:rsidRDefault="00E31B19" w:rsidP="00E31B19">
      <w:pPr>
        <w:ind w:left="360"/>
        <w:jc w:val="both"/>
        <w:rPr>
          <w:rFonts w:ascii="Calibri" w:hAnsi="Calibri" w:cs="Calibri"/>
          <w:u w:val="single"/>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Los objetivos estratégicos de las intervenciones del FIDA en Guatemala en los últimos años se han centrado en </w:t>
      </w:r>
      <w:r w:rsidRPr="001A01AB">
        <w:rPr>
          <w:rFonts w:ascii="Calibri" w:hAnsi="Calibri" w:cs="Calibri"/>
          <w:i/>
          <w:lang w:val="es-GT"/>
        </w:rPr>
        <w:t>“</w:t>
      </w:r>
      <w:r w:rsidRPr="001A01AB">
        <w:rPr>
          <w:rFonts w:ascii="Calibri" w:hAnsi="Calibri" w:cs="Calibri"/>
          <w:bCs/>
          <w:i/>
          <w:lang w:val="es-GT"/>
        </w:rPr>
        <w:t>Promover el desarrollo rural en Guatemala, aumentar la seguridad alimentaria,</w:t>
      </w:r>
      <w:r w:rsidR="00141A70">
        <w:rPr>
          <w:rFonts w:ascii="Calibri" w:hAnsi="Calibri" w:cs="Calibri"/>
          <w:bCs/>
          <w:i/>
          <w:lang w:val="es-GT"/>
        </w:rPr>
        <w:t xml:space="preserve"> </w:t>
      </w:r>
      <w:r w:rsidRPr="001A01AB">
        <w:rPr>
          <w:rFonts w:ascii="Calibri" w:hAnsi="Calibri" w:cs="Calibri"/>
          <w:bCs/>
          <w:i/>
          <w:lang w:val="es-GT"/>
        </w:rPr>
        <w:t>y reducir la pobreza entre las comunidades rurales e indígenas</w:t>
      </w:r>
      <w:r w:rsidRPr="001A01AB">
        <w:rPr>
          <w:rFonts w:ascii="Calibri" w:hAnsi="Calibri" w:cs="Calibri"/>
          <w:i/>
          <w:lang w:val="es-GT"/>
        </w:rPr>
        <w:t>”</w:t>
      </w:r>
      <w:r w:rsidRPr="001A01AB">
        <w:rPr>
          <w:rFonts w:ascii="Calibri" w:hAnsi="Calibri" w:cs="Calibri"/>
          <w:lang w:val="es-GT"/>
        </w:rPr>
        <w:t>.</w:t>
      </w:r>
      <w:r w:rsidR="00141A70">
        <w:rPr>
          <w:rFonts w:ascii="Calibri" w:hAnsi="Calibri" w:cs="Calibri"/>
          <w:lang w:val="es-GT"/>
        </w:rPr>
        <w:t xml:space="preserve"> </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En este contexto, </w:t>
      </w:r>
      <w:r w:rsidR="00BF4086" w:rsidRPr="001A01AB">
        <w:rPr>
          <w:rFonts w:ascii="Calibri" w:hAnsi="Calibri" w:cs="Calibri"/>
          <w:lang w:val="es-GT"/>
        </w:rPr>
        <w:t xml:space="preserve">a continuación </w:t>
      </w:r>
      <w:r w:rsidRPr="001A01AB">
        <w:rPr>
          <w:rFonts w:ascii="Calibri" w:hAnsi="Calibri" w:cs="Calibri"/>
          <w:lang w:val="es-GT"/>
        </w:rPr>
        <w:t>se enumeran las principales coincidencias entre los marcos estratégicos de los programas nacionales que FIDA ejecutó en Guatemala entre 2003 y 2012</w:t>
      </w:r>
      <w:r w:rsidRPr="001A01AB">
        <w:rPr>
          <w:rFonts w:ascii="Calibri" w:hAnsi="Calibri" w:cs="Calibri"/>
          <w:b/>
          <w:lang w:val="es-GT"/>
        </w:rPr>
        <w:t xml:space="preserve"> </w:t>
      </w:r>
      <w:r w:rsidRPr="001A01AB">
        <w:rPr>
          <w:rFonts w:ascii="Calibri" w:hAnsi="Calibri" w:cs="Calibri"/>
          <w:lang w:val="es-GT"/>
        </w:rPr>
        <w:t>(COSOP-BR 2003-2007 y 2008-2012):</w:t>
      </w:r>
      <w:r w:rsidR="00BF4086">
        <w:rPr>
          <w:rFonts w:ascii="Calibri" w:hAnsi="Calibri" w:cs="Calibri"/>
          <w:lang w:val="es-GT"/>
        </w:rPr>
        <w:t xml:space="preserve"> </w:t>
      </w:r>
    </w:p>
    <w:p w:rsidR="00E31B19" w:rsidRPr="001A01AB" w:rsidRDefault="00E31B19" w:rsidP="00E31B19">
      <w:pPr>
        <w:ind w:left="360"/>
        <w:jc w:val="both"/>
        <w:rPr>
          <w:rFonts w:ascii="Calibri" w:hAnsi="Calibri" w:cs="Calibri"/>
          <w:lang w:val="es-GT"/>
        </w:rPr>
      </w:pPr>
    </w:p>
    <w:p w:rsidR="00E31B19" w:rsidRPr="001A01AB" w:rsidRDefault="00E31B19" w:rsidP="00E31B19">
      <w:pPr>
        <w:numPr>
          <w:ilvl w:val="0"/>
          <w:numId w:val="1"/>
        </w:numPr>
        <w:tabs>
          <w:tab w:val="clear" w:pos="1440"/>
          <w:tab w:val="num" w:pos="720"/>
        </w:tabs>
        <w:spacing w:after="120"/>
        <w:ind w:left="720"/>
        <w:jc w:val="both"/>
        <w:rPr>
          <w:rFonts w:ascii="Calibri" w:hAnsi="Calibri" w:cs="Calibri"/>
          <w:lang w:val="es-GT"/>
        </w:rPr>
      </w:pPr>
      <w:r w:rsidRPr="001A01AB">
        <w:rPr>
          <w:rFonts w:ascii="Calibri" w:hAnsi="Calibri" w:cs="Calibri"/>
          <w:lang w:val="es-GT"/>
        </w:rPr>
        <w:t>Desarrollo del capital humano y social</w:t>
      </w:r>
      <w:r w:rsidR="00BF4086">
        <w:rPr>
          <w:rFonts w:ascii="Calibri" w:hAnsi="Calibri" w:cs="Calibri"/>
          <w:lang w:val="es-GT"/>
        </w:rPr>
        <w:t>;</w:t>
      </w:r>
    </w:p>
    <w:p w:rsidR="00E31B19" w:rsidRPr="001A01AB" w:rsidRDefault="00E31B19" w:rsidP="00E31B19">
      <w:pPr>
        <w:numPr>
          <w:ilvl w:val="0"/>
          <w:numId w:val="1"/>
        </w:numPr>
        <w:tabs>
          <w:tab w:val="clear" w:pos="1440"/>
          <w:tab w:val="num" w:pos="720"/>
        </w:tabs>
        <w:spacing w:after="120"/>
        <w:ind w:left="720"/>
        <w:jc w:val="both"/>
        <w:rPr>
          <w:rFonts w:ascii="Calibri" w:hAnsi="Calibri" w:cs="Calibri"/>
          <w:lang w:val="es-GT"/>
        </w:rPr>
      </w:pPr>
      <w:r w:rsidRPr="001A01AB">
        <w:rPr>
          <w:rFonts w:ascii="Calibri" w:hAnsi="Calibri" w:cs="Calibri"/>
          <w:lang w:val="es-GT"/>
        </w:rPr>
        <w:t>Apoyo a la generación de ingreso, con orientación de mercado a través del fomento de negocios rurales</w:t>
      </w:r>
      <w:r w:rsidR="00BF4086">
        <w:rPr>
          <w:rFonts w:ascii="Calibri" w:hAnsi="Calibri" w:cs="Calibri"/>
          <w:lang w:val="es-GT"/>
        </w:rPr>
        <w:t>;</w:t>
      </w:r>
    </w:p>
    <w:p w:rsidR="00E31B19" w:rsidRPr="001A01AB" w:rsidRDefault="00E31B19" w:rsidP="00E31B19">
      <w:pPr>
        <w:numPr>
          <w:ilvl w:val="0"/>
          <w:numId w:val="1"/>
        </w:numPr>
        <w:tabs>
          <w:tab w:val="clear" w:pos="1440"/>
          <w:tab w:val="num" w:pos="720"/>
        </w:tabs>
        <w:spacing w:after="120"/>
        <w:ind w:left="720"/>
        <w:jc w:val="both"/>
        <w:rPr>
          <w:rFonts w:ascii="Calibri" w:hAnsi="Calibri" w:cs="Calibri"/>
          <w:lang w:val="es-GT"/>
        </w:rPr>
      </w:pPr>
      <w:r w:rsidRPr="001A01AB">
        <w:rPr>
          <w:rFonts w:ascii="Calibri" w:hAnsi="Calibri" w:cs="Calibri"/>
          <w:lang w:val="es-GT"/>
        </w:rPr>
        <w:t>Fortalecimiento institucional</w:t>
      </w:r>
      <w:r w:rsidR="00BF4086">
        <w:rPr>
          <w:rFonts w:ascii="Calibri" w:hAnsi="Calibri" w:cs="Calibri"/>
          <w:lang w:val="es-GT"/>
        </w:rPr>
        <w:t>; y</w:t>
      </w:r>
    </w:p>
    <w:p w:rsidR="00E31B19" w:rsidRPr="001A01AB" w:rsidRDefault="00BF4086" w:rsidP="00E31B19">
      <w:pPr>
        <w:numPr>
          <w:ilvl w:val="0"/>
          <w:numId w:val="1"/>
        </w:numPr>
        <w:tabs>
          <w:tab w:val="clear" w:pos="1440"/>
          <w:tab w:val="num" w:pos="720"/>
        </w:tabs>
        <w:ind w:left="720"/>
        <w:jc w:val="both"/>
        <w:rPr>
          <w:rFonts w:ascii="Calibri" w:hAnsi="Calibri" w:cs="Calibri"/>
          <w:lang w:val="es-GT"/>
        </w:rPr>
      </w:pPr>
      <w:r>
        <w:rPr>
          <w:rFonts w:ascii="Calibri" w:hAnsi="Calibri" w:cs="Calibri"/>
          <w:lang w:val="es-GT"/>
        </w:rPr>
        <w:t>Fortalecimiento del diá</w:t>
      </w:r>
      <w:r w:rsidR="00E31B19" w:rsidRPr="001A01AB">
        <w:rPr>
          <w:rFonts w:ascii="Calibri" w:hAnsi="Calibri" w:cs="Calibri"/>
          <w:lang w:val="es-GT"/>
        </w:rPr>
        <w:t>logo de políticas y la planificación sectorial a favor de la población rural pobre</w:t>
      </w:r>
      <w:r>
        <w:rPr>
          <w:rFonts w:ascii="Calibri" w:hAnsi="Calibri" w:cs="Calibri"/>
          <w:lang w:val="es-GT"/>
        </w:rPr>
        <w:t>.</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El anterior marco estratégico institucional establece un grupo de temas transversales, compuesto por los siguientes elementos: cambio climático, género, ordenación y conservación de </w:t>
      </w:r>
      <w:r w:rsidR="00BF4086">
        <w:rPr>
          <w:rFonts w:ascii="Calibri" w:hAnsi="Calibri" w:cs="Calibri"/>
          <w:lang w:val="es-GT"/>
        </w:rPr>
        <w:t>recursos naturales</w:t>
      </w:r>
      <w:r w:rsidRPr="001A01AB">
        <w:rPr>
          <w:rFonts w:ascii="Calibri" w:hAnsi="Calibri" w:cs="Calibri"/>
          <w:lang w:val="es-GT"/>
        </w:rPr>
        <w:t>, afirmar la identidad multicultural y multilingüe.</w:t>
      </w:r>
    </w:p>
    <w:p w:rsidR="004E2482" w:rsidRPr="004E2482" w:rsidRDefault="004E2482" w:rsidP="004E2482">
      <w:pPr>
        <w:ind w:left="360"/>
        <w:jc w:val="both"/>
        <w:rPr>
          <w:rFonts w:ascii="Calibri" w:hAnsi="Calibri" w:cs="Calibri"/>
          <w:lang w:val="es-GT"/>
        </w:rPr>
      </w:pPr>
    </w:p>
    <w:p w:rsidR="004E2482" w:rsidRPr="003F314F" w:rsidRDefault="004E2482" w:rsidP="004E2482">
      <w:pPr>
        <w:pStyle w:val="Prrafodelista"/>
        <w:numPr>
          <w:ilvl w:val="2"/>
          <w:numId w:val="55"/>
        </w:numPr>
        <w:spacing w:after="120"/>
        <w:jc w:val="both"/>
        <w:rPr>
          <w:rFonts w:cs="Calibri"/>
          <w:b/>
          <w:i/>
          <w:color w:val="365F91"/>
          <w:sz w:val="24"/>
          <w:szCs w:val="24"/>
        </w:rPr>
      </w:pPr>
      <w:r w:rsidRPr="003F314F">
        <w:rPr>
          <w:rFonts w:cs="Calibri"/>
          <w:b/>
          <w:i/>
          <w:color w:val="365F91"/>
          <w:sz w:val="24"/>
          <w:szCs w:val="24"/>
        </w:rPr>
        <w:lastRenderedPageBreak/>
        <w:t>Lecciones aprendidas de la intervención del FIDA en Guatemala</w:t>
      </w:r>
    </w:p>
    <w:p w:rsidR="004E2482" w:rsidRPr="00BF4086" w:rsidRDefault="004E2482" w:rsidP="004E2482">
      <w:pPr>
        <w:pStyle w:val="IFADparagraphnumbering"/>
        <w:numPr>
          <w:ilvl w:val="0"/>
          <w:numId w:val="0"/>
        </w:numPr>
        <w:tabs>
          <w:tab w:val="left" w:pos="454"/>
        </w:tabs>
        <w:ind w:left="360"/>
        <w:jc w:val="both"/>
        <w:rPr>
          <w:rFonts w:ascii="Calibri" w:hAnsi="Calibri"/>
          <w:sz w:val="24"/>
          <w:szCs w:val="24"/>
          <w:lang w:val="es-MX"/>
        </w:rPr>
      </w:pPr>
      <w:r w:rsidRPr="00BF4086">
        <w:rPr>
          <w:rFonts w:ascii="Calibri" w:hAnsi="Calibri"/>
          <w:sz w:val="24"/>
          <w:szCs w:val="24"/>
          <w:lang w:val="es-MX"/>
        </w:rPr>
        <w:t xml:space="preserve">Existen muchas lecciones que se han obtenido de la ejecución de los proyectos que FIDA ha ejecutado en el país, </w:t>
      </w:r>
      <w:r w:rsidR="00AA02AB">
        <w:rPr>
          <w:rFonts w:ascii="Calibri" w:hAnsi="Calibri"/>
          <w:sz w:val="24"/>
          <w:szCs w:val="24"/>
          <w:lang w:val="es-MX"/>
        </w:rPr>
        <w:t>las cuales</w:t>
      </w:r>
      <w:r w:rsidRPr="00BF4086">
        <w:rPr>
          <w:rFonts w:ascii="Calibri" w:hAnsi="Calibri"/>
          <w:sz w:val="24"/>
          <w:szCs w:val="24"/>
          <w:lang w:val="es-MX"/>
        </w:rPr>
        <w:t xml:space="preserve"> se pueden agrupar temáticamente en:</w:t>
      </w:r>
    </w:p>
    <w:p w:rsidR="004E2482" w:rsidRPr="00D77610" w:rsidRDefault="004E2482" w:rsidP="004E2482">
      <w:pPr>
        <w:pStyle w:val="IFADparagraphnumbering"/>
        <w:numPr>
          <w:ilvl w:val="0"/>
          <w:numId w:val="0"/>
        </w:numPr>
        <w:tabs>
          <w:tab w:val="left" w:pos="454"/>
        </w:tabs>
        <w:ind w:left="360"/>
        <w:jc w:val="both"/>
        <w:rPr>
          <w:rFonts w:ascii="Calibri" w:hAnsi="Calibri"/>
          <w:lang w:val="es-MX"/>
        </w:rPr>
      </w:pPr>
    </w:p>
    <w:p w:rsidR="004E2482" w:rsidRPr="00D77610" w:rsidRDefault="004E2482" w:rsidP="00D77610">
      <w:pPr>
        <w:pStyle w:val="Prrafodelista"/>
        <w:numPr>
          <w:ilvl w:val="0"/>
          <w:numId w:val="74"/>
        </w:numPr>
        <w:autoSpaceDE w:val="0"/>
        <w:autoSpaceDN w:val="0"/>
        <w:adjustRightInd w:val="0"/>
        <w:jc w:val="both"/>
        <w:rPr>
          <w:rFonts w:cs="Calibri"/>
          <w:b/>
          <w:color w:val="365F91"/>
          <w:lang w:eastAsia="es-GT"/>
        </w:rPr>
      </w:pPr>
      <w:r w:rsidRPr="00D77610">
        <w:rPr>
          <w:rFonts w:cs="Calibri"/>
          <w:b/>
          <w:color w:val="365F91"/>
          <w:lang w:eastAsia="es-GT"/>
        </w:rPr>
        <w:t>Sistematización de las experiencias</w:t>
      </w:r>
    </w:p>
    <w:p w:rsidR="004E2482" w:rsidRPr="00AA02AB" w:rsidRDefault="004E2482" w:rsidP="004E2482">
      <w:pPr>
        <w:pStyle w:val="IFADparagraphnumbering"/>
        <w:numPr>
          <w:ilvl w:val="0"/>
          <w:numId w:val="0"/>
        </w:numPr>
        <w:tabs>
          <w:tab w:val="left" w:pos="360"/>
        </w:tabs>
        <w:ind w:left="360"/>
        <w:jc w:val="both"/>
        <w:rPr>
          <w:rFonts w:ascii="Calibri" w:hAnsi="Calibri"/>
          <w:sz w:val="24"/>
          <w:szCs w:val="24"/>
          <w:lang w:val="es-MX"/>
        </w:rPr>
      </w:pPr>
      <w:r w:rsidRPr="00AA02AB">
        <w:rPr>
          <w:rFonts w:ascii="Calibri" w:hAnsi="Calibri"/>
          <w:sz w:val="24"/>
          <w:szCs w:val="24"/>
          <w:lang w:val="es-MX"/>
        </w:rPr>
        <w:t>FIDA ha acumulado una gran cantidad de experiencias y lecciones por la ejecución de los proyecto</w:t>
      </w:r>
      <w:r w:rsidR="00D77610" w:rsidRPr="00AA02AB">
        <w:rPr>
          <w:rFonts w:ascii="Calibri" w:hAnsi="Calibri"/>
          <w:sz w:val="24"/>
          <w:szCs w:val="24"/>
          <w:lang w:val="es-MX"/>
        </w:rPr>
        <w:t>s</w:t>
      </w:r>
      <w:r w:rsidRPr="00AA02AB">
        <w:rPr>
          <w:rFonts w:ascii="Calibri" w:hAnsi="Calibri"/>
          <w:sz w:val="24"/>
          <w:szCs w:val="24"/>
          <w:lang w:val="es-MX"/>
        </w:rPr>
        <w:t>, sin embargo, las mismas no han sido organizad</w:t>
      </w:r>
      <w:r w:rsidR="00AA02AB">
        <w:rPr>
          <w:rFonts w:ascii="Calibri" w:hAnsi="Calibri"/>
          <w:sz w:val="24"/>
          <w:szCs w:val="24"/>
          <w:lang w:val="es-MX"/>
        </w:rPr>
        <w:t>as</w:t>
      </w:r>
      <w:r w:rsidRPr="00AA02AB">
        <w:rPr>
          <w:rFonts w:ascii="Calibri" w:hAnsi="Calibri"/>
          <w:sz w:val="24"/>
          <w:szCs w:val="24"/>
          <w:lang w:val="es-MX"/>
        </w:rPr>
        <w:t xml:space="preserve"> </w:t>
      </w:r>
      <w:r w:rsidR="00AA02AB">
        <w:rPr>
          <w:rFonts w:ascii="Calibri" w:hAnsi="Calibri"/>
          <w:sz w:val="24"/>
          <w:szCs w:val="24"/>
          <w:lang w:val="es-MX"/>
        </w:rPr>
        <w:t>o</w:t>
      </w:r>
      <w:r w:rsidRPr="00AA02AB">
        <w:rPr>
          <w:rFonts w:ascii="Calibri" w:hAnsi="Calibri"/>
          <w:sz w:val="24"/>
          <w:szCs w:val="24"/>
          <w:lang w:val="es-MX"/>
        </w:rPr>
        <w:t xml:space="preserve"> sistematizadas de forma integral. Esto limita la posibilidad de socializarlas con diversos agentes, incluyendo otros programas de cooperación. Por esta razón, es indispensable establecer acciones que permitan documentar, sistematizar y analizar las lecciones de los diferentes proyectos, principalmente orientadas a documentar la ejecución de las actividades, los requisitos mínimos que se requieren, costos, beneficios e impactos que las mismas generan.</w:t>
      </w:r>
    </w:p>
    <w:p w:rsidR="004E2482" w:rsidRPr="00D77610" w:rsidRDefault="004E2482" w:rsidP="004E2482">
      <w:pPr>
        <w:pStyle w:val="IFADparagraphnumbering"/>
        <w:numPr>
          <w:ilvl w:val="0"/>
          <w:numId w:val="0"/>
        </w:numPr>
        <w:tabs>
          <w:tab w:val="left" w:pos="360"/>
        </w:tabs>
        <w:ind w:left="360"/>
        <w:jc w:val="both"/>
        <w:rPr>
          <w:rFonts w:ascii="Calibri" w:hAnsi="Calibri"/>
          <w:lang w:val="es-MX"/>
        </w:rPr>
      </w:pPr>
    </w:p>
    <w:p w:rsidR="004E2482" w:rsidRPr="00D77610" w:rsidRDefault="004E2482" w:rsidP="00D77610">
      <w:pPr>
        <w:pStyle w:val="Prrafodelista"/>
        <w:numPr>
          <w:ilvl w:val="0"/>
          <w:numId w:val="74"/>
        </w:numPr>
        <w:autoSpaceDE w:val="0"/>
        <w:autoSpaceDN w:val="0"/>
        <w:adjustRightInd w:val="0"/>
        <w:jc w:val="both"/>
        <w:rPr>
          <w:rFonts w:cs="Calibri"/>
          <w:b/>
          <w:color w:val="365F91"/>
          <w:lang w:eastAsia="es-GT"/>
        </w:rPr>
      </w:pPr>
      <w:r w:rsidRPr="00D77610">
        <w:rPr>
          <w:rFonts w:cs="Calibri"/>
          <w:b/>
          <w:color w:val="365F91"/>
          <w:lang w:eastAsia="es-GT"/>
        </w:rPr>
        <w:t>Gestión de los proyectos</w:t>
      </w:r>
    </w:p>
    <w:p w:rsidR="004E2482" w:rsidRPr="00AA02AB" w:rsidRDefault="004E2482" w:rsidP="004E2482">
      <w:pPr>
        <w:pStyle w:val="IFADparagraphnumbering"/>
        <w:numPr>
          <w:ilvl w:val="0"/>
          <w:numId w:val="0"/>
        </w:numPr>
        <w:tabs>
          <w:tab w:val="left" w:pos="360"/>
        </w:tabs>
        <w:ind w:left="360"/>
        <w:jc w:val="both"/>
        <w:rPr>
          <w:rFonts w:ascii="Calibri" w:hAnsi="Calibri"/>
          <w:sz w:val="24"/>
          <w:szCs w:val="24"/>
          <w:lang w:val="es-MX"/>
        </w:rPr>
      </w:pPr>
      <w:r w:rsidRPr="00AA02AB">
        <w:rPr>
          <w:rFonts w:ascii="Calibri" w:hAnsi="Calibri"/>
          <w:sz w:val="24"/>
          <w:szCs w:val="24"/>
          <w:lang w:val="es-MX"/>
        </w:rPr>
        <w:t>De los últimos tres proyectos que se han implementado en Guatemala, el periodo de aprobación, incluidos los tr</w:t>
      </w:r>
      <w:r w:rsidR="00AA02AB">
        <w:rPr>
          <w:rFonts w:ascii="Calibri" w:hAnsi="Calibri"/>
          <w:sz w:val="24"/>
          <w:szCs w:val="24"/>
          <w:lang w:val="es-MX"/>
        </w:rPr>
        <w:t>á</w:t>
      </w:r>
      <w:r w:rsidRPr="00AA02AB">
        <w:rPr>
          <w:rFonts w:ascii="Calibri" w:hAnsi="Calibri"/>
          <w:sz w:val="24"/>
          <w:szCs w:val="24"/>
          <w:lang w:val="es-MX"/>
        </w:rPr>
        <w:t>mites en el Congreso de la Rep</w:t>
      </w:r>
      <w:r w:rsidR="00D77610" w:rsidRPr="00AA02AB">
        <w:rPr>
          <w:rFonts w:ascii="Calibri" w:hAnsi="Calibri"/>
          <w:sz w:val="24"/>
          <w:szCs w:val="24"/>
          <w:lang w:val="es-MX"/>
        </w:rPr>
        <w:t>ú</w:t>
      </w:r>
      <w:r w:rsidRPr="00AA02AB">
        <w:rPr>
          <w:rFonts w:ascii="Calibri" w:hAnsi="Calibri"/>
          <w:sz w:val="24"/>
          <w:szCs w:val="24"/>
          <w:lang w:val="es-MX"/>
        </w:rPr>
        <w:t>blica, han demorado alrededor de tres años. Existe un cuarto proyecto que se encuentra en proceso de gestión, el cual lleva dos años en el Congreso y aún no ha sido aprobado por dicha institución.</w:t>
      </w:r>
    </w:p>
    <w:p w:rsidR="004E2482" w:rsidRPr="00D77610" w:rsidRDefault="004E2482" w:rsidP="004E2482">
      <w:pPr>
        <w:pStyle w:val="IFADparagraphnumbering"/>
        <w:numPr>
          <w:ilvl w:val="0"/>
          <w:numId w:val="0"/>
        </w:numPr>
        <w:tabs>
          <w:tab w:val="left" w:pos="360"/>
        </w:tabs>
        <w:ind w:left="360"/>
        <w:jc w:val="both"/>
        <w:rPr>
          <w:rFonts w:ascii="Calibri" w:hAnsi="Calibri"/>
          <w:lang w:val="es-MX"/>
        </w:rPr>
      </w:pPr>
    </w:p>
    <w:p w:rsidR="004E2482" w:rsidRPr="00D77610" w:rsidRDefault="004E2482" w:rsidP="00D77610">
      <w:pPr>
        <w:pStyle w:val="Prrafodelista"/>
        <w:numPr>
          <w:ilvl w:val="0"/>
          <w:numId w:val="74"/>
        </w:numPr>
        <w:autoSpaceDE w:val="0"/>
        <w:autoSpaceDN w:val="0"/>
        <w:adjustRightInd w:val="0"/>
        <w:jc w:val="both"/>
        <w:rPr>
          <w:rFonts w:cs="Calibri"/>
          <w:b/>
          <w:color w:val="365F91"/>
          <w:lang w:eastAsia="es-GT"/>
        </w:rPr>
      </w:pPr>
      <w:r w:rsidRPr="00D77610">
        <w:rPr>
          <w:rFonts w:cs="Calibri"/>
          <w:b/>
          <w:color w:val="365F91"/>
          <w:lang w:eastAsia="es-GT"/>
        </w:rPr>
        <w:t>Ejecución de los proyectos</w:t>
      </w:r>
    </w:p>
    <w:p w:rsidR="004E2482" w:rsidRPr="00AA02AB" w:rsidRDefault="004E2482" w:rsidP="004E2482">
      <w:pPr>
        <w:pStyle w:val="IFADparagraphnumbering"/>
        <w:numPr>
          <w:ilvl w:val="0"/>
          <w:numId w:val="0"/>
        </w:numPr>
        <w:tabs>
          <w:tab w:val="left" w:pos="360"/>
        </w:tabs>
        <w:ind w:left="360"/>
        <w:jc w:val="both"/>
        <w:rPr>
          <w:rFonts w:ascii="Calibri" w:hAnsi="Calibri"/>
          <w:sz w:val="24"/>
          <w:szCs w:val="24"/>
          <w:lang w:val="es-MX"/>
        </w:rPr>
      </w:pPr>
      <w:r w:rsidRPr="00AA02AB">
        <w:rPr>
          <w:rFonts w:ascii="Calibri" w:hAnsi="Calibri"/>
          <w:sz w:val="24"/>
          <w:szCs w:val="24"/>
          <w:lang w:val="es-MX"/>
        </w:rPr>
        <w:t>Las experiencias de la ejecución de fondos de los proyectos de FIDA han sido desiguales, y en la mayoría de los casos, las restricciones a la ejecución dependen del marco legal, administrativo y de supervisión de las instituciones gubernamentales que administran los proyectos. Dependiendo de la naturaleza de estas instituciones y del régimen de control interno que posean, así se manifiesta la flexibilidad de ejecución de los proyecto</w:t>
      </w:r>
      <w:r w:rsidR="00AA02AB">
        <w:rPr>
          <w:rFonts w:ascii="Calibri" w:hAnsi="Calibri"/>
          <w:sz w:val="24"/>
          <w:szCs w:val="24"/>
          <w:lang w:val="es-MX"/>
        </w:rPr>
        <w:t>s</w:t>
      </w:r>
      <w:r w:rsidRPr="00AA02AB">
        <w:rPr>
          <w:rFonts w:ascii="Calibri" w:hAnsi="Calibri"/>
          <w:sz w:val="24"/>
          <w:szCs w:val="24"/>
          <w:lang w:val="es-MX"/>
        </w:rPr>
        <w:t>. Aunado a esto, la asignación de los espacios presupuestarios y de las contrapartidas para la ejecución, en algunos casos ha limitado de forma significativa, la capacidad</w:t>
      </w:r>
      <w:r w:rsidR="00AA02AB">
        <w:rPr>
          <w:rFonts w:ascii="Calibri" w:hAnsi="Calibri"/>
          <w:sz w:val="24"/>
          <w:szCs w:val="24"/>
          <w:lang w:val="es-MX"/>
        </w:rPr>
        <w:t xml:space="preserve"> de ejecutar las actividades y </w:t>
      </w:r>
      <w:r w:rsidRPr="00AA02AB">
        <w:rPr>
          <w:rFonts w:ascii="Calibri" w:hAnsi="Calibri"/>
          <w:sz w:val="24"/>
          <w:szCs w:val="24"/>
          <w:lang w:val="es-MX"/>
        </w:rPr>
        <w:t>el cumplimiento de metas y objetivos.</w:t>
      </w:r>
    </w:p>
    <w:p w:rsidR="004E2482" w:rsidRPr="00AA02AB" w:rsidRDefault="004E2482" w:rsidP="004E2482">
      <w:pPr>
        <w:pStyle w:val="IFADparagraphnumbering"/>
        <w:numPr>
          <w:ilvl w:val="0"/>
          <w:numId w:val="0"/>
        </w:numPr>
        <w:tabs>
          <w:tab w:val="left" w:pos="360"/>
        </w:tabs>
        <w:ind w:left="360"/>
        <w:jc w:val="both"/>
        <w:rPr>
          <w:rFonts w:ascii="Calibri" w:hAnsi="Calibri"/>
          <w:sz w:val="24"/>
          <w:szCs w:val="24"/>
          <w:lang w:val="es-MX"/>
        </w:rPr>
      </w:pPr>
    </w:p>
    <w:p w:rsidR="004E2482" w:rsidRPr="00D77610" w:rsidRDefault="004E2482" w:rsidP="004E2482">
      <w:pPr>
        <w:pStyle w:val="IFADparagraphnumbering"/>
        <w:numPr>
          <w:ilvl w:val="0"/>
          <w:numId w:val="0"/>
        </w:numPr>
        <w:tabs>
          <w:tab w:val="left" w:pos="360"/>
        </w:tabs>
        <w:ind w:left="360"/>
        <w:jc w:val="both"/>
        <w:rPr>
          <w:rFonts w:ascii="Calibri" w:hAnsi="Calibri"/>
          <w:lang w:val="es-MX"/>
        </w:rPr>
      </w:pPr>
      <w:r w:rsidRPr="00AA02AB">
        <w:rPr>
          <w:rFonts w:ascii="Calibri" w:hAnsi="Calibri"/>
          <w:sz w:val="24"/>
          <w:szCs w:val="24"/>
          <w:lang w:val="es-MX"/>
        </w:rPr>
        <w:t>Las evaluaciones realizadas por FIDA indican que las principales causas que inciden en una baja ejecución de los proyectos son: a) debilidad institucional de las instituciones responsables del desarrollo rural en Guatemala, b) las posibilidades de ejecución de los funcionarios públicos se ve</w:t>
      </w:r>
      <w:r w:rsidR="00AA02AB">
        <w:rPr>
          <w:rFonts w:ascii="Calibri" w:hAnsi="Calibri"/>
          <w:sz w:val="24"/>
          <w:szCs w:val="24"/>
          <w:lang w:val="es-MX"/>
        </w:rPr>
        <w:t>n afectada por</w:t>
      </w:r>
      <w:r w:rsidRPr="00AA02AB">
        <w:rPr>
          <w:rFonts w:ascii="Calibri" w:hAnsi="Calibri"/>
          <w:sz w:val="24"/>
          <w:szCs w:val="24"/>
          <w:lang w:val="es-MX"/>
        </w:rPr>
        <w:t xml:space="preserve"> las reglas y procedimientos de la administración pública, </w:t>
      </w:r>
      <w:r w:rsidR="00AA02AB">
        <w:rPr>
          <w:rFonts w:ascii="Calibri" w:hAnsi="Calibri"/>
          <w:sz w:val="24"/>
          <w:szCs w:val="24"/>
          <w:lang w:val="es-MX"/>
        </w:rPr>
        <w:t xml:space="preserve">la </w:t>
      </w:r>
      <w:r w:rsidRPr="00AA02AB">
        <w:rPr>
          <w:rFonts w:ascii="Calibri" w:hAnsi="Calibri"/>
          <w:sz w:val="24"/>
          <w:szCs w:val="24"/>
          <w:lang w:val="es-MX"/>
        </w:rPr>
        <w:t xml:space="preserve">inestabilidad y </w:t>
      </w:r>
      <w:r w:rsidR="00AA02AB">
        <w:rPr>
          <w:rFonts w:ascii="Calibri" w:hAnsi="Calibri"/>
          <w:sz w:val="24"/>
          <w:szCs w:val="24"/>
          <w:lang w:val="es-MX"/>
        </w:rPr>
        <w:t xml:space="preserve">la </w:t>
      </w:r>
      <w:r w:rsidRPr="00AA02AB">
        <w:rPr>
          <w:rFonts w:ascii="Calibri" w:hAnsi="Calibri"/>
          <w:sz w:val="24"/>
          <w:szCs w:val="24"/>
          <w:lang w:val="es-MX"/>
        </w:rPr>
        <w:t xml:space="preserve">falta de conocimientos y capacidades, incluyendo la disponibilidad de los presupuestos disponibles, y c) los procesos de aprobación parlamentaria de los contratos de préstamo </w:t>
      </w:r>
      <w:r w:rsidR="00AA02AB">
        <w:rPr>
          <w:rFonts w:ascii="Calibri" w:hAnsi="Calibri"/>
          <w:sz w:val="24"/>
          <w:szCs w:val="24"/>
          <w:lang w:val="es-MX"/>
        </w:rPr>
        <w:t>son</w:t>
      </w:r>
      <w:r w:rsidRPr="00AA02AB">
        <w:rPr>
          <w:rFonts w:ascii="Calibri" w:hAnsi="Calibri"/>
          <w:sz w:val="24"/>
          <w:szCs w:val="24"/>
          <w:lang w:val="es-MX"/>
        </w:rPr>
        <w:t xml:space="preserve"> excesivamente largos.</w:t>
      </w:r>
    </w:p>
    <w:p w:rsidR="004E2482" w:rsidRPr="00D77610" w:rsidRDefault="004E2482" w:rsidP="004E2482">
      <w:pPr>
        <w:pStyle w:val="IFADparagraphnumbering"/>
        <w:numPr>
          <w:ilvl w:val="0"/>
          <w:numId w:val="0"/>
        </w:numPr>
        <w:tabs>
          <w:tab w:val="left" w:pos="360"/>
        </w:tabs>
        <w:ind w:left="360"/>
        <w:jc w:val="both"/>
        <w:rPr>
          <w:rFonts w:ascii="Calibri" w:hAnsi="Calibri"/>
          <w:lang w:val="es-MX"/>
        </w:rPr>
      </w:pPr>
    </w:p>
    <w:p w:rsidR="004E2482" w:rsidRPr="00D77610" w:rsidRDefault="004E2482" w:rsidP="00D77610">
      <w:pPr>
        <w:pStyle w:val="Prrafodelista"/>
        <w:numPr>
          <w:ilvl w:val="0"/>
          <w:numId w:val="74"/>
        </w:numPr>
        <w:autoSpaceDE w:val="0"/>
        <w:autoSpaceDN w:val="0"/>
        <w:adjustRightInd w:val="0"/>
        <w:jc w:val="both"/>
        <w:rPr>
          <w:rFonts w:cs="Calibri"/>
          <w:b/>
          <w:color w:val="365F91"/>
          <w:lang w:eastAsia="es-GT"/>
        </w:rPr>
      </w:pPr>
      <w:r w:rsidRPr="00D77610">
        <w:rPr>
          <w:rFonts w:cs="Calibri"/>
          <w:b/>
          <w:color w:val="365F91"/>
          <w:lang w:eastAsia="es-GT"/>
        </w:rPr>
        <w:t>Impactos derivados de la ejecución de los proyectos</w:t>
      </w:r>
    </w:p>
    <w:p w:rsidR="004E2482" w:rsidRPr="00AA02AB" w:rsidRDefault="004E2482" w:rsidP="004E2482">
      <w:pPr>
        <w:pStyle w:val="IFADparagraphnumbering"/>
        <w:numPr>
          <w:ilvl w:val="0"/>
          <w:numId w:val="0"/>
        </w:numPr>
        <w:tabs>
          <w:tab w:val="left" w:pos="360"/>
        </w:tabs>
        <w:ind w:left="360"/>
        <w:jc w:val="both"/>
        <w:rPr>
          <w:rFonts w:ascii="Calibri" w:hAnsi="Calibri"/>
          <w:sz w:val="24"/>
          <w:szCs w:val="24"/>
          <w:lang w:val="es-MX"/>
        </w:rPr>
      </w:pPr>
      <w:r w:rsidRPr="00AA02AB">
        <w:rPr>
          <w:rFonts w:ascii="Calibri" w:hAnsi="Calibri"/>
          <w:sz w:val="24"/>
          <w:szCs w:val="24"/>
          <w:lang w:val="es-MX"/>
        </w:rPr>
        <w:t xml:space="preserve">A pesar de que se han ejecutado nueve proyectos en el país, las evaluaciones de los mismos no permiten llegar a conclusiones definitivas sobre </w:t>
      </w:r>
      <w:r w:rsidR="00AA02AB">
        <w:rPr>
          <w:rFonts w:ascii="Calibri" w:hAnsi="Calibri"/>
          <w:sz w:val="24"/>
          <w:szCs w:val="24"/>
          <w:lang w:val="es-MX"/>
        </w:rPr>
        <w:t>sus</w:t>
      </w:r>
      <w:r w:rsidRPr="00AA02AB">
        <w:rPr>
          <w:rFonts w:ascii="Calibri" w:hAnsi="Calibri"/>
          <w:sz w:val="24"/>
          <w:szCs w:val="24"/>
          <w:lang w:val="es-MX"/>
        </w:rPr>
        <w:t xml:space="preserve"> efectos e impactos. Se cuenta con elementos que evidencian el fortalecimiento del capital social y de las instituciones locales y </w:t>
      </w:r>
      <w:r w:rsidRPr="00AA02AB">
        <w:rPr>
          <w:rFonts w:ascii="Calibri" w:hAnsi="Calibri"/>
          <w:sz w:val="24"/>
          <w:szCs w:val="24"/>
          <w:lang w:val="es-MX"/>
        </w:rPr>
        <w:lastRenderedPageBreak/>
        <w:t>municipales, así como el aumento de la autoestima de las comunidades locales que fueron objeto de los programas.</w:t>
      </w:r>
    </w:p>
    <w:p w:rsidR="004E2482" w:rsidRPr="00D77610" w:rsidRDefault="004E2482" w:rsidP="004E2482">
      <w:pPr>
        <w:pStyle w:val="IFADparagraphnumbering"/>
        <w:numPr>
          <w:ilvl w:val="0"/>
          <w:numId w:val="0"/>
        </w:numPr>
        <w:tabs>
          <w:tab w:val="left" w:pos="360"/>
        </w:tabs>
        <w:ind w:left="360"/>
        <w:jc w:val="both"/>
        <w:rPr>
          <w:rFonts w:ascii="Calibri" w:hAnsi="Calibri"/>
          <w:lang w:val="es-MX"/>
        </w:rPr>
      </w:pPr>
    </w:p>
    <w:p w:rsidR="004E2482" w:rsidRPr="00AA02AB" w:rsidRDefault="00DA0825" w:rsidP="004E2482">
      <w:pPr>
        <w:pStyle w:val="IFADparagraphnumbering"/>
        <w:numPr>
          <w:ilvl w:val="0"/>
          <w:numId w:val="0"/>
        </w:numPr>
        <w:tabs>
          <w:tab w:val="left" w:pos="360"/>
        </w:tabs>
        <w:ind w:left="360"/>
        <w:jc w:val="both"/>
        <w:rPr>
          <w:rFonts w:ascii="Calibri" w:hAnsi="Calibri"/>
          <w:sz w:val="24"/>
          <w:szCs w:val="24"/>
          <w:lang w:val="es-MX"/>
        </w:rPr>
      </w:pPr>
      <w:r w:rsidRPr="00AA02AB">
        <w:rPr>
          <w:rFonts w:ascii="Calibri" w:hAnsi="Calibri"/>
          <w:sz w:val="24"/>
          <w:szCs w:val="24"/>
          <w:lang w:val="es-MX"/>
        </w:rPr>
        <w:t>D</w:t>
      </w:r>
      <w:r w:rsidR="004E2482" w:rsidRPr="00AA02AB">
        <w:rPr>
          <w:rFonts w:ascii="Calibri" w:hAnsi="Calibri"/>
          <w:sz w:val="24"/>
          <w:szCs w:val="24"/>
          <w:lang w:val="es-MX"/>
        </w:rPr>
        <w:t xml:space="preserve">e las principales conclusiones </w:t>
      </w:r>
      <w:r w:rsidR="00AA02AB">
        <w:rPr>
          <w:rFonts w:ascii="Calibri" w:hAnsi="Calibri"/>
          <w:sz w:val="24"/>
          <w:szCs w:val="24"/>
          <w:lang w:val="es-MX"/>
        </w:rPr>
        <w:t>obtenidas a partir</w:t>
      </w:r>
      <w:r w:rsidR="004E2482" w:rsidRPr="00AA02AB">
        <w:rPr>
          <w:rFonts w:ascii="Calibri" w:hAnsi="Calibri"/>
          <w:sz w:val="24"/>
          <w:szCs w:val="24"/>
          <w:lang w:val="es-MX"/>
        </w:rPr>
        <w:t xml:space="preserve"> de la evaluación de los proyectos recientes, es que los mayores impactos, relacionados </w:t>
      </w:r>
      <w:r w:rsidR="00AA02AB">
        <w:rPr>
          <w:rFonts w:ascii="Calibri" w:hAnsi="Calibri"/>
          <w:sz w:val="24"/>
          <w:szCs w:val="24"/>
          <w:lang w:val="es-MX"/>
        </w:rPr>
        <w:t>con</w:t>
      </w:r>
      <w:r w:rsidR="004E2482" w:rsidRPr="00AA02AB">
        <w:rPr>
          <w:rFonts w:ascii="Calibri" w:hAnsi="Calibri"/>
          <w:sz w:val="24"/>
          <w:szCs w:val="24"/>
          <w:lang w:val="es-MX"/>
        </w:rPr>
        <w:t xml:space="preserve"> la reducción de la pobreza, se tienen con los grupos de personas que participaban en actividades económicas un poco consolidadas, es decir, cuentan con acceso a algunos medios de producción, principalmente hogares con acceso a tierras productivas. Las actividades que han permitido un mejor impacto son: apoyo a los cultivos comerciales y el desarroll</w:t>
      </w:r>
      <w:r w:rsidR="00AA02AB">
        <w:rPr>
          <w:rFonts w:ascii="Calibri" w:hAnsi="Calibri"/>
          <w:sz w:val="24"/>
          <w:szCs w:val="24"/>
          <w:lang w:val="es-MX"/>
        </w:rPr>
        <w:t>o de infraestructura de caminos;</w:t>
      </w:r>
      <w:r w:rsidR="004E2482" w:rsidRPr="00AA02AB">
        <w:rPr>
          <w:rFonts w:ascii="Calibri" w:hAnsi="Calibri"/>
          <w:sz w:val="24"/>
          <w:szCs w:val="24"/>
          <w:lang w:val="es-MX"/>
        </w:rPr>
        <w:t xml:space="preserve"> mientras que las que se enfocan </w:t>
      </w:r>
      <w:r w:rsidRPr="00AA02AB">
        <w:rPr>
          <w:rFonts w:ascii="Calibri" w:hAnsi="Calibri"/>
          <w:sz w:val="24"/>
          <w:szCs w:val="24"/>
          <w:lang w:val="es-MX"/>
        </w:rPr>
        <w:t>en</w:t>
      </w:r>
      <w:r w:rsidR="004E2482" w:rsidRPr="00AA02AB">
        <w:rPr>
          <w:rFonts w:ascii="Calibri" w:hAnsi="Calibri"/>
          <w:sz w:val="24"/>
          <w:szCs w:val="24"/>
          <w:lang w:val="es-MX"/>
        </w:rPr>
        <w:t xml:space="preserve"> la seguridad alimentaria, mejorar el manejo sustentable de recursos naturales, o a facilitar el acceso a servicios financieros y a financiamiento, han tenido impactos menores.</w:t>
      </w:r>
    </w:p>
    <w:p w:rsidR="004E2482" w:rsidRPr="00D77610" w:rsidRDefault="004E2482" w:rsidP="004E2482">
      <w:pPr>
        <w:pStyle w:val="IFADparagraphnumbering"/>
        <w:numPr>
          <w:ilvl w:val="0"/>
          <w:numId w:val="0"/>
        </w:numPr>
        <w:tabs>
          <w:tab w:val="left" w:pos="360"/>
        </w:tabs>
        <w:ind w:left="360"/>
        <w:jc w:val="both"/>
        <w:rPr>
          <w:rFonts w:ascii="Calibri" w:hAnsi="Calibri"/>
          <w:lang w:val="es-MX"/>
        </w:rPr>
      </w:pPr>
    </w:p>
    <w:p w:rsidR="004E2482" w:rsidRPr="00D77610" w:rsidRDefault="00AA02AB" w:rsidP="00D77610">
      <w:pPr>
        <w:pStyle w:val="Prrafodelista"/>
        <w:numPr>
          <w:ilvl w:val="0"/>
          <w:numId w:val="74"/>
        </w:numPr>
        <w:autoSpaceDE w:val="0"/>
        <w:autoSpaceDN w:val="0"/>
        <w:adjustRightInd w:val="0"/>
        <w:jc w:val="both"/>
        <w:rPr>
          <w:rFonts w:cs="Calibri"/>
          <w:b/>
          <w:color w:val="365F91"/>
          <w:lang w:eastAsia="es-GT"/>
        </w:rPr>
      </w:pPr>
      <w:r>
        <w:rPr>
          <w:rFonts w:cs="Calibri"/>
          <w:b/>
          <w:color w:val="365F91"/>
          <w:lang w:eastAsia="es-GT"/>
        </w:rPr>
        <w:t>Articulación con las políticas pú</w:t>
      </w:r>
      <w:r w:rsidR="004E2482" w:rsidRPr="00D77610">
        <w:rPr>
          <w:rFonts w:cs="Calibri"/>
          <w:b/>
          <w:color w:val="365F91"/>
          <w:lang w:eastAsia="es-GT"/>
        </w:rPr>
        <w:t>blicas</w:t>
      </w:r>
    </w:p>
    <w:p w:rsidR="004E2482" w:rsidRPr="00AA02AB" w:rsidRDefault="004E2482" w:rsidP="004E2482">
      <w:pPr>
        <w:pStyle w:val="IFADparagraphnumbering"/>
        <w:numPr>
          <w:ilvl w:val="0"/>
          <w:numId w:val="0"/>
        </w:numPr>
        <w:tabs>
          <w:tab w:val="left" w:pos="360"/>
        </w:tabs>
        <w:ind w:left="360"/>
        <w:jc w:val="both"/>
        <w:rPr>
          <w:rFonts w:ascii="Calibri" w:hAnsi="Calibri"/>
          <w:sz w:val="24"/>
          <w:szCs w:val="24"/>
          <w:lang w:val="es-MX"/>
        </w:rPr>
      </w:pPr>
      <w:r w:rsidRPr="00AA02AB">
        <w:rPr>
          <w:rFonts w:ascii="Calibri" w:hAnsi="Calibri"/>
          <w:sz w:val="24"/>
          <w:szCs w:val="24"/>
          <w:lang w:val="es-MX"/>
        </w:rPr>
        <w:t>Para atender la problemática de la pobreza</w:t>
      </w:r>
      <w:r w:rsidR="00AA02AB">
        <w:rPr>
          <w:rFonts w:ascii="Calibri" w:hAnsi="Calibri"/>
          <w:sz w:val="24"/>
          <w:szCs w:val="24"/>
          <w:lang w:val="es-MX"/>
        </w:rPr>
        <w:t xml:space="preserve"> rural en Guatemala se requiere de</w:t>
      </w:r>
      <w:r w:rsidRPr="00AA02AB">
        <w:rPr>
          <w:rFonts w:ascii="Calibri" w:hAnsi="Calibri"/>
          <w:sz w:val="24"/>
          <w:szCs w:val="24"/>
          <w:lang w:val="es-MX"/>
        </w:rPr>
        <w:t xml:space="preserve"> políticas públicas coherentes y de instituciones gubernamentales capaces de diseñarlas e implementarlas eficaz y eficientemente. Las actuaciones de</w:t>
      </w:r>
      <w:r w:rsidR="00AA02AB">
        <w:rPr>
          <w:rFonts w:ascii="Calibri" w:hAnsi="Calibri"/>
          <w:sz w:val="24"/>
          <w:szCs w:val="24"/>
          <w:lang w:val="es-MX"/>
        </w:rPr>
        <w:t xml:space="preserve"> los proyectos que FIDA ejecute</w:t>
      </w:r>
      <w:r w:rsidRPr="00AA02AB">
        <w:rPr>
          <w:rFonts w:ascii="Calibri" w:hAnsi="Calibri"/>
          <w:sz w:val="24"/>
          <w:szCs w:val="24"/>
          <w:lang w:val="es-MX"/>
        </w:rPr>
        <w:t xml:space="preserve"> deben estar en sintonía con las políticas públicas nacionales. Esto requiere mantener un diálogo político constante, que asegure que las operaciones </w:t>
      </w:r>
      <w:r w:rsidR="00AA02AB">
        <w:rPr>
          <w:rFonts w:ascii="Calibri" w:hAnsi="Calibri"/>
          <w:sz w:val="24"/>
          <w:szCs w:val="24"/>
          <w:lang w:val="es-MX"/>
        </w:rPr>
        <w:t xml:space="preserve">de </w:t>
      </w:r>
      <w:r w:rsidRPr="00AA02AB">
        <w:rPr>
          <w:rFonts w:ascii="Calibri" w:hAnsi="Calibri"/>
          <w:sz w:val="24"/>
          <w:szCs w:val="24"/>
          <w:lang w:val="es-MX"/>
        </w:rPr>
        <w:t xml:space="preserve">FIDA están efectivamente articuladas y son funcionales a las estrategias y políticas públicas. Adicionalmente, trabajar en el fortalecimiento institucional es una condición necesaria para la ejecución y para el impacto de las operaciones del FIDA en el país. </w:t>
      </w:r>
    </w:p>
    <w:p w:rsidR="004E2482" w:rsidRPr="00D77610" w:rsidRDefault="004E2482" w:rsidP="004E2482">
      <w:pPr>
        <w:pStyle w:val="IFADparagraphnumbering"/>
        <w:numPr>
          <w:ilvl w:val="0"/>
          <w:numId w:val="0"/>
        </w:numPr>
        <w:tabs>
          <w:tab w:val="left" w:pos="360"/>
        </w:tabs>
        <w:ind w:left="360"/>
        <w:jc w:val="both"/>
        <w:rPr>
          <w:rFonts w:ascii="Calibri" w:hAnsi="Calibri"/>
          <w:lang w:val="es-MX"/>
        </w:rPr>
      </w:pPr>
    </w:p>
    <w:p w:rsidR="004E2482" w:rsidRPr="00D77610" w:rsidRDefault="00D77610" w:rsidP="00D77610">
      <w:pPr>
        <w:pStyle w:val="Prrafodelista"/>
        <w:numPr>
          <w:ilvl w:val="0"/>
          <w:numId w:val="74"/>
        </w:numPr>
        <w:autoSpaceDE w:val="0"/>
        <w:autoSpaceDN w:val="0"/>
        <w:adjustRightInd w:val="0"/>
        <w:jc w:val="both"/>
        <w:rPr>
          <w:rFonts w:cs="Calibri"/>
          <w:b/>
          <w:color w:val="365F91"/>
          <w:lang w:eastAsia="es-GT"/>
        </w:rPr>
      </w:pPr>
      <w:r w:rsidRPr="00D77610">
        <w:rPr>
          <w:rFonts w:cs="Calibri"/>
          <w:b/>
          <w:color w:val="365F91"/>
          <w:lang w:eastAsia="es-GT"/>
        </w:rPr>
        <w:t>Sobre el pú</w:t>
      </w:r>
      <w:r w:rsidR="004E2482" w:rsidRPr="00D77610">
        <w:rPr>
          <w:rFonts w:cs="Calibri"/>
          <w:b/>
          <w:color w:val="365F91"/>
          <w:lang w:eastAsia="es-GT"/>
        </w:rPr>
        <w:t>blico objetivo de las actividades de FIDA</w:t>
      </w:r>
    </w:p>
    <w:p w:rsidR="004E2482" w:rsidRPr="00AA02AB" w:rsidRDefault="004E2482" w:rsidP="004E2482">
      <w:pPr>
        <w:pStyle w:val="IFADparagraphnumbering"/>
        <w:numPr>
          <w:ilvl w:val="0"/>
          <w:numId w:val="0"/>
        </w:numPr>
        <w:tabs>
          <w:tab w:val="left" w:pos="360"/>
        </w:tabs>
        <w:ind w:left="360"/>
        <w:jc w:val="both"/>
        <w:rPr>
          <w:rFonts w:ascii="Calibri" w:hAnsi="Calibri"/>
          <w:sz w:val="24"/>
          <w:szCs w:val="24"/>
          <w:lang w:val="es-MX"/>
        </w:rPr>
      </w:pPr>
      <w:r w:rsidRPr="00AA02AB">
        <w:rPr>
          <w:rFonts w:ascii="Calibri" w:hAnsi="Calibri"/>
          <w:sz w:val="24"/>
          <w:szCs w:val="24"/>
          <w:lang w:val="es-MX"/>
        </w:rPr>
        <w:t xml:space="preserve">Una lección importante es que </w:t>
      </w:r>
      <w:r w:rsidR="00AA02AB">
        <w:rPr>
          <w:rFonts w:ascii="Calibri" w:hAnsi="Calibri"/>
          <w:sz w:val="24"/>
          <w:szCs w:val="24"/>
          <w:lang w:val="es-MX"/>
        </w:rPr>
        <w:t>responder a</w:t>
      </w:r>
      <w:r w:rsidRPr="00AA02AB">
        <w:rPr>
          <w:rFonts w:ascii="Calibri" w:hAnsi="Calibri"/>
          <w:sz w:val="24"/>
          <w:szCs w:val="24"/>
          <w:lang w:val="es-MX"/>
        </w:rPr>
        <w:t xml:space="preserve"> las demandas de los campesinos en condición de extrema pobreza, con problemas de desnutrición y de inseguridad alimentaria, exclusión social y poco vinculada a los mercados tradicionales, es una tarea que trasciende los periodos de ejecución de un proyecto en particular. Para atenderlos correctamente, se requiere la implementación de acciones clave, que no necesariamente contribuyen a erradicar la pobreza, pero crean las condiciones necesarias para ejecutar posteriormente acciones con este fin. </w:t>
      </w:r>
    </w:p>
    <w:p w:rsidR="004E2482" w:rsidRPr="00AA02AB" w:rsidRDefault="004E2482" w:rsidP="004E2482">
      <w:pPr>
        <w:pStyle w:val="IFADparagraphnumbering"/>
        <w:numPr>
          <w:ilvl w:val="0"/>
          <w:numId w:val="0"/>
        </w:numPr>
        <w:tabs>
          <w:tab w:val="left" w:pos="360"/>
        </w:tabs>
        <w:ind w:left="360"/>
        <w:jc w:val="both"/>
        <w:rPr>
          <w:rFonts w:ascii="Calibri" w:hAnsi="Calibri"/>
          <w:sz w:val="24"/>
          <w:szCs w:val="24"/>
          <w:lang w:val="es-MX"/>
        </w:rPr>
      </w:pPr>
    </w:p>
    <w:p w:rsidR="004E2482" w:rsidRPr="00AA02AB" w:rsidRDefault="004E2482" w:rsidP="004E2482">
      <w:pPr>
        <w:pStyle w:val="IFADparagraphnumbering"/>
        <w:numPr>
          <w:ilvl w:val="0"/>
          <w:numId w:val="0"/>
        </w:numPr>
        <w:tabs>
          <w:tab w:val="left" w:pos="360"/>
        </w:tabs>
        <w:ind w:left="360"/>
        <w:jc w:val="both"/>
        <w:rPr>
          <w:rFonts w:ascii="Calibri" w:hAnsi="Calibri" w:cs="Calibri"/>
          <w:sz w:val="24"/>
          <w:szCs w:val="24"/>
        </w:rPr>
      </w:pPr>
      <w:r w:rsidRPr="00AA02AB">
        <w:rPr>
          <w:rFonts w:ascii="Calibri" w:hAnsi="Calibri"/>
          <w:sz w:val="24"/>
          <w:szCs w:val="24"/>
          <w:lang w:val="es-MX"/>
        </w:rPr>
        <w:t>Bajo este enfoque, los proyectos que FIDA ejecuta no son los instrumentos más eficaces y eficientes para responder a las necesidades de las poblaciones marginadas. Por esta razón, se debe considerar que FIDA debe ejecu</w:t>
      </w:r>
      <w:r w:rsidR="00AA02AB">
        <w:rPr>
          <w:rFonts w:ascii="Calibri" w:hAnsi="Calibri"/>
          <w:sz w:val="24"/>
          <w:szCs w:val="24"/>
          <w:lang w:val="es-MX"/>
        </w:rPr>
        <w:t>tar acciones orientadas a buscar</w:t>
      </w:r>
      <w:r w:rsidRPr="00AA02AB">
        <w:rPr>
          <w:rFonts w:ascii="Calibri" w:hAnsi="Calibri"/>
          <w:sz w:val="24"/>
          <w:szCs w:val="24"/>
          <w:lang w:val="es-MX"/>
        </w:rPr>
        <w:t xml:space="preserve"> impactos inmediatos de alivio a las condiciones más críticas. Para esto se </w:t>
      </w:r>
      <w:r w:rsidR="00662B87" w:rsidRPr="00AA02AB">
        <w:rPr>
          <w:rFonts w:ascii="Calibri" w:hAnsi="Calibri"/>
          <w:sz w:val="24"/>
          <w:szCs w:val="24"/>
          <w:lang w:val="es-MX"/>
        </w:rPr>
        <w:t>deberá</w:t>
      </w:r>
      <w:r w:rsidRPr="00AA02AB">
        <w:rPr>
          <w:rFonts w:ascii="Calibri" w:hAnsi="Calibri"/>
          <w:sz w:val="24"/>
          <w:szCs w:val="24"/>
          <w:lang w:val="es-MX"/>
        </w:rPr>
        <w:t xml:space="preserve"> trabajar con agricultores familiares y con micro y pequeñas empresas que ya están por encima de la línea de pobreza o muy próximos a ella. Se estima que existen casi un millón de campesinos guatemaltecos pobres (de los cuales un tercio </w:t>
      </w:r>
      <w:r w:rsidR="00AA02AB">
        <w:rPr>
          <w:rFonts w:ascii="Calibri" w:hAnsi="Calibri"/>
          <w:sz w:val="24"/>
          <w:szCs w:val="24"/>
          <w:lang w:val="es-MX"/>
        </w:rPr>
        <w:t xml:space="preserve">se encuentra </w:t>
      </w:r>
      <w:r w:rsidRPr="00AA02AB">
        <w:rPr>
          <w:rFonts w:ascii="Calibri" w:hAnsi="Calibri"/>
          <w:sz w:val="24"/>
          <w:szCs w:val="24"/>
          <w:lang w:val="es-MX"/>
        </w:rPr>
        <w:t>en condición de extrema pobreza) que reúnen estas condiciones.</w:t>
      </w:r>
    </w:p>
    <w:p w:rsidR="004E2482" w:rsidRDefault="004E2482" w:rsidP="004E2482">
      <w:pPr>
        <w:ind w:left="360"/>
        <w:jc w:val="both"/>
        <w:rPr>
          <w:rFonts w:ascii="Calibri" w:hAnsi="Calibri" w:cs="Calibri"/>
          <w:lang w:val="es-GT"/>
        </w:rPr>
      </w:pPr>
    </w:p>
    <w:p w:rsidR="000D70BF" w:rsidRDefault="000D70BF" w:rsidP="004E2482">
      <w:pPr>
        <w:ind w:left="360"/>
        <w:jc w:val="both"/>
        <w:rPr>
          <w:rFonts w:ascii="Calibri" w:hAnsi="Calibri" w:cs="Calibri"/>
          <w:lang w:val="es-GT"/>
        </w:rPr>
      </w:pPr>
    </w:p>
    <w:p w:rsidR="000D70BF" w:rsidRDefault="000D70BF" w:rsidP="004E2482">
      <w:pPr>
        <w:ind w:left="360"/>
        <w:jc w:val="both"/>
        <w:rPr>
          <w:rFonts w:ascii="Calibri" w:hAnsi="Calibri" w:cs="Calibri"/>
          <w:lang w:val="es-GT"/>
        </w:rPr>
      </w:pPr>
    </w:p>
    <w:p w:rsidR="000D70BF" w:rsidRDefault="000D70BF" w:rsidP="004E2482">
      <w:pPr>
        <w:ind w:left="360"/>
        <w:jc w:val="both"/>
        <w:rPr>
          <w:rFonts w:ascii="Calibri" w:hAnsi="Calibri" w:cs="Calibri"/>
          <w:lang w:val="es-GT"/>
        </w:rPr>
      </w:pPr>
    </w:p>
    <w:p w:rsidR="000D70BF" w:rsidRPr="00D77610" w:rsidRDefault="000D70BF" w:rsidP="004E2482">
      <w:pPr>
        <w:ind w:left="360"/>
        <w:jc w:val="both"/>
        <w:rPr>
          <w:rFonts w:ascii="Calibri" w:hAnsi="Calibri" w:cs="Calibri"/>
          <w:lang w:val="es-GT"/>
        </w:rPr>
      </w:pPr>
    </w:p>
    <w:p w:rsidR="00E31B19" w:rsidRPr="001A01AB" w:rsidRDefault="00141A70" w:rsidP="004E2482">
      <w:pPr>
        <w:pStyle w:val="Prrafodelista"/>
        <w:numPr>
          <w:ilvl w:val="1"/>
          <w:numId w:val="55"/>
        </w:numPr>
        <w:autoSpaceDE w:val="0"/>
        <w:autoSpaceDN w:val="0"/>
        <w:adjustRightInd w:val="0"/>
        <w:spacing w:after="120" w:line="264" w:lineRule="auto"/>
        <w:jc w:val="both"/>
        <w:outlineLvl w:val="1"/>
        <w:rPr>
          <w:rFonts w:cs="Calibri"/>
          <w:b/>
          <w:color w:val="365F91"/>
          <w:sz w:val="28"/>
          <w:lang w:eastAsia="es-GT"/>
        </w:rPr>
      </w:pPr>
      <w:bookmarkStart w:id="129" w:name="_Toc336951329"/>
      <w:bookmarkStart w:id="130" w:name="_Toc339926599"/>
      <w:r>
        <w:rPr>
          <w:rFonts w:cs="Calibri"/>
          <w:b/>
          <w:color w:val="365F91"/>
          <w:sz w:val="28"/>
          <w:lang w:eastAsia="es-GT"/>
        </w:rPr>
        <w:lastRenderedPageBreak/>
        <w:t xml:space="preserve"> </w:t>
      </w:r>
      <w:bookmarkStart w:id="131" w:name="_Toc340065169"/>
      <w:bookmarkStart w:id="132" w:name="_Toc340065261"/>
      <w:bookmarkStart w:id="133" w:name="_Toc340565854"/>
      <w:bookmarkStart w:id="134" w:name="_Toc347841304"/>
      <w:r w:rsidR="007B7601">
        <w:rPr>
          <w:rFonts w:cs="Calibri"/>
          <w:b/>
          <w:color w:val="365F91"/>
          <w:sz w:val="28"/>
          <w:lang w:eastAsia="es-GT"/>
        </w:rPr>
        <w:t>Análisis de los principales a</w:t>
      </w:r>
      <w:r w:rsidR="00E31B19" w:rsidRPr="001A01AB">
        <w:rPr>
          <w:rFonts w:cs="Calibri"/>
          <w:b/>
          <w:color w:val="365F91"/>
          <w:sz w:val="28"/>
          <w:lang w:eastAsia="es-GT"/>
        </w:rPr>
        <w:t>gentes</w:t>
      </w:r>
      <w:bookmarkEnd w:id="129"/>
      <w:bookmarkEnd w:id="130"/>
      <w:bookmarkEnd w:id="131"/>
      <w:bookmarkEnd w:id="132"/>
      <w:bookmarkEnd w:id="133"/>
      <w:r w:rsidR="007B7601">
        <w:rPr>
          <w:rFonts w:cs="Calibri"/>
          <w:b/>
          <w:color w:val="365F91"/>
          <w:sz w:val="28"/>
          <w:lang w:eastAsia="es-GT"/>
        </w:rPr>
        <w:t xml:space="preserve"> institucionales</w:t>
      </w:r>
      <w:bookmarkEnd w:id="134"/>
    </w:p>
    <w:p w:rsidR="007B7601" w:rsidRPr="00890023" w:rsidRDefault="007B7601" w:rsidP="00315A88">
      <w:pPr>
        <w:ind w:left="360"/>
        <w:jc w:val="both"/>
        <w:rPr>
          <w:rFonts w:ascii="Calibri" w:hAnsi="Calibri" w:cs="Calibri"/>
          <w:color w:val="FF0000"/>
          <w:lang w:val="es-GT"/>
        </w:rPr>
      </w:pPr>
    </w:p>
    <w:p w:rsidR="00CA4555" w:rsidRPr="00D77610" w:rsidRDefault="00890023" w:rsidP="00315A88">
      <w:pPr>
        <w:ind w:left="360"/>
        <w:jc w:val="both"/>
        <w:rPr>
          <w:rFonts w:ascii="Calibri" w:hAnsi="Calibri" w:cs="Calibri"/>
          <w:lang w:val="es-GT"/>
        </w:rPr>
      </w:pPr>
      <w:r w:rsidRPr="00D77610">
        <w:rPr>
          <w:rFonts w:ascii="Calibri" w:hAnsi="Calibri" w:cs="Calibri"/>
          <w:lang w:val="es-GT"/>
        </w:rPr>
        <w:t xml:space="preserve">Desde hace algunos años, en Guatemala se ha </w:t>
      </w:r>
      <w:r w:rsidR="00AA02AB">
        <w:rPr>
          <w:rFonts w:ascii="Calibri" w:hAnsi="Calibri" w:cs="Calibri"/>
          <w:lang w:val="es-GT"/>
        </w:rPr>
        <w:t>discutido</w:t>
      </w:r>
      <w:r w:rsidRPr="00D77610">
        <w:rPr>
          <w:rFonts w:ascii="Calibri" w:hAnsi="Calibri" w:cs="Calibri"/>
          <w:lang w:val="es-GT"/>
        </w:rPr>
        <w:t xml:space="preserve"> acerca de la necesidad de enfrentar el tema del desarrollo rural desde una perspectiva integral. Esta situación </w:t>
      </w:r>
      <w:r w:rsidR="00D77610" w:rsidRPr="00D77610">
        <w:rPr>
          <w:rFonts w:ascii="Calibri" w:hAnsi="Calibri" w:cs="Calibri"/>
          <w:lang w:val="es-GT"/>
        </w:rPr>
        <w:t>ha influido</w:t>
      </w:r>
      <w:r w:rsidRPr="00D77610">
        <w:rPr>
          <w:rFonts w:ascii="Calibri" w:hAnsi="Calibri" w:cs="Calibri"/>
          <w:lang w:val="es-GT"/>
        </w:rPr>
        <w:t xml:space="preserve"> fuertemente en la definición de la institucional</w:t>
      </w:r>
      <w:r w:rsidR="00315A88" w:rsidRPr="00D77610">
        <w:rPr>
          <w:rFonts w:ascii="Calibri" w:hAnsi="Calibri" w:cs="Calibri"/>
          <w:lang w:val="es-GT"/>
        </w:rPr>
        <w:t>idad</w:t>
      </w:r>
      <w:r w:rsidRPr="00D77610">
        <w:rPr>
          <w:rFonts w:ascii="Calibri" w:hAnsi="Calibri" w:cs="Calibri"/>
          <w:lang w:val="es-GT"/>
        </w:rPr>
        <w:t xml:space="preserve"> que se requiere para </w:t>
      </w:r>
      <w:r w:rsidR="00315A88" w:rsidRPr="00D77610">
        <w:rPr>
          <w:rFonts w:ascii="Calibri" w:hAnsi="Calibri" w:cs="Calibri"/>
          <w:lang w:val="es-GT"/>
        </w:rPr>
        <w:t>abordarl</w:t>
      </w:r>
      <w:r w:rsidRPr="00D77610">
        <w:rPr>
          <w:rFonts w:ascii="Calibri" w:hAnsi="Calibri" w:cs="Calibri"/>
          <w:lang w:val="es-GT"/>
        </w:rPr>
        <w:t xml:space="preserve">o. </w:t>
      </w:r>
      <w:r w:rsidR="00315A88" w:rsidRPr="00D77610">
        <w:rPr>
          <w:rFonts w:ascii="Calibri" w:hAnsi="Calibri" w:cs="Calibri"/>
          <w:lang w:val="es-GT"/>
        </w:rPr>
        <w:t>Durante el último semestre del 2012, las discusiones alrededor de la propuesta de Ley de Desarrollo Rural Integral se han intensi</w:t>
      </w:r>
      <w:r w:rsidR="00D77610" w:rsidRPr="00D77610">
        <w:rPr>
          <w:rFonts w:ascii="Calibri" w:hAnsi="Calibri" w:cs="Calibri"/>
          <w:lang w:val="es-GT"/>
        </w:rPr>
        <w:t>ficado en el Congreso de la Repú</w:t>
      </w:r>
      <w:r w:rsidR="00315A88" w:rsidRPr="00D77610">
        <w:rPr>
          <w:rFonts w:ascii="Calibri" w:hAnsi="Calibri" w:cs="Calibri"/>
          <w:lang w:val="es-GT"/>
        </w:rPr>
        <w:t xml:space="preserve">blica y entre los actores directamente involucrados. </w:t>
      </w:r>
    </w:p>
    <w:p w:rsidR="00CA4555" w:rsidRPr="00890023" w:rsidRDefault="00CA4555" w:rsidP="00315A88">
      <w:pPr>
        <w:ind w:left="360"/>
        <w:jc w:val="both"/>
        <w:rPr>
          <w:rFonts w:ascii="Calibri" w:hAnsi="Calibri" w:cs="Calibri"/>
          <w:color w:val="FF0000"/>
          <w:lang w:val="es-GT"/>
        </w:rPr>
      </w:pPr>
    </w:p>
    <w:p w:rsidR="007B7601" w:rsidRPr="003F314F" w:rsidRDefault="00D77610" w:rsidP="003F314F">
      <w:pPr>
        <w:pStyle w:val="Prrafodelista"/>
        <w:numPr>
          <w:ilvl w:val="2"/>
          <w:numId w:val="55"/>
        </w:numPr>
        <w:spacing w:after="120"/>
        <w:jc w:val="both"/>
        <w:rPr>
          <w:rFonts w:cs="Calibri"/>
          <w:b/>
          <w:i/>
          <w:color w:val="365F91"/>
          <w:sz w:val="24"/>
          <w:szCs w:val="24"/>
        </w:rPr>
      </w:pPr>
      <w:r w:rsidRPr="003F314F">
        <w:rPr>
          <w:rFonts w:cs="Calibri"/>
          <w:b/>
          <w:i/>
          <w:color w:val="365F91"/>
          <w:sz w:val="24"/>
          <w:szCs w:val="24"/>
        </w:rPr>
        <w:t>La institucionalidad pú</w:t>
      </w:r>
      <w:r w:rsidR="007B7601" w:rsidRPr="003F314F">
        <w:rPr>
          <w:rFonts w:cs="Calibri"/>
          <w:b/>
          <w:i/>
          <w:color w:val="365F91"/>
          <w:sz w:val="24"/>
          <w:szCs w:val="24"/>
        </w:rPr>
        <w:t>blica formal para el desarrollo rural</w:t>
      </w:r>
    </w:p>
    <w:p w:rsidR="007B7601" w:rsidRPr="00D77610" w:rsidRDefault="007B7601" w:rsidP="00315A88">
      <w:pPr>
        <w:pStyle w:val="CM4"/>
        <w:spacing w:line="240" w:lineRule="auto"/>
        <w:ind w:left="360"/>
        <w:jc w:val="both"/>
        <w:rPr>
          <w:rFonts w:ascii="Calibri" w:hAnsi="Calibri" w:cs="Times LT Std"/>
        </w:rPr>
      </w:pPr>
      <w:r w:rsidRPr="00D77610">
        <w:rPr>
          <w:rFonts w:ascii="Calibri" w:hAnsi="Calibri" w:cs="Times LT Std"/>
        </w:rPr>
        <w:t>Las orientaciones para la modernización del Estado en Guatemala se basan principalmente en dos fuentes</w:t>
      </w:r>
      <w:r w:rsidR="00315A88" w:rsidRPr="00D77610">
        <w:rPr>
          <w:rFonts w:ascii="Calibri" w:hAnsi="Calibri" w:cs="Times LT Std"/>
        </w:rPr>
        <w:t>,</w:t>
      </w:r>
      <w:r w:rsidRPr="00D77610">
        <w:rPr>
          <w:rFonts w:ascii="Calibri" w:hAnsi="Calibri" w:cs="Times LT Std"/>
        </w:rPr>
        <w:t xml:space="preserve"> </w:t>
      </w:r>
      <w:r w:rsidR="00315A88" w:rsidRPr="00D77610">
        <w:rPr>
          <w:rFonts w:ascii="Calibri" w:hAnsi="Calibri" w:cs="Times LT Std"/>
        </w:rPr>
        <w:t xml:space="preserve">las cuales en la práctica se han impulsado con diferentes grados de intensidad </w:t>
      </w:r>
      <w:r w:rsidRPr="00D77610">
        <w:rPr>
          <w:rFonts w:ascii="Calibri" w:hAnsi="Calibri" w:cs="Times LT Std"/>
        </w:rPr>
        <w:t>(Sojo, 200</w:t>
      </w:r>
      <w:r w:rsidR="00315A88" w:rsidRPr="00D77610">
        <w:rPr>
          <w:rFonts w:ascii="Calibri" w:hAnsi="Calibri" w:cs="Times LT Std"/>
        </w:rPr>
        <w:t>0, citado por Monterroso, 2009)</w:t>
      </w:r>
      <w:r w:rsidRPr="00D77610">
        <w:rPr>
          <w:rFonts w:ascii="Calibri" w:hAnsi="Calibri" w:cs="Times LT Std"/>
        </w:rPr>
        <w:t>. Por una parte</w:t>
      </w:r>
      <w:r w:rsidR="00AA02AB">
        <w:rPr>
          <w:rFonts w:ascii="Calibri" w:hAnsi="Calibri" w:cs="Times LT Std"/>
        </w:rPr>
        <w:t>,</w:t>
      </w:r>
      <w:r w:rsidRPr="00D77610">
        <w:rPr>
          <w:rFonts w:ascii="Calibri" w:hAnsi="Calibri" w:cs="Times LT Std"/>
        </w:rPr>
        <w:t xml:space="preserve"> se encuentran las iniciativas promovidas por la corriente económica de ajuste estructural y apertura comercial, que apuntaron a la reducción del aparato gubernamental y a la eficacia de</w:t>
      </w:r>
      <w:r w:rsidR="00315A88" w:rsidRPr="00D77610">
        <w:rPr>
          <w:rFonts w:ascii="Calibri" w:hAnsi="Calibri" w:cs="Times LT Std"/>
        </w:rPr>
        <w:t xml:space="preserve"> la política. Por otra parte, </w:t>
      </w:r>
      <w:r w:rsidRPr="00D77610">
        <w:rPr>
          <w:rFonts w:ascii="Calibri" w:hAnsi="Calibri" w:cs="Times LT Std"/>
        </w:rPr>
        <w:t>derivado del proceso de paz en Guatemala se impulsaron acciones positivas encaminadas a crear una sociedad más equitativa, incluyente y participativa. Mediante los Acuerdos de Paz se intentó pasar de un Estado autoritario contrainsurgente hacia uno demo</w:t>
      </w:r>
      <w:r w:rsidRPr="00D77610">
        <w:rPr>
          <w:rFonts w:ascii="Calibri" w:hAnsi="Calibri" w:cs="Times LT Std"/>
        </w:rPr>
        <w:softHyphen/>
        <w:t>crático, incluyente y con una sociedad civil fortalecida. Desde este punto de vista, la descentralización y la participación ciudadana son los instrumentos que permiten que la población se adueñe de su proceso de desarrollo (</w:t>
      </w:r>
      <w:r w:rsidRPr="00DD5B93">
        <w:rPr>
          <w:rFonts w:ascii="Calibri" w:hAnsi="Calibri" w:cs="Times LT Std"/>
        </w:rPr>
        <w:t>SEGEPLAN, 2008</w:t>
      </w:r>
      <w:r w:rsidR="00DD5B93" w:rsidRPr="00DD5B93">
        <w:rPr>
          <w:rFonts w:ascii="Calibri" w:hAnsi="Calibri" w:cs="Times LT Std"/>
        </w:rPr>
        <w:t>, citada por Monterroso, 2009</w:t>
      </w:r>
      <w:r w:rsidRPr="00DD5B93">
        <w:rPr>
          <w:rFonts w:ascii="Calibri" w:hAnsi="Calibri" w:cs="Times LT Std"/>
        </w:rPr>
        <w:t>).</w:t>
      </w:r>
      <w:r w:rsidRPr="00D77610">
        <w:rPr>
          <w:rFonts w:ascii="Calibri" w:hAnsi="Calibri" w:cs="Times LT Std"/>
        </w:rPr>
        <w:t xml:space="preserve"> </w:t>
      </w:r>
    </w:p>
    <w:p w:rsidR="007B7601" w:rsidRPr="001D6D3A" w:rsidRDefault="007B7601" w:rsidP="00315A88">
      <w:pPr>
        <w:pStyle w:val="Default"/>
        <w:ind w:left="360"/>
        <w:jc w:val="both"/>
        <w:rPr>
          <w:rFonts w:ascii="Calibri" w:hAnsi="Calibri" w:cs="Times LT Std"/>
          <w:color w:val="FF0000"/>
          <w:lang w:val="es-GT"/>
        </w:rPr>
      </w:pPr>
    </w:p>
    <w:p w:rsidR="007B7601" w:rsidRPr="00D77610" w:rsidRDefault="007B7601" w:rsidP="00315A88">
      <w:pPr>
        <w:pStyle w:val="CM5"/>
        <w:spacing w:line="240" w:lineRule="auto"/>
        <w:ind w:left="360"/>
        <w:jc w:val="both"/>
        <w:rPr>
          <w:rFonts w:ascii="Calibri" w:hAnsi="Calibri" w:cs="Times LT Std"/>
        </w:rPr>
      </w:pPr>
      <w:r w:rsidRPr="00D77610">
        <w:rPr>
          <w:rFonts w:ascii="Calibri" w:hAnsi="Calibri" w:cs="Times LT Std"/>
        </w:rPr>
        <w:t xml:space="preserve">Puesto que ambas corrientes de pensamiento han tenido influencia en las políticas, es posible concluir que la modernización del Estado en Guatemala persigue dos grandes objetivos: mejorar la eficiencia estatal en la provisión de bienes y servicios públicos y disminuir la exclusión y la discriminación social (Sojo, 2000; SEGEPLAN, 2008, citados por Monterroso, 2009). Guatemala ha generado un marco legal para lograr los objetivos de modernización del Estado, representado por las llamadas leyes de participación y </w:t>
      </w:r>
      <w:r w:rsidR="00DD5B93">
        <w:rPr>
          <w:rFonts w:ascii="Calibri" w:hAnsi="Calibri" w:cs="Times LT Std"/>
        </w:rPr>
        <w:t>descentralización, a saber: la L</w:t>
      </w:r>
      <w:r w:rsidRPr="00D77610">
        <w:rPr>
          <w:rFonts w:ascii="Calibri" w:hAnsi="Calibri" w:cs="Times LT Std"/>
        </w:rPr>
        <w:t xml:space="preserve">ey </w:t>
      </w:r>
      <w:r w:rsidR="00DD5B93">
        <w:rPr>
          <w:rFonts w:ascii="Calibri" w:hAnsi="Calibri" w:cs="Times LT Std"/>
        </w:rPr>
        <w:t>General de D</w:t>
      </w:r>
      <w:r w:rsidRPr="00D77610">
        <w:rPr>
          <w:rFonts w:ascii="Calibri" w:hAnsi="Calibri" w:cs="Times LT Std"/>
        </w:rPr>
        <w:t>escentra</w:t>
      </w:r>
      <w:r w:rsidR="00DD5B93">
        <w:rPr>
          <w:rFonts w:ascii="Calibri" w:hAnsi="Calibri" w:cs="Times LT Std"/>
        </w:rPr>
        <w:t>lización (Decreto 14-2002), la L</w:t>
      </w:r>
      <w:r w:rsidRPr="00D77610">
        <w:rPr>
          <w:rFonts w:ascii="Calibri" w:hAnsi="Calibri" w:cs="Times LT Std"/>
        </w:rPr>
        <w:t xml:space="preserve">ey de los Consejos de Desarrollo Urbano y Rural (Decreto 11-2002) y el Código Municipal (Decreto 12-2002). </w:t>
      </w:r>
    </w:p>
    <w:p w:rsidR="007B7601" w:rsidRPr="00D77610" w:rsidRDefault="007B7601" w:rsidP="00315A88">
      <w:pPr>
        <w:pStyle w:val="CM24"/>
        <w:ind w:left="360"/>
        <w:jc w:val="both"/>
        <w:rPr>
          <w:rFonts w:ascii="Calibri" w:hAnsi="Calibri" w:cs="Times LT Std"/>
        </w:rPr>
      </w:pPr>
    </w:p>
    <w:p w:rsidR="007B7601" w:rsidRPr="00D77610" w:rsidRDefault="007B7601" w:rsidP="00315A88">
      <w:pPr>
        <w:pStyle w:val="CM24"/>
        <w:ind w:left="360"/>
        <w:jc w:val="both"/>
        <w:rPr>
          <w:rFonts w:ascii="Calibri" w:hAnsi="Calibri" w:cs="Times LT Std"/>
        </w:rPr>
      </w:pPr>
      <w:r w:rsidRPr="00D77610">
        <w:rPr>
          <w:rFonts w:ascii="Calibri" w:hAnsi="Calibri" w:cs="Times LT Std"/>
        </w:rPr>
        <w:t xml:space="preserve">Desde la perspectiva de ejecución de las políticas públicas, el nivel de mayor jerarquía es el gobierno central, el cual está conformado por el </w:t>
      </w:r>
      <w:r w:rsidR="00DD5B93" w:rsidRPr="00D77610">
        <w:rPr>
          <w:rFonts w:ascii="Calibri" w:hAnsi="Calibri" w:cs="Times LT Std"/>
        </w:rPr>
        <w:t>presidente, el vicepresidente y el gabinete de ministros</w:t>
      </w:r>
      <w:r w:rsidRPr="00D77610">
        <w:rPr>
          <w:rFonts w:ascii="Calibri" w:hAnsi="Calibri" w:cs="Times LT Std"/>
        </w:rPr>
        <w:t>. En el caso de las políticas de desarrollo rural, recientemente la Presidencia de la República creó una Comisión Presidencial para el Desarrollo Rural Integral</w:t>
      </w:r>
      <w:r w:rsidR="00DD5B93">
        <w:rPr>
          <w:rFonts w:ascii="Calibri" w:hAnsi="Calibri" w:cs="Times LT Std"/>
        </w:rPr>
        <w:t>,</w:t>
      </w:r>
      <w:r w:rsidRPr="00D77610">
        <w:rPr>
          <w:rFonts w:ascii="Calibri" w:hAnsi="Calibri" w:cs="Times LT Std"/>
        </w:rPr>
        <w:t xml:space="preserve"> que constituye la institucionalidad inicial de este proceso, y que se espera que desemboque en la constitución de la institucionalidad permanente de la Política Nacional de Desarrollo Rural Integral, cuando se avance en su activación y adecuación.</w:t>
      </w:r>
    </w:p>
    <w:p w:rsidR="007B7601" w:rsidRPr="00D77610" w:rsidRDefault="007B7601" w:rsidP="00315A88">
      <w:pPr>
        <w:pStyle w:val="CM24"/>
        <w:ind w:left="360"/>
        <w:jc w:val="both"/>
        <w:rPr>
          <w:rFonts w:ascii="Calibri" w:hAnsi="Calibri" w:cs="Times LT Std"/>
        </w:rPr>
      </w:pPr>
    </w:p>
    <w:p w:rsidR="007B7601" w:rsidRPr="00D77610" w:rsidRDefault="007B7601" w:rsidP="00315A88">
      <w:pPr>
        <w:pStyle w:val="CM24"/>
        <w:ind w:left="360"/>
        <w:jc w:val="both"/>
        <w:rPr>
          <w:rFonts w:ascii="Calibri" w:hAnsi="Calibri" w:cs="Times LT Std"/>
        </w:rPr>
      </w:pPr>
      <w:r w:rsidRPr="00D77610">
        <w:rPr>
          <w:rFonts w:ascii="Calibri" w:hAnsi="Calibri" w:cs="Times LT Std"/>
        </w:rPr>
        <w:t>El Comisionado Presidencial para el Desarrollo Rural Integral colaborará con la Presidencia de la Repúbl</w:t>
      </w:r>
      <w:r w:rsidR="00DD5B93">
        <w:rPr>
          <w:rFonts w:ascii="Calibri" w:hAnsi="Calibri" w:cs="Times LT Std"/>
        </w:rPr>
        <w:t>ica en la coordinación de esta c</w:t>
      </w:r>
      <w:r w:rsidRPr="00D77610">
        <w:rPr>
          <w:rFonts w:ascii="Calibri" w:hAnsi="Calibri" w:cs="Times LT Std"/>
        </w:rPr>
        <w:t xml:space="preserve">omisión, en la cual participarán </w:t>
      </w:r>
      <w:r w:rsidR="00315A88" w:rsidRPr="00D77610">
        <w:rPr>
          <w:rFonts w:ascii="Calibri" w:hAnsi="Calibri" w:cs="Times LT Std"/>
        </w:rPr>
        <w:t xml:space="preserve">las </w:t>
      </w:r>
      <w:r w:rsidR="00DD5B93" w:rsidRPr="00D77610">
        <w:rPr>
          <w:rFonts w:ascii="Calibri" w:hAnsi="Calibri" w:cs="Times LT Std"/>
        </w:rPr>
        <w:t xml:space="preserve">siguientes </w:t>
      </w:r>
      <w:r w:rsidR="00315A88" w:rsidRPr="00D77610">
        <w:rPr>
          <w:rFonts w:ascii="Calibri" w:hAnsi="Calibri" w:cs="Times LT Std"/>
        </w:rPr>
        <w:lastRenderedPageBreak/>
        <w:t>instituciones:</w:t>
      </w:r>
      <w:r w:rsidRPr="00D77610">
        <w:rPr>
          <w:rFonts w:ascii="Calibri" w:hAnsi="Calibri" w:cs="Times LT Std"/>
        </w:rPr>
        <w:t xml:space="preserve"> M</w:t>
      </w:r>
      <w:r w:rsidR="00315A88" w:rsidRPr="00D77610">
        <w:rPr>
          <w:rFonts w:ascii="Calibri" w:hAnsi="Calibri" w:cs="Times LT Std"/>
        </w:rPr>
        <w:t xml:space="preserve">inisterio de </w:t>
      </w:r>
      <w:r w:rsidRPr="00D77610">
        <w:rPr>
          <w:rFonts w:ascii="Calibri" w:hAnsi="Calibri" w:cs="Times LT Std"/>
        </w:rPr>
        <w:t>A</w:t>
      </w:r>
      <w:r w:rsidR="00315A88" w:rsidRPr="00D77610">
        <w:rPr>
          <w:rFonts w:ascii="Calibri" w:hAnsi="Calibri" w:cs="Times LT Std"/>
        </w:rPr>
        <w:t>gricultura, Ganadería y Alimentación</w:t>
      </w:r>
      <w:r w:rsidR="00DD5B93">
        <w:rPr>
          <w:rFonts w:ascii="Calibri" w:hAnsi="Calibri" w:cs="Times LT Std"/>
        </w:rPr>
        <w:t>;</w:t>
      </w:r>
      <w:r w:rsidRPr="00D77610">
        <w:rPr>
          <w:rFonts w:ascii="Calibri" w:hAnsi="Calibri" w:cs="Times LT Std"/>
        </w:rPr>
        <w:t xml:space="preserve"> Minist</w:t>
      </w:r>
      <w:r w:rsidR="00315A88" w:rsidRPr="00D77610">
        <w:rPr>
          <w:rFonts w:ascii="Calibri" w:hAnsi="Calibri" w:cs="Times LT Std"/>
        </w:rPr>
        <w:t>e</w:t>
      </w:r>
      <w:r w:rsidRPr="00D77610">
        <w:rPr>
          <w:rFonts w:ascii="Calibri" w:hAnsi="Calibri" w:cs="Times LT Std"/>
        </w:rPr>
        <w:t>r</w:t>
      </w:r>
      <w:r w:rsidR="00315A88" w:rsidRPr="00D77610">
        <w:rPr>
          <w:rFonts w:ascii="Calibri" w:hAnsi="Calibri" w:cs="Times LT Std"/>
        </w:rPr>
        <w:t>io</w:t>
      </w:r>
      <w:r w:rsidRPr="00D77610">
        <w:rPr>
          <w:rFonts w:ascii="Calibri" w:hAnsi="Calibri" w:cs="Times LT Std"/>
        </w:rPr>
        <w:t xml:space="preserve"> de Desarrollo</w:t>
      </w:r>
      <w:r w:rsidRPr="00315A88">
        <w:rPr>
          <w:rFonts w:ascii="Calibri" w:hAnsi="Calibri" w:cs="Times LT Std"/>
          <w:color w:val="FF0000"/>
        </w:rPr>
        <w:t xml:space="preserve"> </w:t>
      </w:r>
      <w:r w:rsidR="00DD5B93">
        <w:rPr>
          <w:rFonts w:ascii="Calibri" w:hAnsi="Calibri" w:cs="Times LT Std"/>
        </w:rPr>
        <w:t>Social;</w:t>
      </w:r>
      <w:r w:rsidRPr="00D77610">
        <w:rPr>
          <w:rFonts w:ascii="Calibri" w:hAnsi="Calibri" w:cs="Times LT Std"/>
        </w:rPr>
        <w:t xml:space="preserve"> </w:t>
      </w:r>
      <w:r w:rsidR="00DD5B93">
        <w:rPr>
          <w:rFonts w:ascii="Calibri" w:hAnsi="Calibri" w:cs="Times LT Std"/>
        </w:rPr>
        <w:t xml:space="preserve">Ministerio de Trabajo; Ministerio de Economía; </w:t>
      </w:r>
      <w:r w:rsidR="00F06718" w:rsidRPr="00D77610">
        <w:rPr>
          <w:rFonts w:ascii="Calibri" w:hAnsi="Calibri" w:cs="Times LT Std"/>
        </w:rPr>
        <w:t>Ministerio de Comunicacio</w:t>
      </w:r>
      <w:r w:rsidR="00DD5B93">
        <w:rPr>
          <w:rFonts w:ascii="Calibri" w:hAnsi="Calibri" w:cs="Times LT Std"/>
        </w:rPr>
        <w:t>nes, Infraestructura y Vivienda;</w:t>
      </w:r>
      <w:r w:rsidR="00F06718" w:rsidRPr="00D77610">
        <w:rPr>
          <w:rFonts w:ascii="Calibri" w:hAnsi="Calibri" w:cs="Times LT Std"/>
        </w:rPr>
        <w:t xml:space="preserve"> </w:t>
      </w:r>
      <w:r w:rsidRPr="00D77610">
        <w:rPr>
          <w:rFonts w:ascii="Calibri" w:hAnsi="Calibri" w:cs="Times LT Std"/>
        </w:rPr>
        <w:t>Secretaría</w:t>
      </w:r>
      <w:r w:rsidR="00315A88" w:rsidRPr="00D77610">
        <w:rPr>
          <w:rFonts w:ascii="Calibri" w:hAnsi="Calibri" w:cs="Times LT Std"/>
        </w:rPr>
        <w:t xml:space="preserve"> de Asuntos Agrícolas</w:t>
      </w:r>
      <w:r w:rsidR="00DD5B93">
        <w:rPr>
          <w:rFonts w:ascii="Calibri" w:hAnsi="Calibri" w:cs="Times LT Std"/>
        </w:rPr>
        <w:t>;</w:t>
      </w:r>
      <w:r w:rsidRPr="00D77610">
        <w:rPr>
          <w:rFonts w:ascii="Calibri" w:hAnsi="Calibri" w:cs="Times LT Std"/>
        </w:rPr>
        <w:t xml:space="preserve"> S</w:t>
      </w:r>
      <w:r w:rsidR="00D77610" w:rsidRPr="00D77610">
        <w:rPr>
          <w:rFonts w:ascii="Calibri" w:hAnsi="Calibri" w:cs="Times LT Std"/>
        </w:rPr>
        <w:t>ecretarí</w:t>
      </w:r>
      <w:r w:rsidR="00315A88" w:rsidRPr="00D77610">
        <w:rPr>
          <w:rFonts w:ascii="Calibri" w:hAnsi="Calibri" w:cs="Times LT Std"/>
        </w:rPr>
        <w:t xml:space="preserve">a de Seguridad Alimentaria </w:t>
      </w:r>
      <w:r w:rsidR="00DD5B93">
        <w:rPr>
          <w:rFonts w:ascii="Calibri" w:hAnsi="Calibri" w:cs="Times LT Std"/>
        </w:rPr>
        <w:t>y Nutricional; Secretaría Presidencial de la Mujer; Secretaría de Obras Sociales de la Esposa del Presidente;</w:t>
      </w:r>
      <w:r w:rsidRPr="00D77610">
        <w:rPr>
          <w:rFonts w:ascii="Calibri" w:hAnsi="Calibri" w:cs="Times LT Std"/>
        </w:rPr>
        <w:t xml:space="preserve"> </w:t>
      </w:r>
      <w:r w:rsidR="00F06718" w:rsidRPr="00D77610">
        <w:rPr>
          <w:rFonts w:ascii="Calibri" w:hAnsi="Calibri" w:cs="Times LT Std"/>
        </w:rPr>
        <w:t>y</w:t>
      </w:r>
      <w:r w:rsidR="00DD5B93">
        <w:rPr>
          <w:rFonts w:ascii="Calibri" w:hAnsi="Calibri" w:cs="Times LT Std"/>
        </w:rPr>
        <w:t xml:space="preserve"> Secretaría de Planificación y Programación de la Presidencia</w:t>
      </w:r>
      <w:r w:rsidRPr="00D77610">
        <w:rPr>
          <w:rFonts w:ascii="Calibri" w:hAnsi="Calibri" w:cs="Times LT Std"/>
        </w:rPr>
        <w:t>. El propósito principal será garantizar la coordinación y coherencia de las políticas sectoriales y multisectoriales correspondientes a las competencias institucionales de sus miembros, tanto en su formulación como en su implementación, para que efectivamente exista una articulación de las mismas, en el marco general de la PNDRI.</w:t>
      </w:r>
    </w:p>
    <w:p w:rsidR="007B7601" w:rsidRPr="00D77610" w:rsidRDefault="007B7601" w:rsidP="00315A88">
      <w:pPr>
        <w:pStyle w:val="CM24"/>
        <w:ind w:left="360"/>
        <w:jc w:val="both"/>
        <w:rPr>
          <w:rFonts w:ascii="Calibri" w:hAnsi="Calibri" w:cs="Times LT Std"/>
        </w:rPr>
      </w:pPr>
    </w:p>
    <w:p w:rsidR="007B7601" w:rsidRPr="00D77610" w:rsidRDefault="00803C6F" w:rsidP="00315A88">
      <w:pPr>
        <w:pStyle w:val="CM24"/>
        <w:ind w:left="360"/>
        <w:jc w:val="both"/>
        <w:rPr>
          <w:rFonts w:ascii="Calibri" w:hAnsi="Calibri" w:cs="Times LT Std"/>
        </w:rPr>
      </w:pPr>
      <w:r w:rsidRPr="000239F9">
        <w:rPr>
          <w:rFonts w:ascii="Calibri" w:hAnsi="Calibri" w:cs="Times LT Std"/>
        </w:rPr>
        <w:t>E</w:t>
      </w:r>
      <w:r w:rsidR="007B7601" w:rsidRPr="000239F9">
        <w:rPr>
          <w:rFonts w:ascii="Calibri" w:hAnsi="Calibri" w:cs="Times LT Std"/>
        </w:rPr>
        <w:t xml:space="preserve">l </w:t>
      </w:r>
      <w:r w:rsidR="000239F9" w:rsidRPr="000239F9">
        <w:rPr>
          <w:rFonts w:ascii="Calibri" w:hAnsi="Calibri" w:cs="Times LT Std"/>
        </w:rPr>
        <w:t>rol</w:t>
      </w:r>
      <w:r w:rsidR="007B7601" w:rsidRPr="000239F9">
        <w:rPr>
          <w:rFonts w:ascii="Calibri" w:hAnsi="Calibri" w:cs="Times LT Std"/>
        </w:rPr>
        <w:t xml:space="preserve"> del nivel desconcentrado de gobierno es principalmente de planificación y coordinación de acciones en las esferas departamental y territorial, donde los organismos gubernamentales conciertan políticas públicas con los actores sociales y privados.</w:t>
      </w:r>
      <w:r w:rsidR="007B7601" w:rsidRPr="001B0481">
        <w:rPr>
          <w:rFonts w:ascii="Calibri" w:hAnsi="Calibri" w:cs="Times LT Std"/>
        </w:rPr>
        <w:t xml:space="preserve"> El gobierno desconcentrado está presidido por los gobernadores depar</w:t>
      </w:r>
      <w:r w:rsidR="007B7601" w:rsidRPr="001B0481">
        <w:rPr>
          <w:rFonts w:ascii="Calibri" w:hAnsi="Calibri" w:cs="Times LT Std"/>
        </w:rPr>
        <w:softHyphen/>
        <w:t xml:space="preserve">tamentales, quienes son designados por el Presidente de la República y dependen del Ministerio de Gobernación. En el caso del </w:t>
      </w:r>
      <w:r w:rsidR="001B0481">
        <w:rPr>
          <w:rFonts w:ascii="Calibri" w:hAnsi="Calibri" w:cs="Times LT Std"/>
        </w:rPr>
        <w:t xml:space="preserve">tema de </w:t>
      </w:r>
      <w:r w:rsidR="007B7601" w:rsidRPr="001B0481">
        <w:rPr>
          <w:rFonts w:ascii="Calibri" w:hAnsi="Calibri" w:cs="Times LT Std"/>
        </w:rPr>
        <w:t>desarrollo rural, este nivel de gobierno incluye también las oficinas departamentales de los ministerios y secretarías que conforman el gabinete pertinente, así como los fondos de inversión social.</w:t>
      </w:r>
    </w:p>
    <w:p w:rsidR="007B7601" w:rsidRPr="00315A88" w:rsidRDefault="007B7601" w:rsidP="00315A88">
      <w:pPr>
        <w:pStyle w:val="CM24"/>
        <w:ind w:left="360"/>
        <w:jc w:val="both"/>
        <w:rPr>
          <w:rFonts w:ascii="Calibri" w:hAnsi="Calibri" w:cs="Times LT Std"/>
          <w:color w:val="FF0000"/>
        </w:rPr>
      </w:pPr>
    </w:p>
    <w:p w:rsidR="007B7601" w:rsidRPr="00D77610" w:rsidRDefault="007B7601" w:rsidP="00315A88">
      <w:pPr>
        <w:pStyle w:val="CM24"/>
        <w:ind w:left="360"/>
        <w:jc w:val="both"/>
        <w:rPr>
          <w:rFonts w:ascii="Calibri" w:hAnsi="Calibri" w:cs="Times LT Std"/>
        </w:rPr>
      </w:pPr>
      <w:r w:rsidRPr="00D77610">
        <w:rPr>
          <w:rFonts w:ascii="Calibri" w:hAnsi="Calibri" w:cs="Times LT Std"/>
        </w:rPr>
        <w:t xml:space="preserve">Por su parte, el gobierno descentralizado está representado por los municipios, que tienen autonomía para elegir a sus funcionarios. </w:t>
      </w:r>
      <w:r w:rsidR="000239F9">
        <w:rPr>
          <w:rFonts w:ascii="Calibri" w:hAnsi="Calibri" w:cs="Times LT Std"/>
        </w:rPr>
        <w:t>E</w:t>
      </w:r>
      <w:r w:rsidRPr="00D77610">
        <w:rPr>
          <w:rFonts w:ascii="Calibri" w:hAnsi="Calibri" w:cs="Times LT Std"/>
        </w:rPr>
        <w:t>l objetivo central de las políticas de descentralización del Estado</w:t>
      </w:r>
      <w:r w:rsidR="000239F9">
        <w:rPr>
          <w:rFonts w:ascii="Calibri" w:hAnsi="Calibri" w:cs="Times LT Std"/>
        </w:rPr>
        <w:t xml:space="preserve"> es e</w:t>
      </w:r>
      <w:r w:rsidR="000239F9" w:rsidRPr="00D77610">
        <w:rPr>
          <w:rFonts w:ascii="Calibri" w:hAnsi="Calibri" w:cs="Times LT Std"/>
        </w:rPr>
        <w:t>l fortalecimiento de los gobiernos municipales</w:t>
      </w:r>
      <w:r w:rsidRPr="00D77610">
        <w:rPr>
          <w:rFonts w:ascii="Calibri" w:hAnsi="Calibri" w:cs="Times LT Std"/>
        </w:rPr>
        <w:t>, tanto en Guatemala como en América Latina. Los municipios cuentan con recursos propios o provenientes de las transferencias del gobierno central</w:t>
      </w:r>
      <w:r w:rsidR="000239F9">
        <w:rPr>
          <w:rFonts w:ascii="Calibri" w:hAnsi="Calibri" w:cs="Times LT Std"/>
        </w:rPr>
        <w:t>,</w:t>
      </w:r>
      <w:r w:rsidRPr="00D77610">
        <w:rPr>
          <w:rFonts w:ascii="Calibri" w:hAnsi="Calibri" w:cs="Times LT Std"/>
        </w:rPr>
        <w:t xml:space="preserve"> y se les han asignado diversas funciones de coordinación y fomento productivo y social. </w:t>
      </w:r>
    </w:p>
    <w:p w:rsidR="007B7601" w:rsidRPr="001D6D3A" w:rsidRDefault="007B7601" w:rsidP="00315A88">
      <w:pPr>
        <w:pStyle w:val="CM24"/>
        <w:ind w:left="360"/>
        <w:jc w:val="both"/>
        <w:rPr>
          <w:rFonts w:ascii="Calibri" w:hAnsi="Calibri" w:cs="Times LT Std"/>
          <w:color w:val="FF0000"/>
        </w:rPr>
      </w:pPr>
    </w:p>
    <w:p w:rsidR="00DA0825" w:rsidRPr="00DA0825" w:rsidRDefault="00DA0825" w:rsidP="00315A88">
      <w:pPr>
        <w:pStyle w:val="CM5"/>
        <w:spacing w:line="240" w:lineRule="auto"/>
        <w:ind w:left="360"/>
        <w:jc w:val="both"/>
        <w:rPr>
          <w:rFonts w:ascii="Calibri" w:hAnsi="Calibri" w:cs="Times LT Std"/>
          <w:color w:val="FF0000"/>
        </w:rPr>
      </w:pPr>
    </w:p>
    <w:p w:rsidR="007B7601" w:rsidRPr="003F314F" w:rsidRDefault="007B7601" w:rsidP="003F314F">
      <w:pPr>
        <w:pStyle w:val="Prrafodelista"/>
        <w:numPr>
          <w:ilvl w:val="2"/>
          <w:numId w:val="55"/>
        </w:numPr>
        <w:spacing w:after="120"/>
        <w:jc w:val="both"/>
        <w:rPr>
          <w:rFonts w:cs="Calibri"/>
          <w:b/>
          <w:i/>
          <w:color w:val="365F91"/>
          <w:sz w:val="24"/>
          <w:szCs w:val="24"/>
        </w:rPr>
      </w:pPr>
      <w:r w:rsidRPr="003F314F">
        <w:rPr>
          <w:rFonts w:cs="Calibri"/>
          <w:b/>
          <w:i/>
          <w:color w:val="365F91"/>
          <w:sz w:val="24"/>
          <w:szCs w:val="24"/>
        </w:rPr>
        <w:t xml:space="preserve">Fortalecimiento de la institucionalidad formal y del marco de políticas para el desarrollo rural </w:t>
      </w:r>
    </w:p>
    <w:p w:rsidR="007B7601" w:rsidRPr="00D77610" w:rsidRDefault="00DA0825" w:rsidP="00315A88">
      <w:pPr>
        <w:pStyle w:val="CM4"/>
        <w:spacing w:line="240" w:lineRule="auto"/>
        <w:ind w:left="360"/>
        <w:jc w:val="both"/>
        <w:rPr>
          <w:rFonts w:ascii="Calibri" w:hAnsi="Calibri" w:cs="Times LT Std"/>
        </w:rPr>
      </w:pPr>
      <w:r w:rsidRPr="00D77610">
        <w:rPr>
          <w:rFonts w:ascii="Calibri" w:hAnsi="Calibri" w:cs="Times LT Std"/>
        </w:rPr>
        <w:t>N</w:t>
      </w:r>
      <w:r w:rsidR="007B7601" w:rsidRPr="00D77610">
        <w:rPr>
          <w:rFonts w:ascii="Calibri" w:hAnsi="Calibri" w:cs="Times LT Std"/>
        </w:rPr>
        <w:t xml:space="preserve">o </w:t>
      </w:r>
      <w:r w:rsidR="000239F9">
        <w:rPr>
          <w:rFonts w:ascii="Calibri" w:hAnsi="Calibri" w:cs="Times LT Std"/>
        </w:rPr>
        <w:t>existe</w:t>
      </w:r>
      <w:r w:rsidR="007B7601" w:rsidRPr="00D77610">
        <w:rPr>
          <w:rFonts w:ascii="Calibri" w:hAnsi="Calibri" w:cs="Times LT Std"/>
        </w:rPr>
        <w:t xml:space="preserve"> una delimitación clara del alcance de las políticas en los tres niveles de gobierno. El marco legal existente no define el tipo de políticas públicas que deben aplicarse en cada uno de ellos, con excepción de las funciones específicas del gobierno municipal (Monterroso, 2009). En primera instancia, puede argumentarse que al gobierno central le co</w:t>
      </w:r>
      <w:r w:rsidRPr="00D77610">
        <w:rPr>
          <w:rFonts w:ascii="Calibri" w:hAnsi="Calibri" w:cs="Times LT Std"/>
        </w:rPr>
        <w:t>rresponde entregar bienes y ser</w:t>
      </w:r>
      <w:r w:rsidR="007B7601" w:rsidRPr="00D77610">
        <w:rPr>
          <w:rFonts w:ascii="Calibri" w:hAnsi="Calibri" w:cs="Times LT Std"/>
        </w:rPr>
        <w:t>vicios públicos nacionales. En el caso del desarrollo rural, la política debe enfocarse en la inv</w:t>
      </w:r>
      <w:r w:rsidR="00796534">
        <w:rPr>
          <w:rFonts w:ascii="Calibri" w:hAnsi="Calibri" w:cs="Times LT Std"/>
        </w:rPr>
        <w:t>estigación y extensión agrícola;</w:t>
      </w:r>
      <w:r w:rsidR="007B7601" w:rsidRPr="00D77610">
        <w:rPr>
          <w:rFonts w:ascii="Calibri" w:hAnsi="Calibri" w:cs="Times LT Std"/>
        </w:rPr>
        <w:t xml:space="preserve"> </w:t>
      </w:r>
      <w:r w:rsidR="00796534">
        <w:rPr>
          <w:rFonts w:ascii="Calibri" w:hAnsi="Calibri" w:cs="Times LT Std"/>
        </w:rPr>
        <w:t xml:space="preserve">en </w:t>
      </w:r>
      <w:r w:rsidR="007B7601" w:rsidRPr="00D77610">
        <w:rPr>
          <w:rFonts w:ascii="Calibri" w:hAnsi="Calibri" w:cs="Times LT Std"/>
        </w:rPr>
        <w:t>la creación de infraestructura</w:t>
      </w:r>
      <w:r w:rsidR="00F06718" w:rsidRPr="00D77610">
        <w:rPr>
          <w:rFonts w:ascii="Calibri" w:hAnsi="Calibri" w:cs="Times LT Std"/>
        </w:rPr>
        <w:t xml:space="preserve">, </w:t>
      </w:r>
      <w:r w:rsidR="007B7601" w:rsidRPr="00D77610">
        <w:rPr>
          <w:rFonts w:ascii="Calibri" w:hAnsi="Calibri" w:cs="Times LT Std"/>
        </w:rPr>
        <w:t>principalme</w:t>
      </w:r>
      <w:r w:rsidR="00796534">
        <w:rPr>
          <w:rFonts w:ascii="Calibri" w:hAnsi="Calibri" w:cs="Times LT Std"/>
        </w:rPr>
        <w:t>nte caminos y sistemas de riego; en</w:t>
      </w:r>
      <w:r w:rsidR="007B7601" w:rsidRPr="00D77610">
        <w:rPr>
          <w:rFonts w:ascii="Calibri" w:hAnsi="Calibri" w:cs="Times LT Std"/>
        </w:rPr>
        <w:t xml:space="preserve"> el mejoramiento de la organización productiva y </w:t>
      </w:r>
      <w:r w:rsidR="00796534">
        <w:rPr>
          <w:rFonts w:ascii="Calibri" w:hAnsi="Calibri" w:cs="Times LT Std"/>
        </w:rPr>
        <w:t xml:space="preserve">en </w:t>
      </w:r>
      <w:r w:rsidR="007B7601" w:rsidRPr="00D77610">
        <w:rPr>
          <w:rFonts w:ascii="Calibri" w:hAnsi="Calibri" w:cs="Times LT Std"/>
        </w:rPr>
        <w:t xml:space="preserve">la facilitación de los mercados financieros. </w:t>
      </w:r>
    </w:p>
    <w:p w:rsidR="007B7601" w:rsidRPr="001D6D3A" w:rsidRDefault="007B7601" w:rsidP="00315A88">
      <w:pPr>
        <w:pStyle w:val="CM5"/>
        <w:spacing w:line="240" w:lineRule="auto"/>
        <w:ind w:left="360"/>
        <w:jc w:val="both"/>
        <w:rPr>
          <w:rFonts w:ascii="Calibri" w:hAnsi="Calibri" w:cs="Times LT Std"/>
          <w:color w:val="FF0000"/>
        </w:rPr>
      </w:pPr>
    </w:p>
    <w:p w:rsidR="00F06718" w:rsidRDefault="007B7601" w:rsidP="00F06718">
      <w:pPr>
        <w:pStyle w:val="CM5"/>
        <w:spacing w:line="240" w:lineRule="auto"/>
        <w:ind w:left="360"/>
        <w:jc w:val="both"/>
        <w:rPr>
          <w:rFonts w:ascii="Calibri" w:hAnsi="Calibri" w:cs="Times LT Std"/>
        </w:rPr>
      </w:pPr>
      <w:r w:rsidRPr="00D77610">
        <w:rPr>
          <w:rFonts w:ascii="Calibri" w:hAnsi="Calibri" w:cs="Times LT Std"/>
        </w:rPr>
        <w:t>El gobierno desconcentrado o departamental debe priorizar las políticas</w:t>
      </w:r>
      <w:r w:rsidR="00F06718" w:rsidRPr="00D77610">
        <w:rPr>
          <w:rFonts w:ascii="Calibri" w:hAnsi="Calibri" w:cs="Times LT Std"/>
        </w:rPr>
        <w:t xml:space="preserve"> que potencien las ventajas com</w:t>
      </w:r>
      <w:r w:rsidRPr="00D77610">
        <w:rPr>
          <w:rFonts w:ascii="Calibri" w:hAnsi="Calibri" w:cs="Times LT Std"/>
        </w:rPr>
        <w:t xml:space="preserve">petitivas territoriales. </w:t>
      </w:r>
      <w:r w:rsidR="00796534">
        <w:rPr>
          <w:rFonts w:ascii="Calibri" w:hAnsi="Calibri" w:cs="Times LT Std"/>
        </w:rPr>
        <w:t>Por ejemplo,</w:t>
      </w:r>
      <w:r w:rsidRPr="00D77610">
        <w:rPr>
          <w:rFonts w:ascii="Calibri" w:hAnsi="Calibri" w:cs="Times LT Std"/>
        </w:rPr>
        <w:t xml:space="preserve"> la construcción de carreteras que conecten las cabeceras departamentales o de centros de acopio en territorios estratégicos. La identificación de las inversiones a realizar debe efectuarse participativamente entre los distintos actores del territorio, por lo que no existe una definición a priori de las políticas territoriales de desarrollo </w:t>
      </w:r>
      <w:r w:rsidRPr="00D77610">
        <w:rPr>
          <w:rFonts w:ascii="Calibri" w:hAnsi="Calibri" w:cs="Times LT Std"/>
        </w:rPr>
        <w:lastRenderedPageBreak/>
        <w:t xml:space="preserve">rural. Pero aun en este caso puede aplicarse el principio de preferir las orientadas a la provisión de bienes y servicios públicos en lugar de subsidiar a sectores específicos </w:t>
      </w:r>
      <w:r w:rsidRPr="0086148C">
        <w:rPr>
          <w:rFonts w:ascii="Calibri" w:hAnsi="Calibri" w:cs="Times LT Std"/>
          <w:highlight w:val="magenta"/>
        </w:rPr>
        <w:t>(López, 2005; Allcott, Lederman y López, 2006; Schejtman y Berdegué, 2003).</w:t>
      </w:r>
      <w:r w:rsidRPr="00D77610">
        <w:rPr>
          <w:rFonts w:ascii="Calibri" w:hAnsi="Calibri" w:cs="Times LT Std"/>
        </w:rPr>
        <w:t xml:space="preserve"> </w:t>
      </w:r>
    </w:p>
    <w:p w:rsidR="000D70BF" w:rsidRPr="000D70BF" w:rsidRDefault="000D70BF" w:rsidP="000D70BF">
      <w:pPr>
        <w:pStyle w:val="Default"/>
        <w:rPr>
          <w:lang w:val="es-GT" w:eastAsia="es-GT"/>
        </w:rPr>
      </w:pPr>
    </w:p>
    <w:p w:rsidR="007B7601" w:rsidRPr="009720B6" w:rsidRDefault="007B7601" w:rsidP="00F06718">
      <w:pPr>
        <w:pStyle w:val="CM5"/>
        <w:spacing w:line="240" w:lineRule="auto"/>
        <w:ind w:left="360"/>
        <w:jc w:val="both"/>
        <w:rPr>
          <w:rFonts w:ascii="Calibri" w:hAnsi="Calibri" w:cs="Times LT Std"/>
        </w:rPr>
      </w:pPr>
      <w:r w:rsidRPr="009720B6">
        <w:rPr>
          <w:rFonts w:ascii="Calibri" w:hAnsi="Calibri" w:cs="Times LT Std"/>
        </w:rPr>
        <w:t>Producto de la descentralización del Estado</w:t>
      </w:r>
      <w:r w:rsidR="00796534">
        <w:rPr>
          <w:rFonts w:ascii="Calibri" w:hAnsi="Calibri" w:cs="Times LT Std"/>
        </w:rPr>
        <w:t>,</w:t>
      </w:r>
      <w:r w:rsidRPr="009720B6">
        <w:rPr>
          <w:rFonts w:ascii="Calibri" w:hAnsi="Calibri" w:cs="Times LT Std"/>
        </w:rPr>
        <w:t xml:space="preserve"> </w:t>
      </w:r>
      <w:r w:rsidR="00796534" w:rsidRPr="009720B6">
        <w:rPr>
          <w:rFonts w:ascii="Calibri" w:hAnsi="Calibri" w:cs="Times LT Std"/>
        </w:rPr>
        <w:t xml:space="preserve">los gobiernos municipales </w:t>
      </w:r>
      <w:r w:rsidR="00796534">
        <w:rPr>
          <w:rFonts w:ascii="Calibri" w:hAnsi="Calibri" w:cs="Times LT Std"/>
        </w:rPr>
        <w:t xml:space="preserve">son responsables </w:t>
      </w:r>
      <w:r w:rsidRPr="009720B6">
        <w:rPr>
          <w:rFonts w:ascii="Calibri" w:hAnsi="Calibri" w:cs="Times LT Std"/>
        </w:rPr>
        <w:t xml:space="preserve">de proveer servicios públicos a nivel local. El Código Municipal distingue 15 competencias propias de los municipios, entre ellas la salud, la educación y la seguridad. Los recursos que reciben por derecho constitucional deben invertirse obligadamente en proyectos de educación, salud preventiva, obras de infraestructura y servicios de utilidad pública, mientras que las transferencias originadas a partir del impuesto al valor agregado se destinan a proyectos de infraestructura, educación y salud. </w:t>
      </w:r>
    </w:p>
    <w:p w:rsidR="007B7601" w:rsidRPr="001D6D3A" w:rsidRDefault="007B7601" w:rsidP="00315A88">
      <w:pPr>
        <w:pStyle w:val="Default"/>
        <w:ind w:left="360"/>
        <w:jc w:val="both"/>
        <w:rPr>
          <w:rFonts w:ascii="Calibri" w:hAnsi="Calibri" w:cs="Times LT Std"/>
          <w:color w:val="FF0000"/>
          <w:lang w:val="es-GT"/>
        </w:rPr>
      </w:pPr>
    </w:p>
    <w:p w:rsidR="007B7601" w:rsidRPr="003F314F" w:rsidRDefault="00796534" w:rsidP="003F314F">
      <w:pPr>
        <w:pStyle w:val="Prrafodelista"/>
        <w:numPr>
          <w:ilvl w:val="0"/>
          <w:numId w:val="75"/>
        </w:numPr>
        <w:autoSpaceDE w:val="0"/>
        <w:autoSpaceDN w:val="0"/>
        <w:adjustRightInd w:val="0"/>
        <w:jc w:val="both"/>
        <w:rPr>
          <w:rFonts w:cs="Calibri"/>
          <w:b/>
          <w:color w:val="365F91"/>
          <w:lang w:eastAsia="es-GT"/>
        </w:rPr>
      </w:pPr>
      <w:r>
        <w:rPr>
          <w:rFonts w:cs="Calibri"/>
          <w:b/>
          <w:color w:val="365F91"/>
          <w:lang w:eastAsia="es-GT"/>
        </w:rPr>
        <w:t>G</w:t>
      </w:r>
      <w:r w:rsidR="007B7601" w:rsidRPr="003F314F">
        <w:rPr>
          <w:rFonts w:cs="Calibri"/>
          <w:b/>
          <w:color w:val="365F91"/>
          <w:lang w:eastAsia="es-GT"/>
        </w:rPr>
        <w:t xml:space="preserve">obierno central </w:t>
      </w:r>
    </w:p>
    <w:p w:rsidR="007B7601" w:rsidRPr="003F314F" w:rsidRDefault="007B7601" w:rsidP="00CA302B">
      <w:pPr>
        <w:pStyle w:val="CM4"/>
        <w:spacing w:line="240" w:lineRule="auto"/>
        <w:ind w:left="360"/>
        <w:jc w:val="both"/>
        <w:rPr>
          <w:rFonts w:ascii="Calibri" w:hAnsi="Calibri" w:cs="Times LT Std"/>
        </w:rPr>
      </w:pPr>
      <w:r w:rsidRPr="003F314F">
        <w:rPr>
          <w:rFonts w:ascii="Calibri" w:hAnsi="Calibri" w:cs="Times LT Std"/>
        </w:rPr>
        <w:t xml:space="preserve">El gobierno central puede fortalecerse principalmente en dos aspectos: </w:t>
      </w:r>
      <w:r w:rsidR="003F314F" w:rsidRPr="003F314F">
        <w:rPr>
          <w:rFonts w:ascii="Calibri" w:hAnsi="Calibri" w:cs="Times LT Std"/>
        </w:rPr>
        <w:t>i</w:t>
      </w:r>
      <w:r w:rsidRPr="003F314F">
        <w:rPr>
          <w:rFonts w:ascii="Calibri" w:hAnsi="Calibri" w:cs="Times LT Std"/>
        </w:rPr>
        <w:t>) mejorar la eficiencia y eficacia de los instr</w:t>
      </w:r>
      <w:r w:rsidR="003F314F" w:rsidRPr="003F314F">
        <w:rPr>
          <w:rFonts w:ascii="Calibri" w:hAnsi="Calibri" w:cs="Times LT Std"/>
        </w:rPr>
        <w:t>umentos de política pública y, ii</w:t>
      </w:r>
      <w:r w:rsidRPr="003F314F">
        <w:rPr>
          <w:rFonts w:ascii="Calibri" w:hAnsi="Calibri" w:cs="Times LT Std"/>
        </w:rPr>
        <w:t xml:space="preserve">) las políticas públicas pueden afianzarse si los actores políticos aprovechan los espacios que brinda el </w:t>
      </w:r>
      <w:r w:rsidR="00726A05" w:rsidRPr="00726A05">
        <w:rPr>
          <w:rFonts w:ascii="Calibri" w:hAnsi="Calibri" w:cs="Times LT Std"/>
        </w:rPr>
        <w:t xml:space="preserve">Consejo Nacional de Desarrollo Urbano </w:t>
      </w:r>
      <w:r w:rsidR="00726A05">
        <w:rPr>
          <w:rFonts w:ascii="Calibri" w:hAnsi="Calibri" w:cs="Times LT Std"/>
        </w:rPr>
        <w:t>(</w:t>
      </w:r>
      <w:r w:rsidRPr="003F314F">
        <w:rPr>
          <w:rFonts w:ascii="Calibri" w:hAnsi="Calibri" w:cs="Times LT Std"/>
        </w:rPr>
        <w:t>CONADUR</w:t>
      </w:r>
      <w:r w:rsidR="00726A05">
        <w:rPr>
          <w:rFonts w:ascii="Calibri" w:hAnsi="Calibri" w:cs="Times LT Std"/>
        </w:rPr>
        <w:t>)</w:t>
      </w:r>
      <w:r w:rsidRPr="003F314F">
        <w:rPr>
          <w:rFonts w:ascii="Calibri" w:hAnsi="Calibri" w:cs="Times LT Std"/>
        </w:rPr>
        <w:t xml:space="preserve"> para concertar políticas, buscar aliados estratégicos y reducir los costos que supone el diálogo público.</w:t>
      </w:r>
      <w:r w:rsidR="00CA302B" w:rsidRPr="003F314F">
        <w:rPr>
          <w:rFonts w:ascii="Calibri" w:hAnsi="Calibri" w:cs="Times LT Std"/>
        </w:rPr>
        <w:t xml:space="preserve"> </w:t>
      </w:r>
      <w:r w:rsidRPr="003F314F">
        <w:rPr>
          <w:rFonts w:ascii="Calibri" w:hAnsi="Calibri" w:cs="Times LT Std"/>
        </w:rPr>
        <w:t xml:space="preserve">El aumento de la eficiencia y eficacia de las políticas públicas a nivel central puede lograrse priorizando el gasto público en los territorios más pobres de las áreas rurales y focalizándose además en las economías campesinas. La eficacia de las políticas pasa también por reducir el gasto en subsidios privados y aumentar los instrumentos orientados a fomentar la provisión de bienes y servicios públicos. Para esos efectos se requiere </w:t>
      </w:r>
      <w:r w:rsidR="00B20B93">
        <w:rPr>
          <w:rFonts w:ascii="Calibri" w:hAnsi="Calibri" w:cs="Times LT Std"/>
        </w:rPr>
        <w:t>de l</w:t>
      </w:r>
      <w:r w:rsidRPr="003F314F">
        <w:rPr>
          <w:rFonts w:ascii="Calibri" w:hAnsi="Calibri" w:cs="Times LT Std"/>
        </w:rPr>
        <w:t>a coordinación al más alto nivel político (Monterroso, 2009).</w:t>
      </w:r>
    </w:p>
    <w:p w:rsidR="007B7601" w:rsidRPr="001D6D3A" w:rsidRDefault="007B7601" w:rsidP="00315A88">
      <w:pPr>
        <w:pStyle w:val="CM5"/>
        <w:spacing w:line="240" w:lineRule="auto"/>
        <w:ind w:left="360"/>
        <w:jc w:val="both"/>
        <w:rPr>
          <w:rFonts w:ascii="Calibri" w:hAnsi="Calibri" w:cs="Times LT Std"/>
          <w:color w:val="FF0000"/>
        </w:rPr>
      </w:pPr>
    </w:p>
    <w:p w:rsidR="007B7601" w:rsidRPr="003F314F" w:rsidRDefault="007B7601" w:rsidP="00315A88">
      <w:pPr>
        <w:pStyle w:val="CM5"/>
        <w:spacing w:line="240" w:lineRule="auto"/>
        <w:ind w:left="360"/>
        <w:jc w:val="both"/>
        <w:rPr>
          <w:rFonts w:ascii="Calibri" w:hAnsi="Calibri" w:cs="Times LT Std"/>
        </w:rPr>
      </w:pPr>
      <w:r w:rsidRPr="003F314F">
        <w:rPr>
          <w:rFonts w:ascii="Calibri" w:hAnsi="Calibri" w:cs="Times LT Std"/>
        </w:rPr>
        <w:t xml:space="preserve">El </w:t>
      </w:r>
      <w:r w:rsidRPr="0086148C">
        <w:rPr>
          <w:rFonts w:ascii="Calibri" w:hAnsi="Calibri" w:cs="Times LT Std"/>
          <w:highlight w:val="magenta"/>
        </w:rPr>
        <w:t>Banco Mundial (2003)</w:t>
      </w:r>
      <w:r w:rsidRPr="003F314F">
        <w:rPr>
          <w:rFonts w:ascii="Calibri" w:hAnsi="Calibri" w:cs="Times LT Std"/>
        </w:rPr>
        <w:t xml:space="preserve"> sostuvo que la incidencia del gasto público en los programas de protección social fue regresiva, puesto que el quintil más rico recibió el 46% de la inversión social y el quintil más pobre únicamente el 8%. En este estudio se concluyó que ninguno de los programas de protección social estaba bien focalizado, pues la atención hacia los sectores pobres era reducida (Monterroso, 2009). Dado que en Guat</w:t>
      </w:r>
      <w:r w:rsidR="00CA302B" w:rsidRPr="003F314F">
        <w:rPr>
          <w:rFonts w:ascii="Calibri" w:hAnsi="Calibri" w:cs="Times LT Std"/>
        </w:rPr>
        <w:t>emala la pobreza rural está geo</w:t>
      </w:r>
      <w:r w:rsidRPr="003F314F">
        <w:rPr>
          <w:rFonts w:ascii="Calibri" w:hAnsi="Calibri" w:cs="Times LT Std"/>
        </w:rPr>
        <w:t>gráficamente ubicada</w:t>
      </w:r>
      <w:r w:rsidR="005C6B90">
        <w:rPr>
          <w:rFonts w:ascii="Calibri" w:hAnsi="Calibri" w:cs="Times LT Std"/>
        </w:rPr>
        <w:t xml:space="preserve"> (</w:t>
      </w:r>
      <w:r w:rsidRPr="003F314F">
        <w:rPr>
          <w:rFonts w:ascii="Calibri" w:hAnsi="Calibri" w:cs="Times LT Std"/>
        </w:rPr>
        <w:t>la mayoría de los pobres vive en el altiplano nacional</w:t>
      </w:r>
      <w:r w:rsidR="005C6B90">
        <w:rPr>
          <w:rFonts w:ascii="Calibri" w:hAnsi="Calibri" w:cs="Times LT Std"/>
        </w:rPr>
        <w:t>)</w:t>
      </w:r>
      <w:r w:rsidRPr="003F314F">
        <w:rPr>
          <w:rFonts w:ascii="Calibri" w:hAnsi="Calibri" w:cs="Times LT Std"/>
        </w:rPr>
        <w:t xml:space="preserve">, la alternativa de política es focalizar los programas sociales en esos territorios del país (Banco Mundial, 2003). De esta forma se espera que el gasto social rural tenga mayores efectos en materia de reducción de la pobreza. </w:t>
      </w:r>
    </w:p>
    <w:p w:rsidR="007B7601" w:rsidRPr="001D6D3A" w:rsidRDefault="007B7601" w:rsidP="00315A88">
      <w:pPr>
        <w:pStyle w:val="Default"/>
        <w:ind w:left="360"/>
        <w:jc w:val="both"/>
        <w:rPr>
          <w:rFonts w:ascii="Calibri" w:hAnsi="Calibri" w:cs="Times LT Std"/>
          <w:color w:val="FF0000"/>
          <w:lang w:val="es-GT"/>
        </w:rPr>
      </w:pPr>
    </w:p>
    <w:p w:rsidR="007B7601" w:rsidRPr="003F314F" w:rsidRDefault="005C6B90" w:rsidP="003F314F">
      <w:pPr>
        <w:pStyle w:val="Prrafodelista"/>
        <w:numPr>
          <w:ilvl w:val="0"/>
          <w:numId w:val="75"/>
        </w:numPr>
        <w:autoSpaceDE w:val="0"/>
        <w:autoSpaceDN w:val="0"/>
        <w:adjustRightInd w:val="0"/>
        <w:jc w:val="both"/>
        <w:rPr>
          <w:rFonts w:cs="Calibri"/>
          <w:b/>
          <w:color w:val="365F91"/>
          <w:lang w:eastAsia="es-GT"/>
        </w:rPr>
      </w:pPr>
      <w:r>
        <w:rPr>
          <w:rFonts w:cs="Calibri"/>
          <w:b/>
          <w:color w:val="365F91"/>
          <w:lang w:eastAsia="es-GT"/>
        </w:rPr>
        <w:t>G</w:t>
      </w:r>
      <w:r w:rsidR="007B7601" w:rsidRPr="003F314F">
        <w:rPr>
          <w:rFonts w:cs="Calibri"/>
          <w:b/>
          <w:color w:val="365F91"/>
          <w:lang w:eastAsia="es-GT"/>
        </w:rPr>
        <w:t xml:space="preserve">obierno desconcentrado </w:t>
      </w:r>
    </w:p>
    <w:p w:rsidR="007B7601" w:rsidRPr="003F314F" w:rsidRDefault="007B7601" w:rsidP="00315A88">
      <w:pPr>
        <w:pStyle w:val="CM4"/>
        <w:spacing w:line="240" w:lineRule="auto"/>
        <w:ind w:left="360"/>
        <w:jc w:val="both"/>
        <w:rPr>
          <w:rFonts w:ascii="Calibri" w:hAnsi="Calibri" w:cs="Times LT Std"/>
        </w:rPr>
      </w:pPr>
      <w:r w:rsidRPr="003F314F">
        <w:rPr>
          <w:rFonts w:ascii="Calibri" w:hAnsi="Calibri" w:cs="Times LT Std"/>
        </w:rPr>
        <w:t>La principal debilidad del gobierno desconcentrado fue señalada por la SEGEPLAN: “los procesos para propiciar la participación, profund</w:t>
      </w:r>
      <w:r w:rsidR="00CA302B" w:rsidRPr="003F314F">
        <w:rPr>
          <w:rFonts w:ascii="Calibri" w:hAnsi="Calibri" w:cs="Times LT Std"/>
        </w:rPr>
        <w:t>izar la descentralización y for</w:t>
      </w:r>
      <w:r w:rsidRPr="003F314F">
        <w:rPr>
          <w:rFonts w:ascii="Calibri" w:hAnsi="Calibri" w:cs="Times LT Std"/>
        </w:rPr>
        <w:t>talecer el poder local se han dado de forma desordenada, privilegiando la descentralización financiera sin reglas claras. Con ello se ha favorecido que la gestión municipal y la gestión que realizan los Consejos de Desarrollo</w:t>
      </w:r>
      <w:r w:rsidR="00CA302B" w:rsidRPr="003F314F">
        <w:rPr>
          <w:rFonts w:ascii="Calibri" w:hAnsi="Calibri" w:cs="Times LT Std"/>
        </w:rPr>
        <w:t xml:space="preserve">, </w:t>
      </w:r>
      <w:r w:rsidRPr="003F314F">
        <w:rPr>
          <w:rFonts w:ascii="Calibri" w:hAnsi="Calibri" w:cs="Times LT Std"/>
        </w:rPr>
        <w:t>con financiamiento transferido por el gobierno central</w:t>
      </w:r>
      <w:r w:rsidR="00CA302B" w:rsidRPr="003F314F">
        <w:rPr>
          <w:rFonts w:ascii="Calibri" w:hAnsi="Calibri" w:cs="Times LT Std"/>
        </w:rPr>
        <w:t>,</w:t>
      </w:r>
      <w:r w:rsidRPr="003F314F">
        <w:rPr>
          <w:rFonts w:ascii="Calibri" w:hAnsi="Calibri" w:cs="Times LT Std"/>
        </w:rPr>
        <w:t xml:space="preserve"> esté desarticulada de las políticas públicas” (SEGEPLAN, 2008, citado por Monterroso, 2009). El nivel desconcentrado de gobierno es aquel en que se vinculan las políticas locales con las </w:t>
      </w:r>
      <w:r w:rsidRPr="003F314F">
        <w:rPr>
          <w:rFonts w:ascii="Calibri" w:hAnsi="Calibri" w:cs="Times LT Std"/>
        </w:rPr>
        <w:lastRenderedPageBreak/>
        <w:t xml:space="preserve">nacionales, siendo además el espacio en que se planifican e implementan las políticas de desarrollo rural. </w:t>
      </w:r>
    </w:p>
    <w:p w:rsidR="007B7601" w:rsidRPr="003F314F" w:rsidRDefault="007B7601" w:rsidP="00315A88">
      <w:pPr>
        <w:pStyle w:val="CM5"/>
        <w:spacing w:line="240" w:lineRule="auto"/>
        <w:ind w:left="360"/>
        <w:jc w:val="both"/>
        <w:rPr>
          <w:rFonts w:ascii="Calibri" w:hAnsi="Calibri" w:cs="Times LT Std"/>
        </w:rPr>
      </w:pPr>
    </w:p>
    <w:p w:rsidR="007B7601" w:rsidRPr="003F314F" w:rsidRDefault="007B7601" w:rsidP="00315A88">
      <w:pPr>
        <w:pStyle w:val="CM5"/>
        <w:spacing w:line="240" w:lineRule="auto"/>
        <w:ind w:left="360"/>
        <w:jc w:val="both"/>
        <w:rPr>
          <w:rFonts w:ascii="Calibri" w:hAnsi="Calibri" w:cs="Times LT Std"/>
        </w:rPr>
      </w:pPr>
      <w:r w:rsidRPr="003F314F">
        <w:rPr>
          <w:rFonts w:ascii="Calibri" w:hAnsi="Calibri" w:cs="Times LT Std"/>
        </w:rPr>
        <w:t>El enfoque territorial del desarrollo rural cobra sentido a nivel departamental. Ello se aprecia en más de 22 ejercicios de planificación territorial desarrollados en Guatemala, que probaron ser instrumentos eficaces de gestión pública para</w:t>
      </w:r>
      <w:r w:rsidR="00CA302B" w:rsidRPr="003F314F">
        <w:rPr>
          <w:rFonts w:ascii="Calibri" w:hAnsi="Calibri" w:cs="Times LT Std"/>
        </w:rPr>
        <w:t xml:space="preserve"> orientar los procesos de parti</w:t>
      </w:r>
      <w:r w:rsidRPr="003F314F">
        <w:rPr>
          <w:rFonts w:ascii="Calibri" w:hAnsi="Calibri" w:cs="Times LT Std"/>
        </w:rPr>
        <w:t xml:space="preserve">cipación, descentralización y fortalecimiento del poder local </w:t>
      </w:r>
      <w:r w:rsidRPr="0086148C">
        <w:rPr>
          <w:rFonts w:ascii="Calibri" w:hAnsi="Calibri" w:cs="Times LT Std"/>
          <w:highlight w:val="magenta"/>
        </w:rPr>
        <w:t>(SEGEPLAN, 2008).</w:t>
      </w:r>
      <w:r w:rsidRPr="003F314F">
        <w:rPr>
          <w:rFonts w:ascii="Calibri" w:hAnsi="Calibri" w:cs="Times LT Std"/>
        </w:rPr>
        <w:t xml:space="preserve"> Es por ello que las estrategias encaminadas a fortalecer el nivel desconcentrado de gobierno se centran en el proceso de planificación territorial. </w:t>
      </w:r>
    </w:p>
    <w:p w:rsidR="007B7601" w:rsidRPr="003F314F" w:rsidRDefault="007B7601" w:rsidP="00CA302B">
      <w:pPr>
        <w:pStyle w:val="CM5"/>
        <w:spacing w:line="240" w:lineRule="auto"/>
        <w:ind w:left="360"/>
        <w:jc w:val="both"/>
        <w:rPr>
          <w:rFonts w:ascii="Calibri" w:hAnsi="Calibri" w:cs="Times LT Std"/>
        </w:rPr>
      </w:pPr>
    </w:p>
    <w:p w:rsidR="007B7601" w:rsidRPr="003F314F" w:rsidRDefault="005C6B90" w:rsidP="00CA302B">
      <w:pPr>
        <w:pStyle w:val="CM5"/>
        <w:spacing w:line="240" w:lineRule="auto"/>
        <w:ind w:left="360"/>
        <w:jc w:val="both"/>
        <w:rPr>
          <w:rFonts w:ascii="Calibri" w:hAnsi="Calibri" w:cs="Times LT Std"/>
        </w:rPr>
      </w:pPr>
      <w:r>
        <w:rPr>
          <w:rFonts w:ascii="Calibri" w:hAnsi="Calibri" w:cs="Times LT Std"/>
        </w:rPr>
        <w:t>L</w:t>
      </w:r>
      <w:r w:rsidR="007B7601" w:rsidRPr="003F314F">
        <w:rPr>
          <w:rFonts w:ascii="Calibri" w:hAnsi="Calibri" w:cs="Times LT Std"/>
        </w:rPr>
        <w:t xml:space="preserve">a evaluación de la </w:t>
      </w:r>
      <w:r>
        <w:rPr>
          <w:rFonts w:ascii="Calibri" w:hAnsi="Calibri" w:cs="Times LT Std"/>
        </w:rPr>
        <w:t xml:space="preserve">planificación territorial llevada a cabo por IICA e </w:t>
      </w:r>
      <w:r w:rsidR="007B7601" w:rsidRPr="003F314F">
        <w:rPr>
          <w:rFonts w:ascii="Calibri" w:hAnsi="Calibri" w:cs="Times LT Std"/>
        </w:rPr>
        <w:t>USAID</w:t>
      </w:r>
      <w:r>
        <w:rPr>
          <w:rFonts w:ascii="Calibri" w:hAnsi="Calibri" w:cs="Times LT Std"/>
        </w:rPr>
        <w:t xml:space="preserve"> (</w:t>
      </w:r>
      <w:r w:rsidR="007B7601" w:rsidRPr="003F314F">
        <w:rPr>
          <w:rFonts w:ascii="Calibri" w:hAnsi="Calibri" w:cs="Times LT Std"/>
        </w:rPr>
        <w:t>2007),</w:t>
      </w:r>
      <w:r>
        <w:rPr>
          <w:rFonts w:ascii="Calibri" w:hAnsi="Calibri" w:cs="Times LT Std"/>
        </w:rPr>
        <w:t xml:space="preserve"> </w:t>
      </w:r>
      <w:r w:rsidR="007B7601" w:rsidRPr="003F314F">
        <w:rPr>
          <w:rFonts w:ascii="Calibri" w:hAnsi="Calibri" w:cs="Times LT Std"/>
        </w:rPr>
        <w:t xml:space="preserve">sostuvo que el principal reto de los </w:t>
      </w:r>
      <w:r w:rsidRPr="00690536">
        <w:rPr>
          <w:rFonts w:ascii="Calibri" w:hAnsi="Calibri" w:cs="Calibri"/>
          <w:color w:val="000000"/>
          <w:sz w:val="22"/>
          <w:szCs w:val="22"/>
        </w:rPr>
        <w:t>Consejos Departamentales de Desarrollo</w:t>
      </w:r>
      <w:r w:rsidRPr="003F314F">
        <w:rPr>
          <w:rFonts w:ascii="Calibri" w:hAnsi="Calibri" w:cs="Times LT Std"/>
        </w:rPr>
        <w:t xml:space="preserve"> </w:t>
      </w:r>
      <w:r>
        <w:rPr>
          <w:rFonts w:ascii="Calibri" w:hAnsi="Calibri" w:cs="Times LT Std"/>
        </w:rPr>
        <w:t>(</w:t>
      </w:r>
      <w:r w:rsidR="007B7601" w:rsidRPr="003F314F">
        <w:rPr>
          <w:rFonts w:ascii="Calibri" w:hAnsi="Calibri" w:cs="Times LT Std"/>
        </w:rPr>
        <w:t>CODEDE</w:t>
      </w:r>
      <w:r>
        <w:rPr>
          <w:rFonts w:ascii="Calibri" w:hAnsi="Calibri" w:cs="Times LT Std"/>
        </w:rPr>
        <w:t>)</w:t>
      </w:r>
      <w:r w:rsidR="007B7601" w:rsidRPr="003F314F">
        <w:rPr>
          <w:rFonts w:ascii="Calibri" w:hAnsi="Calibri" w:cs="Times LT Std"/>
        </w:rPr>
        <w:t xml:space="preserve"> no era mejorar los aspectos técnicos de la planificación, que siempre serán perfectibles, sino aprovechar las distintas etapas de ella —es decir, diálogo, concertación y negociación— para movilizar los recursos públicos y privados a fin de alcanzar objetivos comunes de desarrollo. Esto implica, por una parte, una fase de negociación y concertación de los objetivos y la visión territorial de lo</w:t>
      </w:r>
      <w:r>
        <w:rPr>
          <w:rFonts w:ascii="Calibri" w:hAnsi="Calibri" w:cs="Times LT Std"/>
        </w:rPr>
        <w:t>s principales actores locales y;</w:t>
      </w:r>
      <w:r w:rsidR="007B7601" w:rsidRPr="003F314F">
        <w:rPr>
          <w:rFonts w:ascii="Calibri" w:hAnsi="Calibri" w:cs="Times LT Std"/>
        </w:rPr>
        <w:t xml:space="preserve"> por otra, orientar los recursos financieros de la sociedad civil, el sector privado y el Gobierno hacia las acciones y proyectos negociados y concertados en el proceso de planificación. En otras palabras, la planificación estratégica debe convertirse en un pacto político-social entre los actores locales para transformar el territorio de que se trate.</w:t>
      </w:r>
    </w:p>
    <w:p w:rsidR="007B7601" w:rsidRPr="003F314F" w:rsidRDefault="007B7601" w:rsidP="00CA302B">
      <w:pPr>
        <w:pStyle w:val="CM5"/>
        <w:spacing w:line="240" w:lineRule="auto"/>
        <w:ind w:left="360"/>
        <w:jc w:val="both"/>
        <w:rPr>
          <w:rFonts w:ascii="Calibri" w:hAnsi="Calibri" w:cs="Times LT Std"/>
        </w:rPr>
      </w:pPr>
    </w:p>
    <w:p w:rsidR="007B7601" w:rsidRPr="003F314F" w:rsidRDefault="007B7601" w:rsidP="00CA302B">
      <w:pPr>
        <w:pStyle w:val="CM5"/>
        <w:spacing w:line="240" w:lineRule="auto"/>
        <w:ind w:left="360"/>
        <w:jc w:val="both"/>
        <w:rPr>
          <w:rFonts w:ascii="Calibri" w:hAnsi="Calibri" w:cs="Times LT Std"/>
        </w:rPr>
      </w:pPr>
      <w:r w:rsidRPr="003F314F">
        <w:rPr>
          <w:rFonts w:ascii="Calibri" w:hAnsi="Calibri" w:cs="Times LT Std"/>
        </w:rPr>
        <w:t>El mayor reto de la planificación territorial a nivel departamental es vencer la institucionalidad informal heredada de 36 años de</w:t>
      </w:r>
      <w:r w:rsidR="00CA302B" w:rsidRPr="003F314F">
        <w:rPr>
          <w:rFonts w:ascii="Calibri" w:hAnsi="Calibri" w:cs="Times LT Std"/>
        </w:rPr>
        <w:t xml:space="preserve"> guerra civil, en que el denomi</w:t>
      </w:r>
      <w:r w:rsidRPr="003F314F">
        <w:rPr>
          <w:rFonts w:ascii="Calibri" w:hAnsi="Calibri" w:cs="Times LT Std"/>
        </w:rPr>
        <w:t xml:space="preserve">nador común de los actores locales ha sido la renuencia a participar en los procesos de desarrollo. Esto podría lograrse garantizando que lo pactado en los procesos de planificación se refleje en proyectos de inversión. </w:t>
      </w:r>
    </w:p>
    <w:p w:rsidR="007B7601" w:rsidRPr="003F314F" w:rsidRDefault="007B7601" w:rsidP="00CA302B">
      <w:pPr>
        <w:pStyle w:val="CM5"/>
        <w:spacing w:line="240" w:lineRule="auto"/>
        <w:ind w:left="360"/>
        <w:jc w:val="both"/>
        <w:rPr>
          <w:rFonts w:ascii="Calibri" w:hAnsi="Calibri" w:cs="Times LT Std"/>
        </w:rPr>
      </w:pPr>
    </w:p>
    <w:p w:rsidR="007B7601" w:rsidRPr="003F314F" w:rsidRDefault="007B7601" w:rsidP="00CA302B">
      <w:pPr>
        <w:pStyle w:val="CM5"/>
        <w:spacing w:line="240" w:lineRule="auto"/>
        <w:ind w:left="360"/>
        <w:jc w:val="both"/>
        <w:rPr>
          <w:rFonts w:ascii="Calibri" w:hAnsi="Calibri" w:cs="Times LT Std"/>
        </w:rPr>
      </w:pPr>
      <w:r w:rsidRPr="003F314F">
        <w:rPr>
          <w:rFonts w:ascii="Calibri" w:hAnsi="Calibri" w:cs="Times LT Std"/>
        </w:rPr>
        <w:t>En síntesis, las principales funciones del gobierno desconcentrado son coordinar y planificar las políticas públicas departamentales. El enfoque territorial es un instrumento de probada eficacia en la identificación y definición del orden de prioridades de la inversión públi</w:t>
      </w:r>
      <w:r w:rsidRPr="003F314F">
        <w:rPr>
          <w:rFonts w:ascii="Calibri" w:hAnsi="Calibri" w:cs="Times LT Std"/>
        </w:rPr>
        <w:softHyphen/>
        <w:t xml:space="preserve">ca. Sin embargo, </w:t>
      </w:r>
      <w:r w:rsidR="00EA3E74" w:rsidRPr="003F314F">
        <w:rPr>
          <w:rFonts w:ascii="Calibri" w:hAnsi="Calibri" w:cs="Times LT Std"/>
        </w:rPr>
        <w:t xml:space="preserve">su alcance </w:t>
      </w:r>
      <w:r w:rsidRPr="003F314F">
        <w:rPr>
          <w:rFonts w:ascii="Calibri" w:hAnsi="Calibri" w:cs="Times LT Std"/>
        </w:rPr>
        <w:t>debe ampliarse para incluir a un mayor número de actores sociales y privados, así como convertir la planificación territorial en un pacto político-social que cuente con los mecanismos necesarios para incentivar la implementación de las acciones. Ello permitiría asegurar la sostenibilidad del enfoque territo</w:t>
      </w:r>
      <w:r w:rsidRPr="003F314F">
        <w:rPr>
          <w:rFonts w:ascii="Calibri" w:hAnsi="Calibri" w:cs="Times LT Std"/>
        </w:rPr>
        <w:softHyphen/>
        <w:t xml:space="preserve">rial del desarrollo rural y, al mismo tiempo, afianzar la institucionalidad formal de participación ciudadana. El reto está en vencer la renuencia existente al respecto, lo que se logrará si los pactos políticos se aplican realmente en el terreno. Se prevé que la planificación territorial a nivel departamental puede ser un instrumento adecuado para el desarrollo rural, que contribuye también a la modernización del Estado en su nivel desconcentrado. </w:t>
      </w:r>
      <w:r w:rsidR="00EA3E74">
        <w:rPr>
          <w:rFonts w:ascii="Calibri" w:hAnsi="Calibri" w:cs="Times LT Std"/>
        </w:rPr>
        <w:t xml:space="preserve"> </w:t>
      </w:r>
    </w:p>
    <w:p w:rsidR="007B7601" w:rsidRPr="001D6D3A" w:rsidRDefault="007B7601" w:rsidP="00315A88">
      <w:pPr>
        <w:ind w:left="360"/>
        <w:jc w:val="both"/>
        <w:rPr>
          <w:rFonts w:ascii="Calibri" w:hAnsi="Calibri"/>
          <w:color w:val="FF0000"/>
          <w:lang w:val="es-GT"/>
        </w:rPr>
      </w:pPr>
    </w:p>
    <w:p w:rsidR="007B7601" w:rsidRPr="003F314F" w:rsidRDefault="007B7601" w:rsidP="003F314F">
      <w:pPr>
        <w:pStyle w:val="Prrafodelista"/>
        <w:numPr>
          <w:ilvl w:val="0"/>
          <w:numId w:val="75"/>
        </w:numPr>
        <w:autoSpaceDE w:val="0"/>
        <w:autoSpaceDN w:val="0"/>
        <w:adjustRightInd w:val="0"/>
        <w:jc w:val="both"/>
        <w:rPr>
          <w:rFonts w:cs="Calibri"/>
          <w:b/>
          <w:color w:val="365F91"/>
          <w:lang w:eastAsia="es-GT"/>
        </w:rPr>
      </w:pPr>
      <w:r w:rsidRPr="003F314F">
        <w:rPr>
          <w:rFonts w:cs="Calibri"/>
          <w:b/>
          <w:color w:val="365F91"/>
          <w:lang w:eastAsia="es-GT"/>
        </w:rPr>
        <w:t>El gobierno descentralizado y la cooperación internacional</w:t>
      </w:r>
    </w:p>
    <w:p w:rsidR="007B7601" w:rsidRPr="003F314F" w:rsidRDefault="007B7601" w:rsidP="00315A88">
      <w:pPr>
        <w:pStyle w:val="CM4"/>
        <w:spacing w:line="240" w:lineRule="auto"/>
        <w:ind w:left="360"/>
        <w:jc w:val="both"/>
        <w:rPr>
          <w:rFonts w:ascii="Calibri" w:hAnsi="Calibri" w:cs="Times LT Std"/>
        </w:rPr>
      </w:pPr>
      <w:r w:rsidRPr="003F314F">
        <w:rPr>
          <w:rFonts w:ascii="Calibri" w:hAnsi="Calibri" w:cs="Times LT Std"/>
        </w:rPr>
        <w:t xml:space="preserve">En diversos estudios sobre la gestión municipal se han identificado los siguientes temas sustantivos del municipalismo: a) vincular el gasto municipal a las políticas públicas, b) </w:t>
      </w:r>
      <w:r w:rsidRPr="003F314F">
        <w:rPr>
          <w:rFonts w:ascii="Calibri" w:hAnsi="Calibri" w:cs="Times LT Std"/>
        </w:rPr>
        <w:lastRenderedPageBreak/>
        <w:t>aumentar el grado de recaudación de los municipios</w:t>
      </w:r>
      <w:r w:rsidR="00EA3E74">
        <w:rPr>
          <w:rFonts w:ascii="Calibri" w:hAnsi="Calibri" w:cs="Times LT Std"/>
        </w:rPr>
        <w:t>,</w:t>
      </w:r>
      <w:r w:rsidRPr="003F314F">
        <w:rPr>
          <w:rFonts w:ascii="Calibri" w:hAnsi="Calibri" w:cs="Times LT Std"/>
        </w:rPr>
        <w:t xml:space="preserve"> y c) mejorar el tipo de inversiones que estos realizan. También es indispensable ampliar las capacidades municipales de planificación. Además, el fortalecimiento de la participación ciu</w:t>
      </w:r>
      <w:r w:rsidRPr="003F314F">
        <w:rPr>
          <w:rFonts w:ascii="Calibri" w:hAnsi="Calibri" w:cs="Times LT Std"/>
        </w:rPr>
        <w:softHyphen/>
        <w:t>dadana en la concertación y negociación política es un factor que contribuiría a perfeccionar los procesos democráticos nacionales. Dado que el vínculo entre la política nacional y los intereses locales se materializa a nivel departamental, sería importante fortalecer esta instancia de gobierno para mejorar la eficacia de las políticas municipales (Monterroso, 2009).</w:t>
      </w:r>
    </w:p>
    <w:p w:rsidR="007B7601" w:rsidRPr="003F314F" w:rsidRDefault="007B7601" w:rsidP="00315A88">
      <w:pPr>
        <w:pStyle w:val="CM4"/>
        <w:spacing w:line="240" w:lineRule="auto"/>
        <w:ind w:left="360"/>
        <w:jc w:val="both"/>
        <w:rPr>
          <w:rFonts w:ascii="Calibri" w:hAnsi="Calibri" w:cs="Times LT Std"/>
        </w:rPr>
      </w:pPr>
      <w:r w:rsidRPr="003F314F">
        <w:rPr>
          <w:rFonts w:ascii="Calibri" w:hAnsi="Calibri" w:cs="Times LT Std"/>
        </w:rPr>
        <w:t xml:space="preserve"> </w:t>
      </w:r>
    </w:p>
    <w:p w:rsidR="007B7601" w:rsidRPr="003F314F" w:rsidRDefault="007B7601" w:rsidP="00315A88">
      <w:pPr>
        <w:pStyle w:val="CM18"/>
        <w:ind w:left="360"/>
        <w:jc w:val="both"/>
        <w:rPr>
          <w:rFonts w:ascii="Calibri" w:hAnsi="Calibri" w:cs="Times LT Std"/>
        </w:rPr>
      </w:pPr>
      <w:r w:rsidRPr="003F314F">
        <w:rPr>
          <w:rFonts w:ascii="Calibri" w:hAnsi="Calibri" w:cs="Times LT Std"/>
        </w:rPr>
        <w:t>Por su parte, la cooperación internacional puede desempeñar un papel activo en la consolidación de la institucionalidad formal para el desarrollo rural. Su con</w:t>
      </w:r>
      <w:r w:rsidRPr="003F314F">
        <w:rPr>
          <w:rFonts w:ascii="Calibri" w:hAnsi="Calibri" w:cs="Times LT Std"/>
        </w:rPr>
        <w:softHyphen/>
        <w:t xml:space="preserve">tribución más importante, sea productiva, participativa o circunstancial, sería proporcionar asesoría técnica para que en la formulación y concertación de las políticas públicas se incorpore lo planificado a nivel local, así como el fortalecimiento de la organización civil (Monterroso, 2009). </w:t>
      </w:r>
    </w:p>
    <w:p w:rsidR="007B7601" w:rsidRPr="003F314F" w:rsidRDefault="007B7601" w:rsidP="00315A88">
      <w:pPr>
        <w:ind w:left="360"/>
        <w:jc w:val="both"/>
        <w:rPr>
          <w:rFonts w:ascii="Calibri" w:hAnsi="Calibri"/>
          <w:lang w:val="es-GT"/>
        </w:rPr>
      </w:pPr>
    </w:p>
    <w:p w:rsidR="007B7601" w:rsidRPr="003F314F" w:rsidRDefault="00DA0825" w:rsidP="003F314F">
      <w:pPr>
        <w:pStyle w:val="Prrafodelista"/>
        <w:numPr>
          <w:ilvl w:val="0"/>
          <w:numId w:val="75"/>
        </w:numPr>
        <w:autoSpaceDE w:val="0"/>
        <w:autoSpaceDN w:val="0"/>
        <w:adjustRightInd w:val="0"/>
        <w:jc w:val="both"/>
        <w:rPr>
          <w:rFonts w:cs="Calibri"/>
          <w:b/>
          <w:color w:val="365F91"/>
          <w:lang w:eastAsia="es-GT"/>
        </w:rPr>
      </w:pPr>
      <w:r w:rsidRPr="003F314F">
        <w:rPr>
          <w:rFonts w:cs="Calibri"/>
          <w:b/>
          <w:color w:val="365F91"/>
          <w:lang w:eastAsia="es-GT"/>
        </w:rPr>
        <w:t>Síntesis</w:t>
      </w:r>
    </w:p>
    <w:p w:rsidR="007B7601" w:rsidRPr="003F314F" w:rsidRDefault="007B7601" w:rsidP="00315A88">
      <w:pPr>
        <w:pStyle w:val="CM4"/>
        <w:spacing w:line="240" w:lineRule="auto"/>
        <w:ind w:left="360"/>
        <w:jc w:val="both"/>
        <w:rPr>
          <w:rFonts w:ascii="Calibri" w:hAnsi="Calibri" w:cs="Times LT Std"/>
        </w:rPr>
      </w:pPr>
      <w:r w:rsidRPr="003F314F">
        <w:rPr>
          <w:rFonts w:ascii="Calibri" w:hAnsi="Calibri" w:cs="Times LT Std"/>
        </w:rPr>
        <w:t xml:space="preserve">El desempeño </w:t>
      </w:r>
      <w:r w:rsidR="002A3EBD">
        <w:rPr>
          <w:rFonts w:ascii="Calibri" w:hAnsi="Calibri" w:cs="Times LT Std"/>
        </w:rPr>
        <w:t>del E</w:t>
      </w:r>
      <w:r w:rsidR="00CA302B" w:rsidRPr="003F314F">
        <w:rPr>
          <w:rFonts w:ascii="Calibri" w:hAnsi="Calibri" w:cs="Times LT Std"/>
        </w:rPr>
        <w:t xml:space="preserve">stado para implementar y ejecutar </w:t>
      </w:r>
      <w:r w:rsidRPr="003F314F">
        <w:rPr>
          <w:rFonts w:ascii="Calibri" w:hAnsi="Calibri" w:cs="Times LT Std"/>
        </w:rPr>
        <w:t xml:space="preserve">políticas de desarrollo rural en Guatemala </w:t>
      </w:r>
      <w:r w:rsidR="00CA302B" w:rsidRPr="003F314F">
        <w:rPr>
          <w:rFonts w:ascii="Calibri" w:hAnsi="Calibri" w:cs="Times LT Std"/>
        </w:rPr>
        <w:t>ha sido</w:t>
      </w:r>
      <w:r w:rsidRPr="003F314F">
        <w:rPr>
          <w:rFonts w:ascii="Calibri" w:hAnsi="Calibri" w:cs="Times LT Std"/>
        </w:rPr>
        <w:t xml:space="preserve"> deficiente, ya que se ha demostrado que a pesar de existir recursos financieros suficientes, superiores a la media latinoamericana, han tenido esca</w:t>
      </w:r>
      <w:r w:rsidR="00CA302B" w:rsidRPr="003F314F">
        <w:rPr>
          <w:rFonts w:ascii="Calibri" w:hAnsi="Calibri" w:cs="Times LT Std"/>
        </w:rPr>
        <w:t>sos efectos en materia de dismi</w:t>
      </w:r>
      <w:r w:rsidRPr="003F314F">
        <w:rPr>
          <w:rFonts w:ascii="Calibri" w:hAnsi="Calibri" w:cs="Times LT Std"/>
        </w:rPr>
        <w:t>nución de la pobreza. Esta aseveración es válida para los niveles central, desconcentrado y descentralizado de gobierno. El debate reciente sobre las políticas de desarrollo rural indica que una primera medida sería fortalecer la institucionalidad de formulación, concertación e implementación de políticas públicas (Monterroso, 2009).</w:t>
      </w:r>
    </w:p>
    <w:p w:rsidR="007B7601" w:rsidRPr="003F314F" w:rsidRDefault="007B7601" w:rsidP="00315A88">
      <w:pPr>
        <w:pStyle w:val="CM4"/>
        <w:spacing w:line="240" w:lineRule="auto"/>
        <w:ind w:left="360"/>
        <w:jc w:val="both"/>
        <w:rPr>
          <w:rFonts w:ascii="Calibri" w:hAnsi="Calibri" w:cs="Times LT Std"/>
        </w:rPr>
      </w:pPr>
      <w:r w:rsidRPr="003F314F">
        <w:rPr>
          <w:rFonts w:ascii="Calibri" w:hAnsi="Calibri" w:cs="Times LT Std"/>
        </w:rPr>
        <w:t xml:space="preserve"> </w:t>
      </w:r>
    </w:p>
    <w:p w:rsidR="007B7601" w:rsidRPr="003F314F" w:rsidRDefault="007B7601" w:rsidP="00315A88">
      <w:pPr>
        <w:pStyle w:val="CM5"/>
        <w:spacing w:line="240" w:lineRule="auto"/>
        <w:ind w:left="360"/>
        <w:jc w:val="both"/>
        <w:rPr>
          <w:rFonts w:ascii="Calibri" w:hAnsi="Calibri" w:cs="Times LT Std"/>
        </w:rPr>
      </w:pPr>
      <w:r w:rsidRPr="003F314F">
        <w:rPr>
          <w:rFonts w:ascii="Calibri" w:hAnsi="Calibri" w:cs="Times LT Std"/>
        </w:rPr>
        <w:t>Mediante los Acuerdos de Paz se propuso una estructura institucional que se adaptara a los nuevos lineamientos de desarrollo</w:t>
      </w:r>
      <w:r w:rsidR="00CA302B" w:rsidRPr="003F314F">
        <w:rPr>
          <w:rFonts w:ascii="Calibri" w:hAnsi="Calibri" w:cs="Times LT Std"/>
        </w:rPr>
        <w:t xml:space="preserve"> rural, al crear una institucio</w:t>
      </w:r>
      <w:r w:rsidRPr="003F314F">
        <w:rPr>
          <w:rFonts w:ascii="Calibri" w:hAnsi="Calibri" w:cs="Times LT Std"/>
        </w:rPr>
        <w:t xml:space="preserve">nalidad lógica que promueve la participación ciudadana y la concertación de políticas públicas. Sin embargo, aunque el marco legal está dado, en la práctica los actores políticos y sociales no participan en estos procesos. Se ha identificado una serie de medidas que sería preciso aplicar en los tres niveles de gobierno para fortalecer la institucionalidad de la paz y el desarrollo rural, las cuales pueden impulsar los actores públicos, privados o sociales (Monterroso, 2009). </w:t>
      </w:r>
    </w:p>
    <w:p w:rsidR="007B7601" w:rsidRPr="003F314F" w:rsidRDefault="007B7601" w:rsidP="00315A88">
      <w:pPr>
        <w:pStyle w:val="Default"/>
        <w:ind w:left="360"/>
        <w:jc w:val="both"/>
        <w:rPr>
          <w:rFonts w:ascii="Calibri" w:hAnsi="Calibri" w:cs="Times LT Std"/>
          <w:color w:val="auto"/>
          <w:lang w:val="es-GT"/>
        </w:rPr>
      </w:pPr>
    </w:p>
    <w:p w:rsidR="007B7601" w:rsidRPr="003F314F" w:rsidRDefault="007B7601" w:rsidP="00EC05B0">
      <w:pPr>
        <w:pStyle w:val="Default"/>
        <w:widowControl w:val="0"/>
        <w:numPr>
          <w:ilvl w:val="0"/>
          <w:numId w:val="68"/>
        </w:numPr>
        <w:spacing w:after="120"/>
        <w:jc w:val="both"/>
        <w:rPr>
          <w:rFonts w:ascii="Calibri" w:hAnsi="Calibri" w:cs="Times LT Std"/>
          <w:color w:val="auto"/>
          <w:lang w:val="es-GT"/>
        </w:rPr>
      </w:pPr>
      <w:r w:rsidRPr="003F314F">
        <w:rPr>
          <w:rFonts w:ascii="Calibri" w:hAnsi="Calibri" w:cs="Times LT Std"/>
          <w:color w:val="auto"/>
          <w:lang w:val="es-GT"/>
        </w:rPr>
        <w:t>A nivel central, los ciudadanos tendrían mayores posibilidades de hace</w:t>
      </w:r>
      <w:r w:rsidR="00CA302B" w:rsidRPr="003F314F">
        <w:rPr>
          <w:rFonts w:ascii="Calibri" w:hAnsi="Calibri" w:cs="Times LT Std"/>
          <w:color w:val="auto"/>
          <w:lang w:val="es-GT"/>
        </w:rPr>
        <w:t>r que sus propuestas fueran vin</w:t>
      </w:r>
      <w:r w:rsidRPr="003F314F">
        <w:rPr>
          <w:rFonts w:ascii="Calibri" w:hAnsi="Calibri" w:cs="Times LT Std"/>
          <w:color w:val="auto"/>
          <w:lang w:val="es-GT"/>
        </w:rPr>
        <w:t>culantes si participaran efectivamente en el CONADUR, en lugar de hacerlo en “mesas de diálogo”</w:t>
      </w:r>
      <w:r w:rsidR="00DB7E51">
        <w:rPr>
          <w:rFonts w:ascii="Calibri" w:hAnsi="Calibri" w:cs="Times LT Std"/>
          <w:color w:val="auto"/>
          <w:lang w:val="es-GT"/>
        </w:rPr>
        <w:t>,</w:t>
      </w:r>
      <w:r w:rsidRPr="003F314F">
        <w:rPr>
          <w:rFonts w:ascii="Calibri" w:hAnsi="Calibri" w:cs="Times LT Std"/>
          <w:color w:val="auto"/>
          <w:lang w:val="es-GT"/>
        </w:rPr>
        <w:t xml:space="preserve"> cuyas conclusiones no lle</w:t>
      </w:r>
      <w:r w:rsidR="00CA302B" w:rsidRPr="003F314F">
        <w:rPr>
          <w:rFonts w:ascii="Calibri" w:hAnsi="Calibri" w:cs="Times LT Std"/>
          <w:color w:val="auto"/>
          <w:lang w:val="es-GT"/>
        </w:rPr>
        <w:t>gan después a concretarse en po</w:t>
      </w:r>
      <w:r w:rsidRPr="003F314F">
        <w:rPr>
          <w:rFonts w:ascii="Calibri" w:hAnsi="Calibri" w:cs="Times LT Std"/>
          <w:color w:val="auto"/>
          <w:lang w:val="es-GT"/>
        </w:rPr>
        <w:t xml:space="preserve">líticas públicas. Mediante la participación ciudadana en el CONADUR, estas últimas deberían reorientarse a la inversión en </w:t>
      </w:r>
      <w:r w:rsidR="00DB7E51">
        <w:rPr>
          <w:rFonts w:ascii="Calibri" w:hAnsi="Calibri" w:cs="Times LT Std"/>
          <w:color w:val="auto"/>
          <w:lang w:val="es-GT"/>
        </w:rPr>
        <w:t xml:space="preserve">los </w:t>
      </w:r>
      <w:r w:rsidRPr="003F314F">
        <w:rPr>
          <w:rFonts w:ascii="Calibri" w:hAnsi="Calibri" w:cs="Times LT Std"/>
          <w:color w:val="auto"/>
          <w:lang w:val="es-GT"/>
        </w:rPr>
        <w:t>bienes públicos</w:t>
      </w:r>
      <w:r w:rsidR="004E66D7" w:rsidRPr="003F314F">
        <w:rPr>
          <w:rFonts w:ascii="Calibri" w:hAnsi="Calibri" w:cs="Times LT Std"/>
          <w:color w:val="auto"/>
          <w:lang w:val="es-GT"/>
        </w:rPr>
        <w:t xml:space="preserve"> </w:t>
      </w:r>
      <w:r w:rsidR="00DB7E51">
        <w:rPr>
          <w:rFonts w:ascii="Calibri" w:hAnsi="Calibri" w:cs="Times LT Std"/>
          <w:color w:val="auto"/>
          <w:lang w:val="es-GT"/>
        </w:rPr>
        <w:t>que</w:t>
      </w:r>
      <w:r w:rsidRPr="003F314F">
        <w:rPr>
          <w:rFonts w:ascii="Calibri" w:hAnsi="Calibri" w:cs="Times LT Std"/>
          <w:color w:val="auto"/>
          <w:lang w:val="es-GT"/>
        </w:rPr>
        <w:t xml:space="preserve"> han sido identificados en la discusión nacional</w:t>
      </w:r>
      <w:r w:rsidR="004E66D7" w:rsidRPr="003F314F">
        <w:rPr>
          <w:rFonts w:ascii="Calibri" w:hAnsi="Calibri" w:cs="Times LT Std"/>
          <w:color w:val="auto"/>
          <w:lang w:val="es-GT"/>
        </w:rPr>
        <w:t>,</w:t>
      </w:r>
      <w:r w:rsidRPr="003F314F">
        <w:rPr>
          <w:rFonts w:ascii="Calibri" w:hAnsi="Calibri" w:cs="Times LT Std"/>
          <w:color w:val="auto"/>
          <w:lang w:val="es-GT"/>
        </w:rPr>
        <w:t xml:space="preserve"> y a eliminar los mecanismos clientelistas que favorecen a grupos de presión específicos. Por su parte, el gobierno central podría agilizar el proceso de concertación de políticas si dialoga con un solo interlocutor (el CONADUR), disminuyendo los costos de negociación y concertación</w:t>
      </w:r>
      <w:r w:rsidR="00DB7E51">
        <w:rPr>
          <w:rFonts w:ascii="Calibri" w:hAnsi="Calibri" w:cs="Times LT Std"/>
          <w:color w:val="auto"/>
          <w:lang w:val="es-GT"/>
        </w:rPr>
        <w:t>,</w:t>
      </w:r>
      <w:r w:rsidRPr="003F314F">
        <w:rPr>
          <w:rFonts w:ascii="Calibri" w:hAnsi="Calibri" w:cs="Times LT Std"/>
          <w:color w:val="auto"/>
          <w:lang w:val="es-GT"/>
        </w:rPr>
        <w:t xml:space="preserve"> a la vez que genera aliados para su implementación. </w:t>
      </w:r>
    </w:p>
    <w:p w:rsidR="007B7601" w:rsidRPr="003F314F" w:rsidRDefault="007B7601" w:rsidP="00EC05B0">
      <w:pPr>
        <w:pStyle w:val="CM5"/>
        <w:numPr>
          <w:ilvl w:val="0"/>
          <w:numId w:val="68"/>
        </w:numPr>
        <w:spacing w:after="120" w:line="240" w:lineRule="auto"/>
        <w:jc w:val="both"/>
        <w:rPr>
          <w:rFonts w:ascii="Calibri" w:hAnsi="Calibri" w:cs="Times LT Std"/>
        </w:rPr>
      </w:pPr>
      <w:r w:rsidRPr="003F314F">
        <w:rPr>
          <w:rFonts w:ascii="Calibri" w:hAnsi="Calibri" w:cs="Times LT Std"/>
        </w:rPr>
        <w:t xml:space="preserve">El nivel departamental de gobierno es quizás el que más requiere de fortalecimiento y en que el enfoque territorial de desarrollo tiene mayores repercusiones. Lo principal es hacer que lo concertado a nivel departamental se traduzca en políticas públicas. Esto implica que </w:t>
      </w:r>
      <w:r w:rsidRPr="003F314F">
        <w:rPr>
          <w:rFonts w:ascii="Calibri" w:hAnsi="Calibri" w:cs="Times LT Std"/>
        </w:rPr>
        <w:lastRenderedPageBreak/>
        <w:t xml:space="preserve">todos los actores deben tener compromisos y metas claramente establecidas en los planes de desarrollo territorial. Los contratos público-sociales que se han impulsado en algunos países de América Latina podrían ser el mecanismo adecuado para lograr dicho objetivo y, además, para aumentar el financiamiento de las inversiones territoriales en bienes públicos. </w:t>
      </w:r>
    </w:p>
    <w:p w:rsidR="007B7601" w:rsidRPr="003F314F" w:rsidRDefault="007B7601" w:rsidP="00EC05B0">
      <w:pPr>
        <w:pStyle w:val="CM5"/>
        <w:numPr>
          <w:ilvl w:val="0"/>
          <w:numId w:val="68"/>
        </w:numPr>
        <w:spacing w:after="120" w:line="240" w:lineRule="auto"/>
        <w:jc w:val="both"/>
        <w:rPr>
          <w:rFonts w:ascii="Calibri" w:hAnsi="Calibri" w:cs="Times LT Std"/>
        </w:rPr>
      </w:pPr>
      <w:r w:rsidRPr="003F314F">
        <w:rPr>
          <w:rFonts w:ascii="Calibri" w:hAnsi="Calibri" w:cs="Times LT Std"/>
        </w:rPr>
        <w:t xml:space="preserve">Los gobiernos municipales (nivel descentralizado) todavía necesitan mejorar la capacidad técnica de las oficinas de planificación. Es igualmente importante continuar promoviendo la participación ciudadana en la fiscalización y formulación de las políticas públicas. El enfoque territorial de desarrollo ha probado ser un medio eficaz para generar políticas y aunar los esfuerzos de los distintos actores sociales a nivel local. </w:t>
      </w:r>
    </w:p>
    <w:p w:rsidR="007B7601" w:rsidRPr="003F314F" w:rsidRDefault="007B7601" w:rsidP="0063623A">
      <w:pPr>
        <w:pStyle w:val="CM4"/>
        <w:spacing w:line="240" w:lineRule="auto"/>
        <w:ind w:left="360"/>
        <w:jc w:val="both"/>
        <w:rPr>
          <w:rFonts w:ascii="Calibri" w:hAnsi="Calibri" w:cs="Times LT Std"/>
        </w:rPr>
      </w:pPr>
      <w:r w:rsidRPr="003F314F">
        <w:rPr>
          <w:rFonts w:ascii="Calibri" w:hAnsi="Calibri" w:cs="Times LT Std"/>
        </w:rPr>
        <w:t>Al promover políticas territoriales dentro del marco formal existente, se estaría asegurando una mayor sostenibilidad de las políticas de desarrollo rural. Al mismo tiempo</w:t>
      </w:r>
      <w:r w:rsidR="004E66D7" w:rsidRPr="003F314F">
        <w:rPr>
          <w:rFonts w:ascii="Calibri" w:hAnsi="Calibri" w:cs="Times LT Std"/>
        </w:rPr>
        <w:t>, se fortalecería la institucio</w:t>
      </w:r>
      <w:r w:rsidRPr="003F314F">
        <w:rPr>
          <w:rFonts w:ascii="Calibri" w:hAnsi="Calibri" w:cs="Times LT Std"/>
        </w:rPr>
        <w:t>nalidad formal de participación e inclusión, pues esta tendría objetivos claros que justifican su existencia: priorizar las inversiones públicas y privadas. Con ello se contribuiría también a la modernización del Estado guatemalteco, condición indispensable para lograr un desarrollo verdadero y la inserción exitosa de Guatemala en la economía del siglo XXI.</w:t>
      </w:r>
    </w:p>
    <w:p w:rsidR="007B7601" w:rsidRPr="0063623A" w:rsidRDefault="007B7601" w:rsidP="0063623A">
      <w:pPr>
        <w:pStyle w:val="CM4"/>
        <w:spacing w:line="240" w:lineRule="auto"/>
        <w:ind w:left="360"/>
        <w:jc w:val="both"/>
        <w:rPr>
          <w:rFonts w:ascii="Calibri" w:hAnsi="Calibri" w:cs="Times LT Std"/>
          <w:color w:val="FF0000"/>
        </w:rPr>
      </w:pPr>
    </w:p>
    <w:p w:rsidR="0063623A" w:rsidRPr="003F314F" w:rsidRDefault="0063623A" w:rsidP="003F314F">
      <w:pPr>
        <w:pStyle w:val="Prrafodelista"/>
        <w:numPr>
          <w:ilvl w:val="2"/>
          <w:numId w:val="55"/>
        </w:numPr>
        <w:spacing w:after="120"/>
        <w:jc w:val="both"/>
        <w:rPr>
          <w:rFonts w:cs="Calibri"/>
          <w:b/>
          <w:i/>
          <w:color w:val="365F91"/>
          <w:sz w:val="24"/>
          <w:szCs w:val="24"/>
        </w:rPr>
      </w:pPr>
      <w:r w:rsidRPr="003F314F">
        <w:rPr>
          <w:rFonts w:cs="Calibri"/>
          <w:b/>
          <w:i/>
          <w:color w:val="365F91"/>
          <w:sz w:val="24"/>
          <w:szCs w:val="24"/>
        </w:rPr>
        <w:t>Situación actual de la institucionalidad relacionada con el desarrollo rural integral</w:t>
      </w:r>
    </w:p>
    <w:p w:rsidR="00CA302B" w:rsidRPr="0063623A" w:rsidRDefault="00CA302B" w:rsidP="0063623A">
      <w:pPr>
        <w:pStyle w:val="CM4"/>
        <w:spacing w:line="240" w:lineRule="auto"/>
        <w:ind w:left="360"/>
        <w:jc w:val="both"/>
        <w:rPr>
          <w:rFonts w:ascii="Calibri" w:hAnsi="Calibri" w:cs="Times LT Std"/>
          <w:color w:val="FF0000"/>
        </w:rPr>
      </w:pPr>
    </w:p>
    <w:p w:rsidR="000B332A" w:rsidRPr="003F314F" w:rsidRDefault="0063623A" w:rsidP="0063623A">
      <w:pPr>
        <w:pStyle w:val="CM4"/>
        <w:spacing w:line="240" w:lineRule="auto"/>
        <w:ind w:left="360"/>
        <w:jc w:val="both"/>
        <w:rPr>
          <w:rFonts w:ascii="Calibri" w:hAnsi="Calibri" w:cs="Times LT Std"/>
        </w:rPr>
      </w:pPr>
      <w:r w:rsidRPr="003F314F">
        <w:rPr>
          <w:rFonts w:ascii="Calibri" w:hAnsi="Calibri" w:cs="Times LT Std"/>
        </w:rPr>
        <w:t>La propuesta de Ley de Desarrollo Rural Integral</w:t>
      </w:r>
      <w:r w:rsidR="009E3054">
        <w:rPr>
          <w:rFonts w:ascii="Calibri" w:hAnsi="Calibri" w:cs="Times LT Std"/>
        </w:rPr>
        <w:t>,</w:t>
      </w:r>
      <w:r w:rsidRPr="003F314F">
        <w:rPr>
          <w:rFonts w:ascii="Calibri" w:hAnsi="Calibri" w:cs="Times LT Std"/>
        </w:rPr>
        <w:t xml:space="preserve"> que en la actualidad se discute </w:t>
      </w:r>
      <w:r w:rsidR="009E3054">
        <w:rPr>
          <w:rFonts w:ascii="Calibri" w:hAnsi="Calibri" w:cs="Times LT Std"/>
        </w:rPr>
        <w:t>en el</w:t>
      </w:r>
      <w:r w:rsidRPr="003F314F">
        <w:rPr>
          <w:rFonts w:ascii="Calibri" w:hAnsi="Calibri" w:cs="Times LT Std"/>
        </w:rPr>
        <w:t xml:space="preserve"> Congreso de la Rep</w:t>
      </w:r>
      <w:r w:rsidR="003F314F" w:rsidRPr="003F314F">
        <w:rPr>
          <w:rFonts w:ascii="Calibri" w:hAnsi="Calibri" w:cs="Times LT Std"/>
        </w:rPr>
        <w:t>ú</w:t>
      </w:r>
      <w:r w:rsidRPr="003F314F">
        <w:rPr>
          <w:rFonts w:ascii="Calibri" w:hAnsi="Calibri" w:cs="Times LT Std"/>
        </w:rPr>
        <w:t>blica</w:t>
      </w:r>
      <w:r w:rsidR="009E3054">
        <w:rPr>
          <w:rFonts w:ascii="Calibri" w:hAnsi="Calibri" w:cs="Times LT Std"/>
        </w:rPr>
        <w:t>, y cuyo anteproyecto cuenta con el dictamen favorable de la Comisión de Desarrollo Rural</w:t>
      </w:r>
      <w:r w:rsidRPr="003F314F">
        <w:rPr>
          <w:rFonts w:ascii="Calibri" w:hAnsi="Calibri" w:cs="Times LT Std"/>
        </w:rPr>
        <w:t xml:space="preserve">, constituye el marco institucional propuesto por el gobierno actual para </w:t>
      </w:r>
      <w:r w:rsidR="000B332A" w:rsidRPr="003F314F">
        <w:rPr>
          <w:rFonts w:ascii="Calibri" w:hAnsi="Calibri" w:cs="Times LT Std"/>
        </w:rPr>
        <w:t>a</w:t>
      </w:r>
      <w:r w:rsidRPr="003F314F">
        <w:rPr>
          <w:rFonts w:ascii="Calibri" w:hAnsi="Calibri" w:cs="Times LT Std"/>
        </w:rPr>
        <w:t>tender e</w:t>
      </w:r>
      <w:r w:rsidR="000B332A" w:rsidRPr="003F314F">
        <w:rPr>
          <w:rFonts w:ascii="Calibri" w:hAnsi="Calibri" w:cs="Times LT Std"/>
        </w:rPr>
        <w:t>l</w:t>
      </w:r>
      <w:r w:rsidRPr="003F314F">
        <w:rPr>
          <w:rFonts w:ascii="Calibri" w:hAnsi="Calibri" w:cs="Times LT Std"/>
        </w:rPr>
        <w:t xml:space="preserve"> tema. </w:t>
      </w:r>
    </w:p>
    <w:p w:rsidR="000B332A" w:rsidRPr="003F314F" w:rsidRDefault="000B332A" w:rsidP="0063623A">
      <w:pPr>
        <w:pStyle w:val="CM4"/>
        <w:spacing w:line="240" w:lineRule="auto"/>
        <w:ind w:left="360"/>
        <w:jc w:val="both"/>
        <w:rPr>
          <w:rFonts w:ascii="Calibri" w:hAnsi="Calibri" w:cs="Times LT Std"/>
        </w:rPr>
      </w:pPr>
    </w:p>
    <w:p w:rsidR="0063623A" w:rsidRPr="003F314F" w:rsidRDefault="0063623A" w:rsidP="0063623A">
      <w:pPr>
        <w:pStyle w:val="CM4"/>
        <w:spacing w:line="240" w:lineRule="auto"/>
        <w:ind w:left="360"/>
        <w:jc w:val="both"/>
        <w:rPr>
          <w:rFonts w:ascii="Calibri" w:hAnsi="Calibri" w:cs="Times LT Std"/>
        </w:rPr>
      </w:pPr>
      <w:r w:rsidRPr="003F314F">
        <w:rPr>
          <w:rFonts w:ascii="Calibri" w:hAnsi="Calibri" w:cs="Times LT Std"/>
        </w:rPr>
        <w:t xml:space="preserve">Los sectores sociales visualizan al desarrollo rural como columna clave para una estrategia de desarrollo nacional que permita al país acabar con las enormes inequidades que lo colocan como uno de los </w:t>
      </w:r>
      <w:r w:rsidR="00D26B7F">
        <w:rPr>
          <w:rFonts w:ascii="Calibri" w:hAnsi="Calibri" w:cs="Times LT Std"/>
        </w:rPr>
        <w:t>más desiguales</w:t>
      </w:r>
      <w:r w:rsidRPr="003F314F">
        <w:rPr>
          <w:rFonts w:ascii="Calibri" w:hAnsi="Calibri" w:cs="Times LT Std"/>
        </w:rPr>
        <w:t xml:space="preserve"> </w:t>
      </w:r>
      <w:r w:rsidR="00D26B7F">
        <w:rPr>
          <w:rFonts w:ascii="Calibri" w:hAnsi="Calibri" w:cs="Times LT Std"/>
        </w:rPr>
        <w:t>de</w:t>
      </w:r>
      <w:r w:rsidRPr="003F314F">
        <w:rPr>
          <w:rFonts w:ascii="Calibri" w:hAnsi="Calibri" w:cs="Times LT Std"/>
        </w:rPr>
        <w:t>l mundo.</w:t>
      </w:r>
      <w:r w:rsidR="000B332A" w:rsidRPr="003F314F">
        <w:rPr>
          <w:rFonts w:ascii="Calibri" w:hAnsi="Calibri" w:cs="Times LT Std"/>
        </w:rPr>
        <w:t xml:space="preserve"> </w:t>
      </w:r>
      <w:r w:rsidRPr="003F314F">
        <w:rPr>
          <w:rFonts w:ascii="Calibri" w:hAnsi="Calibri" w:cs="Times LT Std"/>
        </w:rPr>
        <w:t xml:space="preserve">Para </w:t>
      </w:r>
      <w:r w:rsidR="000B332A" w:rsidRPr="003F314F">
        <w:rPr>
          <w:rFonts w:ascii="Calibri" w:hAnsi="Calibri" w:cs="Times LT Std"/>
        </w:rPr>
        <w:t>estas</w:t>
      </w:r>
      <w:r w:rsidRPr="003F314F">
        <w:rPr>
          <w:rFonts w:ascii="Calibri" w:hAnsi="Calibri" w:cs="Times LT Std"/>
        </w:rPr>
        <w:t xml:space="preserve"> organizaciones, el desarrollo rural </w:t>
      </w:r>
      <w:r w:rsidR="000B332A" w:rsidRPr="003F314F">
        <w:rPr>
          <w:rFonts w:ascii="Calibri" w:hAnsi="Calibri" w:cs="Times LT Std"/>
        </w:rPr>
        <w:t>reconoce</w:t>
      </w:r>
      <w:r w:rsidRPr="003F314F">
        <w:rPr>
          <w:rFonts w:ascii="Calibri" w:hAnsi="Calibri" w:cs="Times LT Std"/>
        </w:rPr>
        <w:t xml:space="preserve"> el papel que tiene la agricultura en el país, tanto por ser la forma de vida de millones de personas, como por ser un sector estratégico que contribuye al desarrollo económico, social y ambiental de Guatemala. Sin embargo</w:t>
      </w:r>
      <w:r w:rsidR="00D26B7F">
        <w:rPr>
          <w:rFonts w:ascii="Calibri" w:hAnsi="Calibri" w:cs="Times LT Std"/>
        </w:rPr>
        <w:t xml:space="preserve">, dicha propuesta de ley </w:t>
      </w:r>
      <w:r w:rsidRPr="003F314F">
        <w:rPr>
          <w:rFonts w:ascii="Calibri" w:hAnsi="Calibri" w:cs="Times LT Std"/>
        </w:rPr>
        <w:t>ya ha provocado posiciones encontradas entre el sector empresarial y los diputados oficialistas y sectores sociales.</w:t>
      </w:r>
    </w:p>
    <w:p w:rsidR="0063623A" w:rsidRPr="003F314F" w:rsidRDefault="0063623A" w:rsidP="0063623A">
      <w:pPr>
        <w:pStyle w:val="CM4"/>
        <w:spacing w:line="240" w:lineRule="auto"/>
        <w:ind w:left="360"/>
        <w:jc w:val="both"/>
        <w:rPr>
          <w:rFonts w:ascii="Calibri" w:hAnsi="Calibri" w:cs="Times LT Std"/>
        </w:rPr>
      </w:pPr>
    </w:p>
    <w:p w:rsidR="00CA302B" w:rsidRPr="003F314F" w:rsidRDefault="0063623A" w:rsidP="0063623A">
      <w:pPr>
        <w:pStyle w:val="CM4"/>
        <w:spacing w:line="240" w:lineRule="auto"/>
        <w:ind w:left="360"/>
        <w:jc w:val="both"/>
        <w:rPr>
          <w:rFonts w:ascii="Calibri" w:hAnsi="Calibri" w:cs="Times LT Std"/>
        </w:rPr>
      </w:pPr>
      <w:r w:rsidRPr="003F314F">
        <w:rPr>
          <w:rFonts w:ascii="Calibri" w:hAnsi="Calibri" w:cs="Times LT Std"/>
        </w:rPr>
        <w:t>Para la ejecución de la estrategia de desarrollo rural, en esta propuesta se establece la creación del Minister</w:t>
      </w:r>
      <w:r w:rsidR="00D26B7F">
        <w:rPr>
          <w:rFonts w:ascii="Calibri" w:hAnsi="Calibri" w:cs="Times LT Std"/>
        </w:rPr>
        <w:t>io de Desarrollo Rural Integral</w:t>
      </w:r>
      <w:r w:rsidRPr="003F314F">
        <w:rPr>
          <w:rFonts w:ascii="Calibri" w:hAnsi="Calibri" w:cs="Times LT Std"/>
        </w:rPr>
        <w:t xml:space="preserve"> como la entidad rectora que</w:t>
      </w:r>
      <w:r w:rsidR="00D26B7F">
        <w:rPr>
          <w:rFonts w:ascii="Calibri" w:hAnsi="Calibri" w:cs="Times LT Std"/>
        </w:rPr>
        <w:t>,</w:t>
      </w:r>
      <w:r w:rsidRPr="003F314F">
        <w:rPr>
          <w:rFonts w:ascii="Calibri" w:hAnsi="Calibri" w:cs="Times LT Std"/>
        </w:rPr>
        <w:t xml:space="preserve"> en coordinación con el resto de ins</w:t>
      </w:r>
      <w:r w:rsidR="00D26B7F">
        <w:rPr>
          <w:rFonts w:ascii="Calibri" w:hAnsi="Calibri" w:cs="Times LT Std"/>
        </w:rPr>
        <w:t>tituciones del Estado y con el Sistema de Consejos de D</w:t>
      </w:r>
      <w:r w:rsidRPr="003F314F">
        <w:rPr>
          <w:rFonts w:ascii="Calibri" w:hAnsi="Calibri" w:cs="Times LT Std"/>
        </w:rPr>
        <w:t xml:space="preserve">esarrollo, ejecutará planes y proyectos concretos para cada región del país, en función de sus condiciones específicas. </w:t>
      </w:r>
      <w:r w:rsidR="00D26B7F">
        <w:rPr>
          <w:rFonts w:ascii="Calibri" w:hAnsi="Calibri" w:cs="Times LT Std"/>
        </w:rPr>
        <w:t>Sin embargo, en caso de ser aprobada, esta</w:t>
      </w:r>
      <w:r w:rsidR="000B332A" w:rsidRPr="003F314F">
        <w:rPr>
          <w:rFonts w:ascii="Calibri" w:hAnsi="Calibri" w:cs="Times LT Std"/>
        </w:rPr>
        <w:t xml:space="preserve"> ley</w:t>
      </w:r>
      <w:r w:rsidR="00D26B7F">
        <w:rPr>
          <w:rFonts w:ascii="Calibri" w:hAnsi="Calibri" w:cs="Times LT Std"/>
        </w:rPr>
        <w:t xml:space="preserve"> no aclara cuá</w:t>
      </w:r>
      <w:r w:rsidRPr="003F314F">
        <w:rPr>
          <w:rFonts w:ascii="Calibri" w:hAnsi="Calibri" w:cs="Times LT Std"/>
        </w:rPr>
        <w:t xml:space="preserve">l sería </w:t>
      </w:r>
      <w:r w:rsidR="00D26B7F">
        <w:rPr>
          <w:rFonts w:ascii="Calibri" w:hAnsi="Calibri" w:cs="Times LT Std"/>
        </w:rPr>
        <w:t xml:space="preserve">su rol ni el del </w:t>
      </w:r>
      <w:r w:rsidR="000B332A" w:rsidRPr="003F314F">
        <w:rPr>
          <w:rFonts w:ascii="Calibri" w:hAnsi="Calibri" w:cs="Times LT Std"/>
        </w:rPr>
        <w:t>MAGA</w:t>
      </w:r>
      <w:r w:rsidRPr="003F314F">
        <w:rPr>
          <w:rFonts w:ascii="Calibri" w:hAnsi="Calibri" w:cs="Times LT Std"/>
        </w:rPr>
        <w:t xml:space="preserve">, </w:t>
      </w:r>
      <w:r w:rsidR="00D26B7F">
        <w:rPr>
          <w:rFonts w:ascii="Calibri" w:hAnsi="Calibri" w:cs="Times LT Std"/>
        </w:rPr>
        <w:t>que</w:t>
      </w:r>
      <w:r w:rsidRPr="003F314F">
        <w:rPr>
          <w:rFonts w:ascii="Calibri" w:hAnsi="Calibri" w:cs="Times LT Std"/>
        </w:rPr>
        <w:t xml:space="preserve"> dejaría de ser el encargado de temas como la producción y el almacenamiento de granos que as</w:t>
      </w:r>
      <w:r w:rsidR="00D26B7F">
        <w:rPr>
          <w:rFonts w:ascii="Calibri" w:hAnsi="Calibri" w:cs="Times LT Std"/>
        </w:rPr>
        <w:t>eguran la seguridad alimentaria.</w:t>
      </w:r>
      <w:r w:rsidRPr="003F314F">
        <w:rPr>
          <w:rFonts w:ascii="Calibri" w:hAnsi="Calibri" w:cs="Times LT Std"/>
        </w:rPr>
        <w:t xml:space="preserve"> </w:t>
      </w:r>
    </w:p>
    <w:p w:rsidR="000B332A" w:rsidRPr="000B332A" w:rsidRDefault="000B332A" w:rsidP="000B332A">
      <w:pPr>
        <w:pStyle w:val="CM4"/>
        <w:spacing w:line="240" w:lineRule="auto"/>
        <w:ind w:left="360"/>
        <w:jc w:val="both"/>
        <w:rPr>
          <w:rFonts w:ascii="Calibri" w:hAnsi="Calibri" w:cs="Times LT Std"/>
          <w:color w:val="FF0000"/>
        </w:rPr>
      </w:pPr>
    </w:p>
    <w:p w:rsidR="00CA302B" w:rsidRPr="003F314F" w:rsidRDefault="00D82B82" w:rsidP="000B332A">
      <w:pPr>
        <w:pStyle w:val="CM4"/>
        <w:spacing w:line="240" w:lineRule="auto"/>
        <w:ind w:left="360"/>
        <w:jc w:val="both"/>
        <w:rPr>
          <w:rFonts w:ascii="Calibri" w:hAnsi="Calibri" w:cs="Times LT Std"/>
        </w:rPr>
      </w:pPr>
      <w:r w:rsidRPr="003F314F">
        <w:rPr>
          <w:rFonts w:ascii="Calibri" w:hAnsi="Calibri" w:cs="Times LT Std"/>
        </w:rPr>
        <w:t xml:space="preserve">Por la dinámica que se ha observado alrededor de la discusión del proyecto de Ley de Desarrollo Rural Integral en el país, no se puede concluir e indicar cuál será el marco </w:t>
      </w:r>
      <w:r w:rsidRPr="003F314F">
        <w:rPr>
          <w:rFonts w:ascii="Calibri" w:hAnsi="Calibri" w:cs="Times LT Std"/>
        </w:rPr>
        <w:lastRenderedPageBreak/>
        <w:t>institucional que regirá el tema en el futuro. Por esta razón, se considera que existe</w:t>
      </w:r>
      <w:r w:rsidR="00D26B7F">
        <w:rPr>
          <w:rFonts w:ascii="Calibri" w:hAnsi="Calibri" w:cs="Times LT Std"/>
        </w:rPr>
        <w:t>n</w:t>
      </w:r>
      <w:r w:rsidRPr="003F314F">
        <w:rPr>
          <w:rFonts w:ascii="Calibri" w:hAnsi="Calibri" w:cs="Times LT Std"/>
        </w:rPr>
        <w:t xml:space="preserve"> dos escenarios posibles en la actualidad: a) que se apruebe la propuesta de Ley de Desarrollo Rural Integral, y b) que no se apruebe dicha propuesta. A continuación se hace un esbozo de estas posibles situaciones:</w:t>
      </w:r>
    </w:p>
    <w:p w:rsidR="00D82B82" w:rsidRPr="003F314F" w:rsidRDefault="00D82B82" w:rsidP="00D82B82">
      <w:pPr>
        <w:pStyle w:val="CM4"/>
        <w:spacing w:line="240" w:lineRule="auto"/>
        <w:ind w:left="360"/>
        <w:jc w:val="both"/>
        <w:rPr>
          <w:rFonts w:ascii="Calibri" w:hAnsi="Calibri" w:cs="Times LT Std"/>
        </w:rPr>
      </w:pPr>
    </w:p>
    <w:p w:rsidR="00FE749B" w:rsidRPr="003F314F" w:rsidRDefault="00D82B82" w:rsidP="00D82B82">
      <w:pPr>
        <w:pStyle w:val="CM4"/>
        <w:spacing w:line="240" w:lineRule="auto"/>
        <w:ind w:left="360"/>
        <w:jc w:val="both"/>
        <w:rPr>
          <w:rFonts w:ascii="Calibri" w:hAnsi="Calibri" w:cs="Times LT Std"/>
        </w:rPr>
      </w:pPr>
      <w:r w:rsidRPr="003F314F">
        <w:rPr>
          <w:rFonts w:ascii="Calibri" w:hAnsi="Calibri" w:cs="Times LT Std"/>
        </w:rPr>
        <w:t xml:space="preserve">En caso que la propuesta de Ley sea aprobada y la misma entre en vigencia, se </w:t>
      </w:r>
      <w:r w:rsidR="00802383" w:rsidRPr="003F314F">
        <w:rPr>
          <w:rFonts w:ascii="Calibri" w:hAnsi="Calibri" w:cs="Times LT Std"/>
        </w:rPr>
        <w:t>establecerá</w:t>
      </w:r>
      <w:r w:rsidRPr="003F314F">
        <w:rPr>
          <w:rFonts w:ascii="Calibri" w:hAnsi="Calibri" w:cs="Times LT Std"/>
        </w:rPr>
        <w:t xml:space="preserve"> una nueva estructura </w:t>
      </w:r>
      <w:r w:rsidR="007F1C90" w:rsidRPr="003F314F">
        <w:rPr>
          <w:rFonts w:ascii="Calibri" w:hAnsi="Calibri" w:cs="Times LT Std"/>
        </w:rPr>
        <w:t>institucional</w:t>
      </w:r>
      <w:r w:rsidR="00D26B7F">
        <w:rPr>
          <w:rFonts w:ascii="Calibri" w:hAnsi="Calibri" w:cs="Times LT Std"/>
        </w:rPr>
        <w:t xml:space="preserve">, la cual </w:t>
      </w:r>
      <w:r w:rsidR="00FE749B" w:rsidRPr="003F314F">
        <w:rPr>
          <w:rFonts w:ascii="Calibri" w:hAnsi="Calibri" w:cs="Times LT Std"/>
        </w:rPr>
        <w:t xml:space="preserve">estaría conformada inicialmente por el Sistema Nacional de Desarrollo Rural Integral. </w:t>
      </w:r>
      <w:r w:rsidR="007F6E4C" w:rsidRPr="003F314F">
        <w:rPr>
          <w:rFonts w:ascii="Calibri" w:hAnsi="Calibri" w:cs="Times LT Std"/>
        </w:rPr>
        <w:t xml:space="preserve">Este sistema estaría </w:t>
      </w:r>
      <w:r w:rsidR="00D26B7F">
        <w:rPr>
          <w:rFonts w:ascii="Calibri" w:hAnsi="Calibri" w:cs="Times LT Std"/>
        </w:rPr>
        <w:t>constituido</w:t>
      </w:r>
      <w:r w:rsidR="007F6E4C" w:rsidRPr="003F314F">
        <w:rPr>
          <w:rFonts w:ascii="Calibri" w:hAnsi="Calibri" w:cs="Times LT Std"/>
        </w:rPr>
        <w:t xml:space="preserve"> por varios órganos, a tres niveles, los cuales son:</w:t>
      </w:r>
    </w:p>
    <w:p w:rsidR="00FE749B" w:rsidRPr="003F314F" w:rsidRDefault="007F6E4C" w:rsidP="00EC05B0">
      <w:pPr>
        <w:pStyle w:val="CM4"/>
        <w:numPr>
          <w:ilvl w:val="0"/>
          <w:numId w:val="69"/>
        </w:numPr>
        <w:spacing w:line="240" w:lineRule="auto"/>
        <w:jc w:val="both"/>
        <w:rPr>
          <w:rFonts w:ascii="Calibri" w:hAnsi="Calibri" w:cs="Times LT Std"/>
        </w:rPr>
      </w:pPr>
      <w:r w:rsidRPr="003F314F">
        <w:rPr>
          <w:rFonts w:ascii="Calibri" w:hAnsi="Calibri" w:cs="Times LT Std"/>
        </w:rPr>
        <w:t>El Gabinete de Desarrollo Rural Integral</w:t>
      </w:r>
      <w:r w:rsidR="00D26B7F">
        <w:rPr>
          <w:rFonts w:ascii="Calibri" w:hAnsi="Calibri" w:cs="Times LT Std"/>
        </w:rPr>
        <w:t>,</w:t>
      </w:r>
    </w:p>
    <w:p w:rsidR="00FE749B" w:rsidRPr="003F314F" w:rsidRDefault="007F6E4C" w:rsidP="00EC05B0">
      <w:pPr>
        <w:pStyle w:val="CM4"/>
        <w:numPr>
          <w:ilvl w:val="0"/>
          <w:numId w:val="69"/>
        </w:numPr>
        <w:spacing w:line="240" w:lineRule="auto"/>
        <w:jc w:val="both"/>
        <w:rPr>
          <w:rFonts w:ascii="Calibri" w:hAnsi="Calibri" w:cs="Times LT Std"/>
        </w:rPr>
      </w:pPr>
      <w:r w:rsidRPr="003F314F">
        <w:rPr>
          <w:rFonts w:ascii="Calibri" w:hAnsi="Calibri" w:cs="Times LT Std"/>
        </w:rPr>
        <w:t>El Ministerio de Desarrollo Rural Integral</w:t>
      </w:r>
      <w:r w:rsidR="00D26B7F">
        <w:rPr>
          <w:rFonts w:ascii="Calibri" w:hAnsi="Calibri" w:cs="Times LT Std"/>
        </w:rPr>
        <w:t>, y</w:t>
      </w:r>
    </w:p>
    <w:p w:rsidR="00FE749B" w:rsidRPr="003F314F" w:rsidRDefault="007F6E4C" w:rsidP="00EC05B0">
      <w:pPr>
        <w:pStyle w:val="CM4"/>
        <w:numPr>
          <w:ilvl w:val="0"/>
          <w:numId w:val="69"/>
        </w:numPr>
        <w:spacing w:line="240" w:lineRule="auto"/>
        <w:jc w:val="both"/>
        <w:rPr>
          <w:rFonts w:ascii="Calibri" w:hAnsi="Calibri" w:cs="Times LT Std"/>
        </w:rPr>
      </w:pPr>
      <w:r w:rsidRPr="003F314F">
        <w:rPr>
          <w:rFonts w:ascii="Calibri" w:hAnsi="Calibri" w:cs="Times LT Std"/>
        </w:rPr>
        <w:t>El Consejo de Participación y Auditoria Social</w:t>
      </w:r>
      <w:r w:rsidR="00D26B7F">
        <w:rPr>
          <w:rFonts w:ascii="Calibri" w:hAnsi="Calibri" w:cs="Times LT Std"/>
        </w:rPr>
        <w:t>.</w:t>
      </w:r>
    </w:p>
    <w:p w:rsidR="00FE749B" w:rsidRPr="003F314F" w:rsidRDefault="00FE749B" w:rsidP="00D82B82">
      <w:pPr>
        <w:pStyle w:val="CM4"/>
        <w:spacing w:line="240" w:lineRule="auto"/>
        <w:ind w:left="360"/>
        <w:jc w:val="both"/>
        <w:rPr>
          <w:rFonts w:ascii="Calibri" w:hAnsi="Calibri" w:cs="Times LT Std"/>
        </w:rPr>
      </w:pPr>
    </w:p>
    <w:p w:rsidR="007F1C90" w:rsidRPr="003F314F" w:rsidRDefault="007F453C" w:rsidP="00D82B82">
      <w:pPr>
        <w:pStyle w:val="CM4"/>
        <w:spacing w:line="240" w:lineRule="auto"/>
        <w:ind w:left="360"/>
        <w:jc w:val="both"/>
        <w:rPr>
          <w:rFonts w:ascii="Calibri" w:hAnsi="Calibri" w:cs="Times LT Std"/>
        </w:rPr>
      </w:pPr>
      <w:r w:rsidRPr="003F314F">
        <w:rPr>
          <w:rFonts w:ascii="Calibri" w:hAnsi="Calibri" w:cs="Times LT Std"/>
        </w:rPr>
        <w:t>Otro escenario posible, es que la iniciativa de Ley de Desarrollo Rural Integral no sea aprobada en la actualidad y que su discusión se postergue por un periodo indefinido. Como se indic</w:t>
      </w:r>
      <w:r w:rsidR="003F314F" w:rsidRPr="003F314F">
        <w:rPr>
          <w:rFonts w:ascii="Calibri" w:hAnsi="Calibri" w:cs="Times LT Std"/>
        </w:rPr>
        <w:t>ó</w:t>
      </w:r>
      <w:r w:rsidRPr="003F314F">
        <w:rPr>
          <w:rFonts w:ascii="Calibri" w:hAnsi="Calibri" w:cs="Times LT Std"/>
        </w:rPr>
        <w:t xml:space="preserve"> anteriormente, la propuesta del gobie</w:t>
      </w:r>
      <w:r w:rsidR="00D26B7F">
        <w:rPr>
          <w:rFonts w:ascii="Calibri" w:hAnsi="Calibri" w:cs="Times LT Std"/>
        </w:rPr>
        <w:t>rno actual es que se apruebe l</w:t>
      </w:r>
      <w:r w:rsidRPr="003F314F">
        <w:rPr>
          <w:rFonts w:ascii="Calibri" w:hAnsi="Calibri" w:cs="Times LT Std"/>
        </w:rPr>
        <w:t xml:space="preserve">a iniciativa, pero de </w:t>
      </w:r>
      <w:r w:rsidR="00D26B7F">
        <w:rPr>
          <w:rFonts w:ascii="Calibri" w:hAnsi="Calibri" w:cs="Times LT Std"/>
        </w:rPr>
        <w:t>no lograrse, se debe</w:t>
      </w:r>
      <w:r w:rsidRPr="003F314F">
        <w:rPr>
          <w:rFonts w:ascii="Calibri" w:hAnsi="Calibri" w:cs="Times LT Std"/>
        </w:rPr>
        <w:t xml:space="preserve"> considerar cual</w:t>
      </w:r>
      <w:r w:rsidR="00D26B7F">
        <w:rPr>
          <w:rFonts w:ascii="Calibri" w:hAnsi="Calibri" w:cs="Times LT Std"/>
        </w:rPr>
        <w:t xml:space="preserve"> sería la institucionalidad </w:t>
      </w:r>
      <w:r w:rsidRPr="003F314F">
        <w:rPr>
          <w:rFonts w:ascii="Calibri" w:hAnsi="Calibri" w:cs="Times LT Std"/>
        </w:rPr>
        <w:t>que abordaría el tema.</w:t>
      </w:r>
    </w:p>
    <w:p w:rsidR="007F453C" w:rsidRPr="007F453C" w:rsidRDefault="007F453C" w:rsidP="007F453C">
      <w:pPr>
        <w:pStyle w:val="CM4"/>
        <w:spacing w:line="240" w:lineRule="auto"/>
        <w:ind w:left="360"/>
        <w:jc w:val="both"/>
        <w:rPr>
          <w:rFonts w:ascii="Calibri" w:hAnsi="Calibri" w:cs="Times LT Std"/>
          <w:color w:val="FF0000"/>
        </w:rPr>
      </w:pPr>
    </w:p>
    <w:p w:rsidR="007F453C" w:rsidRPr="003F314F" w:rsidRDefault="007F453C" w:rsidP="007F453C">
      <w:pPr>
        <w:pStyle w:val="CM4"/>
        <w:spacing w:line="240" w:lineRule="auto"/>
        <w:ind w:left="360"/>
        <w:jc w:val="both"/>
        <w:rPr>
          <w:rFonts w:ascii="Calibri" w:hAnsi="Calibri" w:cs="Times LT Std"/>
        </w:rPr>
      </w:pPr>
      <w:r w:rsidRPr="003F314F">
        <w:rPr>
          <w:rFonts w:ascii="Calibri" w:hAnsi="Calibri" w:cs="Times LT Std"/>
        </w:rPr>
        <w:t xml:space="preserve">Aunque no está claramente definido en ningún documento, se considera que la opción alternativa que tendría el gobierno </w:t>
      </w:r>
      <w:r w:rsidR="00D26B7F">
        <w:rPr>
          <w:rFonts w:ascii="Calibri" w:hAnsi="Calibri" w:cs="Times LT Std"/>
        </w:rPr>
        <w:t>actual para abordar el tema serí</w:t>
      </w:r>
      <w:r w:rsidRPr="003F314F">
        <w:rPr>
          <w:rFonts w:ascii="Calibri" w:hAnsi="Calibri" w:cs="Times LT Std"/>
        </w:rPr>
        <w:t>a el Ministerio de Agricultura, Ganadería y Alimentación</w:t>
      </w:r>
      <w:r w:rsidR="003F314F" w:rsidRPr="003F314F">
        <w:rPr>
          <w:rFonts w:ascii="Calibri" w:hAnsi="Calibri" w:cs="Times LT Std"/>
        </w:rPr>
        <w:t xml:space="preserve"> (MAGA)</w:t>
      </w:r>
      <w:r w:rsidRPr="003F314F">
        <w:rPr>
          <w:rFonts w:ascii="Calibri" w:hAnsi="Calibri" w:cs="Times LT Std"/>
        </w:rPr>
        <w:t xml:space="preserve">. Por medio del Acuerdo Gubernativo No. 338-2010, Reglamento Orgánico Interno del </w:t>
      </w:r>
      <w:r w:rsidR="003F314F" w:rsidRPr="003F314F">
        <w:rPr>
          <w:rFonts w:ascii="Calibri" w:hAnsi="Calibri" w:cs="Times LT Std"/>
        </w:rPr>
        <w:t>MAGA</w:t>
      </w:r>
      <w:r w:rsidRPr="003F314F">
        <w:rPr>
          <w:rFonts w:ascii="Calibri" w:hAnsi="Calibri" w:cs="Times LT Std"/>
        </w:rPr>
        <w:t>, se propu</w:t>
      </w:r>
      <w:r w:rsidR="00D26B7F">
        <w:rPr>
          <w:rFonts w:ascii="Calibri" w:hAnsi="Calibri" w:cs="Times LT Std"/>
        </w:rPr>
        <w:t xml:space="preserve">sieron varias modificaciones, dentro de las cuales </w:t>
      </w:r>
      <w:r w:rsidRPr="003F314F">
        <w:rPr>
          <w:rFonts w:ascii="Calibri" w:hAnsi="Calibri" w:cs="Times LT Std"/>
        </w:rPr>
        <w:t>destaca la creación del Viceministerio de Desarrollo Rural (VIDER), con el objetivo de implementar y desarrollar programas y proyectos productivos agropecuarios en el área rural, promoverlos y comercializarlos nacional e internacional</w:t>
      </w:r>
      <w:r w:rsidR="00D26B7F">
        <w:rPr>
          <w:rFonts w:ascii="Calibri" w:hAnsi="Calibri" w:cs="Times LT Std"/>
        </w:rPr>
        <w:t>mente</w:t>
      </w:r>
      <w:r w:rsidRPr="003F314F">
        <w:rPr>
          <w:rFonts w:ascii="Calibri" w:hAnsi="Calibri" w:cs="Times LT Std"/>
        </w:rPr>
        <w:t xml:space="preserve">, </w:t>
      </w:r>
      <w:r w:rsidR="00D26B7F">
        <w:rPr>
          <w:rFonts w:ascii="Calibri" w:hAnsi="Calibri" w:cs="Times LT Std"/>
        </w:rPr>
        <w:t xml:space="preserve">y </w:t>
      </w:r>
      <w:r w:rsidRPr="003F314F">
        <w:rPr>
          <w:rFonts w:ascii="Calibri" w:hAnsi="Calibri" w:cs="Times LT Std"/>
        </w:rPr>
        <w:t>que permitan el impulso económico de los agricultores, mejorando sustancialmente su calidad de vida y</w:t>
      </w:r>
      <w:r w:rsidR="00D26B7F">
        <w:rPr>
          <w:rFonts w:ascii="Calibri" w:hAnsi="Calibri" w:cs="Times LT Std"/>
        </w:rPr>
        <w:t>,</w:t>
      </w:r>
      <w:r w:rsidRPr="003F314F">
        <w:rPr>
          <w:rFonts w:ascii="Calibri" w:hAnsi="Calibri" w:cs="Times LT Std"/>
        </w:rPr>
        <w:t xml:space="preserve"> por ende</w:t>
      </w:r>
      <w:r w:rsidR="00D26B7F">
        <w:rPr>
          <w:rFonts w:ascii="Calibri" w:hAnsi="Calibri" w:cs="Times LT Std"/>
        </w:rPr>
        <w:t>,</w:t>
      </w:r>
      <w:r w:rsidRPr="003F314F">
        <w:rPr>
          <w:rFonts w:ascii="Calibri" w:hAnsi="Calibri" w:cs="Times LT Std"/>
        </w:rPr>
        <w:t xml:space="preserve"> procurar la seguridad alimentaria.</w:t>
      </w:r>
    </w:p>
    <w:p w:rsidR="00B314F6" w:rsidRPr="003F314F" w:rsidRDefault="00B314F6" w:rsidP="00B314F6">
      <w:pPr>
        <w:pStyle w:val="CM4"/>
        <w:spacing w:line="240" w:lineRule="auto"/>
        <w:ind w:left="360"/>
        <w:jc w:val="both"/>
        <w:rPr>
          <w:rFonts w:ascii="Calibri" w:hAnsi="Calibri" w:cs="Times LT Std"/>
        </w:rPr>
      </w:pPr>
    </w:p>
    <w:p w:rsidR="00B314F6" w:rsidRPr="003F314F" w:rsidRDefault="00B314F6" w:rsidP="00B314F6">
      <w:pPr>
        <w:pStyle w:val="CM4"/>
        <w:spacing w:line="240" w:lineRule="auto"/>
        <w:ind w:left="360"/>
        <w:jc w:val="both"/>
        <w:rPr>
          <w:rFonts w:ascii="Calibri" w:hAnsi="Calibri" w:cs="Times LT Std"/>
        </w:rPr>
      </w:pPr>
      <w:r w:rsidRPr="003F314F">
        <w:rPr>
          <w:rFonts w:ascii="Calibri" w:hAnsi="Calibri" w:cs="Times LT Std"/>
        </w:rPr>
        <w:t>Bajo estos dos escenarios, se considera que la institucionalidad actual requiere</w:t>
      </w:r>
      <w:r w:rsidR="00D26B7F">
        <w:rPr>
          <w:rFonts w:ascii="Calibri" w:hAnsi="Calibri" w:cs="Times LT Std"/>
        </w:rPr>
        <w:t xml:space="preserve"> del</w:t>
      </w:r>
      <w:r w:rsidRPr="003F314F">
        <w:rPr>
          <w:rFonts w:ascii="Calibri" w:hAnsi="Calibri" w:cs="Times LT Std"/>
        </w:rPr>
        <w:t xml:space="preserve"> fortalecimiento pleno para lograr los objetivos planteados: 1) porque se establecen nuevas entidades públicas para atender la problemáti</w:t>
      </w:r>
      <w:r w:rsidR="00D26B7F">
        <w:rPr>
          <w:rFonts w:ascii="Calibri" w:hAnsi="Calibri" w:cs="Times LT Std"/>
        </w:rPr>
        <w:t>ca, y 2) las entidades actuales</w:t>
      </w:r>
      <w:r w:rsidRPr="003F314F">
        <w:rPr>
          <w:rFonts w:ascii="Calibri" w:hAnsi="Calibri" w:cs="Times LT Std"/>
        </w:rPr>
        <w:t xml:space="preserve"> han demostrado tener limitaciones para enfrentar un tema de esta naturaleza. </w:t>
      </w:r>
    </w:p>
    <w:p w:rsidR="00B314F6" w:rsidRPr="003F314F" w:rsidRDefault="00B314F6" w:rsidP="00B314F6">
      <w:pPr>
        <w:pStyle w:val="CM4"/>
        <w:spacing w:line="240" w:lineRule="auto"/>
        <w:ind w:left="360"/>
        <w:jc w:val="both"/>
        <w:rPr>
          <w:rFonts w:ascii="Calibri" w:hAnsi="Calibri" w:cs="Times LT Std"/>
        </w:rPr>
      </w:pPr>
    </w:p>
    <w:p w:rsidR="00B314F6" w:rsidRPr="003F314F" w:rsidRDefault="00D26B7F" w:rsidP="00B314F6">
      <w:pPr>
        <w:pStyle w:val="CM4"/>
        <w:spacing w:line="240" w:lineRule="auto"/>
        <w:ind w:left="360"/>
        <w:jc w:val="both"/>
        <w:rPr>
          <w:rFonts w:ascii="Calibri" w:hAnsi="Calibri" w:cs="Times LT Std"/>
        </w:rPr>
      </w:pPr>
      <w:r>
        <w:rPr>
          <w:rFonts w:ascii="Calibri" w:hAnsi="Calibri" w:cs="Times LT Std"/>
        </w:rPr>
        <w:t>En resumen,</w:t>
      </w:r>
      <w:r w:rsidR="00B314F6" w:rsidRPr="003F314F">
        <w:rPr>
          <w:rFonts w:ascii="Calibri" w:hAnsi="Calibri" w:cs="Times LT Std"/>
        </w:rPr>
        <w:t xml:space="preserve"> se puede indicar que en la actualidad </w:t>
      </w:r>
      <w:r>
        <w:rPr>
          <w:rFonts w:ascii="Calibri" w:hAnsi="Calibri" w:cs="Times LT Std"/>
        </w:rPr>
        <w:t>existen</w:t>
      </w:r>
      <w:r w:rsidR="00B314F6" w:rsidRPr="003F314F">
        <w:rPr>
          <w:rFonts w:ascii="Calibri" w:hAnsi="Calibri" w:cs="Times LT Std"/>
        </w:rPr>
        <w:t xml:space="preserve"> muchas incertidumbres sobre el tema, lo cual es una de las principales limitaciones para definir un marco de propuesta de fortalecimiento institucional ligado al desarrollo rural en el país. </w:t>
      </w:r>
    </w:p>
    <w:p w:rsidR="007F1C90" w:rsidRDefault="007F1C90" w:rsidP="007F453C">
      <w:pPr>
        <w:pStyle w:val="CM4"/>
        <w:spacing w:line="240" w:lineRule="auto"/>
        <w:ind w:left="360"/>
        <w:jc w:val="both"/>
        <w:rPr>
          <w:rFonts w:ascii="Calibri" w:hAnsi="Calibri" w:cs="Times LT Std"/>
        </w:rPr>
      </w:pPr>
    </w:p>
    <w:p w:rsidR="00E31B19" w:rsidRPr="001A01AB" w:rsidRDefault="00E31B19" w:rsidP="00E31B19">
      <w:pPr>
        <w:ind w:left="360"/>
        <w:jc w:val="both"/>
        <w:rPr>
          <w:rFonts w:ascii="Calibri" w:hAnsi="Calibri" w:cs="Calibri"/>
          <w:lang w:val="es-GT"/>
        </w:rPr>
      </w:pPr>
    </w:p>
    <w:p w:rsidR="00E31B19" w:rsidRPr="001A01AB" w:rsidRDefault="00E31B19" w:rsidP="004E2482">
      <w:pPr>
        <w:pStyle w:val="Prrafodelista"/>
        <w:numPr>
          <w:ilvl w:val="1"/>
          <w:numId w:val="55"/>
        </w:numPr>
        <w:autoSpaceDE w:val="0"/>
        <w:autoSpaceDN w:val="0"/>
        <w:adjustRightInd w:val="0"/>
        <w:spacing w:after="120" w:line="264" w:lineRule="auto"/>
        <w:ind w:left="720" w:hanging="720"/>
        <w:jc w:val="both"/>
        <w:outlineLvl w:val="1"/>
        <w:rPr>
          <w:rFonts w:cs="Calibri"/>
          <w:b/>
          <w:color w:val="365F91"/>
          <w:sz w:val="28"/>
          <w:lang w:eastAsia="es-GT"/>
        </w:rPr>
      </w:pPr>
      <w:bookmarkStart w:id="135" w:name="_Toc336951330"/>
      <w:bookmarkStart w:id="136" w:name="_Toc339926600"/>
      <w:bookmarkStart w:id="137" w:name="_Toc340065170"/>
      <w:bookmarkStart w:id="138" w:name="_Toc340065262"/>
      <w:bookmarkStart w:id="139" w:name="_Toc340565855"/>
      <w:bookmarkStart w:id="140" w:name="_Toc347841305"/>
      <w:r w:rsidRPr="001A01AB">
        <w:rPr>
          <w:rFonts w:cs="Calibri"/>
          <w:b/>
          <w:color w:val="365F91"/>
          <w:sz w:val="28"/>
          <w:lang w:eastAsia="es-GT"/>
        </w:rPr>
        <w:t>Definición del Marco de Referencia Estratégico (MRE)</w:t>
      </w:r>
      <w:bookmarkEnd w:id="135"/>
      <w:bookmarkEnd w:id="136"/>
      <w:bookmarkEnd w:id="137"/>
      <w:bookmarkEnd w:id="138"/>
      <w:bookmarkEnd w:id="139"/>
      <w:bookmarkEnd w:id="140"/>
    </w:p>
    <w:p w:rsidR="00E31B19" w:rsidRPr="001A01AB" w:rsidRDefault="00E31B19" w:rsidP="00E31B19">
      <w:pPr>
        <w:ind w:left="360"/>
        <w:jc w:val="both"/>
        <w:rPr>
          <w:rFonts w:ascii="Calibri" w:hAnsi="Calibri" w:cs="Calibri"/>
          <w:lang w:val="es-GT"/>
        </w:rPr>
      </w:pPr>
      <w:r w:rsidRPr="001A01AB">
        <w:rPr>
          <w:rFonts w:ascii="Calibri" w:hAnsi="Calibri" w:cs="Calibri"/>
          <w:lang w:val="es-GT"/>
        </w:rPr>
        <w:t>Los ámbitos temáticos del Desarrollo Rural Integral han sido abordados e</w:t>
      </w:r>
      <w:r w:rsidR="002A58B8">
        <w:rPr>
          <w:rFonts w:ascii="Calibri" w:hAnsi="Calibri" w:cs="Calibri"/>
          <w:lang w:val="es-GT"/>
        </w:rPr>
        <w:t>n diversos marcos legales y de p</w:t>
      </w:r>
      <w:r w:rsidRPr="001A01AB">
        <w:rPr>
          <w:rFonts w:ascii="Calibri" w:hAnsi="Calibri" w:cs="Calibri"/>
          <w:lang w:val="es-GT"/>
        </w:rPr>
        <w:t>olíticas. A nivel del marco legal, se incluye en el artículo 118 de la Consti</w:t>
      </w:r>
      <w:r w:rsidR="001A18D5">
        <w:rPr>
          <w:rFonts w:ascii="Calibri" w:hAnsi="Calibri" w:cs="Calibri"/>
          <w:lang w:val="es-GT"/>
        </w:rPr>
        <w:t xml:space="preserve">tución Política de la República, </w:t>
      </w:r>
      <w:r w:rsidRPr="001A01AB">
        <w:rPr>
          <w:rFonts w:ascii="Calibri" w:hAnsi="Calibri" w:cs="Calibri"/>
          <w:lang w:val="es-GT"/>
        </w:rPr>
        <w:t xml:space="preserve">que dice: “El régimen económico y social de la República de Guatemala se funda en principios de justicia social. Es obligación del Estado orientar la </w:t>
      </w:r>
      <w:r w:rsidRPr="001A01AB">
        <w:rPr>
          <w:rFonts w:ascii="Calibri" w:hAnsi="Calibri" w:cs="Calibri"/>
          <w:lang w:val="es-GT"/>
        </w:rPr>
        <w:lastRenderedPageBreak/>
        <w:t>economía nacional para lograr la utilización de los recursos naturales y el potencial humano, para incrementar la riqueza y tratar de lograr el pleno empleo y la equitativa distribución del ingreso nacional”.</w:t>
      </w:r>
    </w:p>
    <w:p w:rsidR="00E31B19" w:rsidRPr="001A01AB" w:rsidRDefault="00E31B19" w:rsidP="00E31B19">
      <w:pPr>
        <w:ind w:left="360"/>
        <w:jc w:val="both"/>
        <w:rPr>
          <w:rFonts w:ascii="Calibri" w:hAnsi="Calibri" w:cs="Calibri"/>
          <w:lang w:val="es-GT"/>
        </w:rPr>
      </w:pPr>
    </w:p>
    <w:p w:rsidR="00E31B19" w:rsidRPr="001A01AB" w:rsidRDefault="00E31B19" w:rsidP="004E2482">
      <w:pPr>
        <w:pStyle w:val="Prrafodelista"/>
        <w:numPr>
          <w:ilvl w:val="2"/>
          <w:numId w:val="55"/>
        </w:numPr>
        <w:spacing w:after="120"/>
        <w:jc w:val="both"/>
        <w:rPr>
          <w:rFonts w:cs="Calibri"/>
          <w:b/>
          <w:i/>
          <w:color w:val="365F91"/>
          <w:sz w:val="24"/>
          <w:szCs w:val="24"/>
        </w:rPr>
      </w:pPr>
      <w:bookmarkStart w:id="141" w:name="_Toc339926601"/>
      <w:r w:rsidRPr="001A01AB">
        <w:rPr>
          <w:rFonts w:cs="Calibri"/>
          <w:b/>
          <w:i/>
          <w:color w:val="365F91"/>
          <w:sz w:val="24"/>
          <w:szCs w:val="24"/>
        </w:rPr>
        <w:t xml:space="preserve">Políticas generales que orientan el </w:t>
      </w:r>
      <w:r w:rsidR="001A18D5" w:rsidRPr="001A01AB">
        <w:rPr>
          <w:rFonts w:cs="Calibri"/>
          <w:b/>
          <w:i/>
          <w:color w:val="365F91"/>
          <w:sz w:val="24"/>
          <w:szCs w:val="24"/>
        </w:rPr>
        <w:t>desarrollo rural integral</w:t>
      </w:r>
      <w:bookmarkEnd w:id="141"/>
    </w:p>
    <w:p w:rsidR="00E31B19" w:rsidRPr="001A01AB" w:rsidRDefault="00994ADC" w:rsidP="00994ADC">
      <w:pPr>
        <w:spacing w:after="120"/>
        <w:ind w:left="360"/>
        <w:jc w:val="both"/>
        <w:rPr>
          <w:rFonts w:ascii="Calibri" w:hAnsi="Calibri" w:cs="Calibri"/>
          <w:lang w:val="es-GT"/>
        </w:rPr>
      </w:pPr>
      <w:r>
        <w:rPr>
          <w:rFonts w:ascii="Calibri" w:hAnsi="Calibri" w:cs="Calibri"/>
          <w:lang w:val="es-GT"/>
        </w:rPr>
        <w:t>Dentro</w:t>
      </w:r>
      <w:r w:rsidR="00E31B19" w:rsidRPr="00994ADC">
        <w:rPr>
          <w:rFonts w:ascii="Calibri" w:hAnsi="Calibri" w:cs="Calibri"/>
          <w:lang w:val="es-GT"/>
        </w:rPr>
        <w:t xml:space="preserve"> del marco general de Política, esta temática se incluyó en los Acuerdos de Paz y en los </w:t>
      </w:r>
      <w:r w:rsidRPr="00994ADC">
        <w:rPr>
          <w:rFonts w:ascii="Calibri" w:hAnsi="Calibri" w:cs="Calibri"/>
          <w:lang w:val="es-GT"/>
        </w:rPr>
        <w:t>planes de gobierno</w:t>
      </w:r>
      <w:r w:rsidR="00E31B19" w:rsidRPr="00994ADC">
        <w:rPr>
          <w:rFonts w:ascii="Calibri" w:hAnsi="Calibri" w:cs="Calibri"/>
          <w:lang w:val="es-GT"/>
        </w:rPr>
        <w:t xml:space="preserve">. En los </w:t>
      </w:r>
      <w:r>
        <w:rPr>
          <w:rFonts w:ascii="Calibri" w:hAnsi="Calibri" w:cs="Calibri"/>
          <w:lang w:val="es-GT"/>
        </w:rPr>
        <w:t>primeros</w:t>
      </w:r>
      <w:r w:rsidR="00E31B19" w:rsidRPr="00994ADC">
        <w:rPr>
          <w:rFonts w:ascii="Calibri" w:hAnsi="Calibri" w:cs="Calibri"/>
          <w:lang w:val="es-GT"/>
        </w:rPr>
        <w:t xml:space="preserve">, </w:t>
      </w:r>
      <w:r>
        <w:rPr>
          <w:rFonts w:ascii="Calibri" w:hAnsi="Calibri" w:cs="Calibri"/>
          <w:lang w:val="es-GT"/>
        </w:rPr>
        <w:t>el</w:t>
      </w:r>
      <w:r w:rsidR="00E31B19" w:rsidRPr="00994ADC">
        <w:rPr>
          <w:rFonts w:ascii="Calibri" w:hAnsi="Calibri" w:cs="Calibri"/>
          <w:lang w:val="es-GT"/>
        </w:rPr>
        <w:t xml:space="preserve"> desa</w:t>
      </w:r>
      <w:r>
        <w:rPr>
          <w:rFonts w:ascii="Calibri" w:hAnsi="Calibri" w:cs="Calibri"/>
          <w:lang w:val="es-GT"/>
        </w:rPr>
        <w:t>rrollo rural integral se aborda</w:t>
      </w:r>
      <w:r w:rsidR="00E31B19" w:rsidRPr="00994ADC">
        <w:rPr>
          <w:rFonts w:ascii="Calibri" w:hAnsi="Calibri" w:cs="Calibri"/>
          <w:lang w:val="es-GT"/>
        </w:rPr>
        <w:t xml:space="preserve"> en el Acuerdo VI relativo a Aspectos Socioeconómicos y Situación Agraria, principalmente en “Situación Agraria y Desarrollo Rural” donde se </w:t>
      </w:r>
      <w:r>
        <w:rPr>
          <w:rFonts w:ascii="Calibri" w:hAnsi="Calibri" w:cs="Calibri"/>
          <w:lang w:val="es-GT"/>
        </w:rPr>
        <w:t>mencionan</w:t>
      </w:r>
      <w:r w:rsidR="00E31B19" w:rsidRPr="00994ADC">
        <w:rPr>
          <w:rFonts w:ascii="Calibri" w:hAnsi="Calibri" w:cs="Calibri"/>
          <w:lang w:val="es-GT"/>
        </w:rPr>
        <w:t xml:space="preserve"> temas como (CNAP, sf):</w:t>
      </w:r>
      <w:r w:rsidR="00E31B19" w:rsidRPr="001A01AB">
        <w:rPr>
          <w:rFonts w:ascii="Calibri" w:hAnsi="Calibri" w:cs="Calibri"/>
          <w:lang w:val="es-GT"/>
        </w:rPr>
        <w:t xml:space="preserve"> </w:t>
      </w:r>
    </w:p>
    <w:p w:rsidR="00E31B19" w:rsidRPr="001A01AB" w:rsidRDefault="00994ADC" w:rsidP="00E31B19">
      <w:pPr>
        <w:spacing w:after="120"/>
        <w:ind w:left="720" w:hanging="360"/>
        <w:jc w:val="both"/>
        <w:rPr>
          <w:rFonts w:ascii="Calibri" w:hAnsi="Calibri" w:cs="Calibri"/>
          <w:lang w:val="es-GT"/>
        </w:rPr>
      </w:pPr>
      <w:r>
        <w:rPr>
          <w:rFonts w:ascii="Calibri" w:hAnsi="Calibri" w:cs="Calibri"/>
          <w:lang w:val="es-GT"/>
        </w:rPr>
        <w:t>i) L</w:t>
      </w:r>
      <w:r w:rsidR="00E31B19" w:rsidRPr="001A01AB">
        <w:rPr>
          <w:rFonts w:ascii="Calibri" w:hAnsi="Calibri" w:cs="Calibri"/>
          <w:lang w:val="es-GT"/>
        </w:rPr>
        <w:t xml:space="preserve">a participación para el fortalecimiento de la organización rural y la participación de organizaciones campesinas, </w:t>
      </w:r>
    </w:p>
    <w:p w:rsidR="00E31B19" w:rsidRPr="001A01AB" w:rsidRDefault="00994ADC" w:rsidP="00E31B19">
      <w:pPr>
        <w:spacing w:after="120"/>
        <w:ind w:left="720" w:hanging="360"/>
        <w:jc w:val="both"/>
        <w:rPr>
          <w:rFonts w:ascii="Calibri" w:hAnsi="Calibri" w:cs="Calibri"/>
          <w:lang w:val="es-GT"/>
        </w:rPr>
      </w:pPr>
      <w:r>
        <w:rPr>
          <w:rFonts w:ascii="Calibri" w:hAnsi="Calibri" w:cs="Calibri"/>
          <w:lang w:val="es-GT"/>
        </w:rPr>
        <w:t>ii) A</w:t>
      </w:r>
      <w:r w:rsidR="00E31B19" w:rsidRPr="001A01AB">
        <w:rPr>
          <w:rFonts w:ascii="Calibri" w:hAnsi="Calibri" w:cs="Calibri"/>
          <w:lang w:val="es-GT"/>
        </w:rPr>
        <w:t xml:space="preserve">cceso a tierras y recursos productivos, </w:t>
      </w:r>
    </w:p>
    <w:p w:rsidR="00E31B19" w:rsidRPr="001A01AB" w:rsidRDefault="00E31B19" w:rsidP="00E31B19">
      <w:pPr>
        <w:spacing w:after="120"/>
        <w:ind w:left="720" w:hanging="360"/>
        <w:jc w:val="both"/>
        <w:rPr>
          <w:rFonts w:ascii="Calibri" w:hAnsi="Calibri" w:cs="Calibri"/>
          <w:lang w:val="es-GT"/>
        </w:rPr>
      </w:pPr>
      <w:r w:rsidRPr="001A01AB">
        <w:rPr>
          <w:rFonts w:ascii="Calibri" w:hAnsi="Calibri" w:cs="Calibri"/>
          <w:lang w:val="es-GT"/>
        </w:rPr>
        <w:t xml:space="preserve">iii) </w:t>
      </w:r>
      <w:r w:rsidR="00994ADC">
        <w:rPr>
          <w:rFonts w:ascii="Calibri" w:hAnsi="Calibri" w:cs="Calibri"/>
          <w:lang w:val="es-GT"/>
        </w:rPr>
        <w:t>E</w:t>
      </w:r>
      <w:r w:rsidRPr="001A01AB">
        <w:rPr>
          <w:rFonts w:ascii="Calibri" w:hAnsi="Calibri" w:cs="Calibri"/>
          <w:lang w:val="es-GT"/>
        </w:rPr>
        <w:t xml:space="preserve">structura de apoyo a través de infraestructura, créditos, capacitación, información y comercialización, </w:t>
      </w:r>
    </w:p>
    <w:p w:rsidR="00E31B19" w:rsidRPr="001A01AB" w:rsidRDefault="00994ADC" w:rsidP="00E31B19">
      <w:pPr>
        <w:spacing w:after="120"/>
        <w:ind w:left="720" w:hanging="360"/>
        <w:jc w:val="both"/>
        <w:rPr>
          <w:rFonts w:ascii="Calibri" w:hAnsi="Calibri" w:cs="Calibri"/>
          <w:lang w:val="es-GT"/>
        </w:rPr>
      </w:pPr>
      <w:r>
        <w:rPr>
          <w:rFonts w:ascii="Calibri" w:hAnsi="Calibri" w:cs="Calibri"/>
          <w:lang w:val="es-GT"/>
        </w:rPr>
        <w:t>iv) O</w:t>
      </w:r>
      <w:r w:rsidR="00E31B19" w:rsidRPr="001A01AB">
        <w:rPr>
          <w:rFonts w:ascii="Calibri" w:hAnsi="Calibri" w:cs="Calibri"/>
          <w:lang w:val="es-GT"/>
        </w:rPr>
        <w:t xml:space="preserve">rganización productiva de la población rural, </w:t>
      </w:r>
    </w:p>
    <w:p w:rsidR="00E31B19" w:rsidRPr="001A01AB" w:rsidRDefault="00994ADC" w:rsidP="00E31B19">
      <w:pPr>
        <w:spacing w:after="120"/>
        <w:ind w:left="720" w:hanging="360"/>
        <w:jc w:val="both"/>
        <w:rPr>
          <w:rFonts w:ascii="Calibri" w:hAnsi="Calibri" w:cs="Calibri"/>
          <w:lang w:val="es-GT"/>
        </w:rPr>
      </w:pPr>
      <w:r>
        <w:rPr>
          <w:rFonts w:ascii="Calibri" w:hAnsi="Calibri" w:cs="Calibri"/>
          <w:lang w:val="es-GT"/>
        </w:rPr>
        <w:t>v) M</w:t>
      </w:r>
      <w:r w:rsidR="00E31B19" w:rsidRPr="001A01AB">
        <w:rPr>
          <w:rFonts w:ascii="Calibri" w:hAnsi="Calibri" w:cs="Calibri"/>
          <w:lang w:val="es-GT"/>
        </w:rPr>
        <w:t xml:space="preserve">arco legal y seguridad jurídica, </w:t>
      </w:r>
    </w:p>
    <w:p w:rsidR="00E31B19" w:rsidRPr="001A01AB" w:rsidRDefault="00994ADC" w:rsidP="00E31B19">
      <w:pPr>
        <w:spacing w:after="120"/>
        <w:ind w:left="720" w:hanging="360"/>
        <w:jc w:val="both"/>
        <w:rPr>
          <w:rFonts w:ascii="Calibri" w:hAnsi="Calibri" w:cs="Calibri"/>
          <w:lang w:val="es-GT"/>
        </w:rPr>
      </w:pPr>
      <w:r>
        <w:rPr>
          <w:rFonts w:ascii="Calibri" w:hAnsi="Calibri" w:cs="Calibri"/>
          <w:lang w:val="es-GT"/>
        </w:rPr>
        <w:t>vi) P</w:t>
      </w:r>
      <w:r w:rsidR="00E31B19" w:rsidRPr="001A01AB">
        <w:rPr>
          <w:rFonts w:ascii="Calibri" w:hAnsi="Calibri" w:cs="Calibri"/>
          <w:lang w:val="es-GT"/>
        </w:rPr>
        <w:t xml:space="preserve">rotección laboral, </w:t>
      </w:r>
    </w:p>
    <w:p w:rsidR="00E31B19" w:rsidRPr="001A01AB" w:rsidRDefault="00994ADC" w:rsidP="00E31B19">
      <w:pPr>
        <w:spacing w:after="120"/>
        <w:ind w:left="720" w:hanging="360"/>
        <w:jc w:val="both"/>
        <w:rPr>
          <w:rFonts w:ascii="Calibri" w:hAnsi="Calibri" w:cs="Calibri"/>
          <w:lang w:val="es-GT"/>
        </w:rPr>
      </w:pPr>
      <w:r>
        <w:rPr>
          <w:rFonts w:ascii="Calibri" w:hAnsi="Calibri" w:cs="Calibri"/>
          <w:lang w:val="es-GT"/>
        </w:rPr>
        <w:t>vii) P</w:t>
      </w:r>
      <w:r w:rsidR="00E31B19" w:rsidRPr="001A01AB">
        <w:rPr>
          <w:rFonts w:ascii="Calibri" w:hAnsi="Calibri" w:cs="Calibri"/>
          <w:lang w:val="es-GT"/>
        </w:rPr>
        <w:t xml:space="preserve">rotección ambiental, y </w:t>
      </w:r>
    </w:p>
    <w:p w:rsidR="00E31B19" w:rsidRPr="001A01AB" w:rsidRDefault="00994ADC" w:rsidP="00E31B19">
      <w:pPr>
        <w:ind w:left="720" w:hanging="360"/>
        <w:jc w:val="both"/>
        <w:rPr>
          <w:rFonts w:ascii="Calibri" w:hAnsi="Calibri" w:cs="Calibri"/>
          <w:lang w:val="es-GT"/>
        </w:rPr>
      </w:pPr>
      <w:r>
        <w:rPr>
          <w:rFonts w:ascii="Calibri" w:hAnsi="Calibri" w:cs="Calibri"/>
          <w:lang w:val="es-GT"/>
        </w:rPr>
        <w:t>viii) R</w:t>
      </w:r>
      <w:r w:rsidR="00E31B19" w:rsidRPr="001A01AB">
        <w:rPr>
          <w:rFonts w:ascii="Calibri" w:hAnsi="Calibri" w:cs="Calibri"/>
          <w:lang w:val="es-GT"/>
        </w:rPr>
        <w:t xml:space="preserve">ecursos financieros. </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En lo relativo a los planes de gobierno, los ámbitos temáticos del </w:t>
      </w:r>
      <w:r w:rsidR="00994ADC" w:rsidRPr="001A01AB">
        <w:rPr>
          <w:rFonts w:ascii="Calibri" w:hAnsi="Calibri" w:cs="Calibri"/>
          <w:lang w:val="es-GT"/>
        </w:rPr>
        <w:t xml:space="preserve">desarrollo rural integral </w:t>
      </w:r>
      <w:r w:rsidRPr="001A01AB">
        <w:rPr>
          <w:rFonts w:ascii="Calibri" w:hAnsi="Calibri" w:cs="Calibri"/>
          <w:lang w:val="es-GT"/>
        </w:rPr>
        <w:t xml:space="preserve">se abordan en </w:t>
      </w:r>
      <w:r w:rsidR="00994ADC">
        <w:rPr>
          <w:rFonts w:ascii="Calibri" w:hAnsi="Calibri" w:cs="Calibri"/>
          <w:lang w:val="es-GT"/>
        </w:rPr>
        <w:t>el</w:t>
      </w:r>
      <w:r w:rsidRPr="001A01AB">
        <w:rPr>
          <w:rFonts w:ascii="Calibri" w:hAnsi="Calibri" w:cs="Calibri"/>
          <w:lang w:val="es-GT"/>
        </w:rPr>
        <w:t xml:space="preserve"> pacto Hambre Cero, </w:t>
      </w:r>
      <w:r w:rsidR="00994ADC">
        <w:rPr>
          <w:rFonts w:ascii="Calibri" w:hAnsi="Calibri" w:cs="Calibri"/>
          <w:lang w:val="es-GT"/>
        </w:rPr>
        <w:t xml:space="preserve">en el </w:t>
      </w:r>
      <w:r w:rsidRPr="001A01AB">
        <w:rPr>
          <w:rFonts w:ascii="Calibri" w:hAnsi="Calibri" w:cs="Calibri"/>
          <w:lang w:val="es-GT"/>
        </w:rPr>
        <w:t>Pacto Fiscal y de Competit</w:t>
      </w:r>
      <w:r w:rsidR="00994ADC">
        <w:rPr>
          <w:rFonts w:ascii="Calibri" w:hAnsi="Calibri" w:cs="Calibri"/>
          <w:lang w:val="es-GT"/>
        </w:rPr>
        <w:t>ividad, en el Eje de Infraestructura Productiva y Social para el Desarrollo y en el Eje de D</w:t>
      </w:r>
      <w:r w:rsidRPr="001A01AB">
        <w:rPr>
          <w:rFonts w:ascii="Calibri" w:hAnsi="Calibri" w:cs="Calibri"/>
          <w:lang w:val="es-GT"/>
        </w:rPr>
        <w:t xml:space="preserve">esarrollo </w:t>
      </w:r>
      <w:r w:rsidR="00994ADC">
        <w:rPr>
          <w:rFonts w:ascii="Calibri" w:hAnsi="Calibri" w:cs="Calibri"/>
          <w:lang w:val="es-GT"/>
        </w:rPr>
        <w:t>Rural S</w:t>
      </w:r>
      <w:r w:rsidRPr="001A01AB">
        <w:rPr>
          <w:rFonts w:ascii="Calibri" w:hAnsi="Calibri" w:cs="Calibri"/>
          <w:lang w:val="es-GT"/>
        </w:rPr>
        <w:t xml:space="preserve">ostenible (Figura </w:t>
      </w:r>
      <w:r w:rsidR="000C27D7">
        <w:rPr>
          <w:rFonts w:ascii="Calibri" w:hAnsi="Calibri" w:cs="Calibri"/>
          <w:lang w:val="es-GT"/>
        </w:rPr>
        <w:t>25</w:t>
      </w:r>
      <w:r w:rsidRPr="001A01AB">
        <w:rPr>
          <w:rFonts w:ascii="Calibri" w:hAnsi="Calibri" w:cs="Calibri"/>
          <w:lang w:val="es-GT"/>
        </w:rPr>
        <w:t xml:space="preserve">). </w:t>
      </w:r>
    </w:p>
    <w:p w:rsidR="00E31B19" w:rsidRDefault="00E31B19" w:rsidP="00E31B19">
      <w:pPr>
        <w:ind w:left="360"/>
        <w:jc w:val="both"/>
        <w:rPr>
          <w:rFonts w:ascii="Calibri" w:hAnsi="Calibri" w:cs="Calibri"/>
          <w:lang w:val="es-GT"/>
        </w:rPr>
      </w:pPr>
    </w:p>
    <w:p w:rsidR="003F314F" w:rsidRDefault="003F314F" w:rsidP="00E31B19">
      <w:pPr>
        <w:ind w:left="360"/>
        <w:jc w:val="both"/>
        <w:rPr>
          <w:rFonts w:ascii="Calibri" w:hAnsi="Calibri" w:cs="Calibri"/>
          <w:lang w:val="es-GT"/>
        </w:rPr>
      </w:pPr>
    </w:p>
    <w:p w:rsidR="003F314F" w:rsidRDefault="003F314F" w:rsidP="00E31B19">
      <w:pPr>
        <w:ind w:left="360"/>
        <w:jc w:val="both"/>
        <w:rPr>
          <w:rFonts w:ascii="Calibri" w:hAnsi="Calibri" w:cs="Calibri"/>
          <w:lang w:val="es-GT"/>
        </w:rPr>
      </w:pPr>
    </w:p>
    <w:p w:rsidR="003F314F" w:rsidRDefault="003F314F" w:rsidP="00E31B19">
      <w:pPr>
        <w:ind w:left="360"/>
        <w:jc w:val="both"/>
        <w:rPr>
          <w:rFonts w:ascii="Calibri" w:hAnsi="Calibri" w:cs="Calibri"/>
          <w:lang w:val="es-GT"/>
        </w:rPr>
      </w:pPr>
    </w:p>
    <w:p w:rsidR="003F314F" w:rsidRDefault="003F314F" w:rsidP="00E31B19">
      <w:pPr>
        <w:ind w:left="360"/>
        <w:jc w:val="both"/>
        <w:rPr>
          <w:rFonts w:ascii="Calibri" w:hAnsi="Calibri" w:cs="Calibri"/>
          <w:lang w:val="es-GT"/>
        </w:rPr>
      </w:pPr>
    </w:p>
    <w:p w:rsidR="003F314F" w:rsidRDefault="003F314F" w:rsidP="00E31B19">
      <w:pPr>
        <w:ind w:left="360"/>
        <w:jc w:val="both"/>
        <w:rPr>
          <w:rFonts w:ascii="Calibri" w:hAnsi="Calibri" w:cs="Calibri"/>
          <w:lang w:val="es-GT"/>
        </w:rPr>
      </w:pPr>
    </w:p>
    <w:p w:rsidR="003F314F" w:rsidRDefault="003F314F" w:rsidP="00E31B19">
      <w:pPr>
        <w:ind w:left="360"/>
        <w:jc w:val="both"/>
        <w:rPr>
          <w:rFonts w:ascii="Calibri" w:hAnsi="Calibri" w:cs="Calibri"/>
          <w:lang w:val="es-GT"/>
        </w:rPr>
      </w:pPr>
    </w:p>
    <w:p w:rsidR="00994ADC" w:rsidRDefault="00994ADC" w:rsidP="00E31B19">
      <w:pPr>
        <w:ind w:left="360"/>
        <w:jc w:val="both"/>
        <w:rPr>
          <w:rFonts w:ascii="Calibri" w:hAnsi="Calibri" w:cs="Calibri"/>
          <w:lang w:val="es-GT"/>
        </w:rPr>
      </w:pPr>
    </w:p>
    <w:p w:rsidR="00994ADC" w:rsidRDefault="00994ADC" w:rsidP="00E31B19">
      <w:pPr>
        <w:ind w:left="360"/>
        <w:jc w:val="both"/>
        <w:rPr>
          <w:rFonts w:ascii="Calibri" w:hAnsi="Calibri" w:cs="Calibri"/>
          <w:lang w:val="es-GT"/>
        </w:rPr>
      </w:pPr>
    </w:p>
    <w:p w:rsidR="00994ADC" w:rsidRDefault="00994ADC" w:rsidP="00E31B19">
      <w:pPr>
        <w:ind w:left="360"/>
        <w:jc w:val="both"/>
        <w:rPr>
          <w:rFonts w:ascii="Calibri" w:hAnsi="Calibri" w:cs="Calibri"/>
          <w:lang w:val="es-GT"/>
        </w:rPr>
      </w:pPr>
    </w:p>
    <w:p w:rsidR="00994ADC" w:rsidRDefault="00994ADC" w:rsidP="00E31B19">
      <w:pPr>
        <w:ind w:left="360"/>
        <w:jc w:val="both"/>
        <w:rPr>
          <w:rFonts w:ascii="Calibri" w:hAnsi="Calibri" w:cs="Calibri"/>
          <w:lang w:val="es-GT"/>
        </w:rPr>
      </w:pPr>
    </w:p>
    <w:p w:rsidR="00994ADC" w:rsidRDefault="00994ADC" w:rsidP="00E31B19">
      <w:pPr>
        <w:ind w:left="360"/>
        <w:jc w:val="both"/>
        <w:rPr>
          <w:rFonts w:ascii="Calibri" w:hAnsi="Calibri" w:cs="Calibri"/>
          <w:lang w:val="es-GT"/>
        </w:rPr>
      </w:pPr>
    </w:p>
    <w:p w:rsidR="00994ADC" w:rsidRDefault="00994ADC" w:rsidP="00E31B19">
      <w:pPr>
        <w:ind w:left="360"/>
        <w:jc w:val="both"/>
        <w:rPr>
          <w:rFonts w:ascii="Calibri" w:hAnsi="Calibri" w:cs="Calibri"/>
          <w:lang w:val="es-GT"/>
        </w:rPr>
      </w:pPr>
    </w:p>
    <w:p w:rsidR="00994ADC" w:rsidRDefault="00994ADC" w:rsidP="00E31B19">
      <w:pPr>
        <w:ind w:left="360"/>
        <w:jc w:val="both"/>
        <w:rPr>
          <w:rFonts w:ascii="Calibri" w:hAnsi="Calibri" w:cs="Calibri"/>
          <w:lang w:val="es-GT"/>
        </w:rPr>
      </w:pPr>
    </w:p>
    <w:p w:rsidR="003F314F" w:rsidRDefault="003F314F" w:rsidP="00E31B19">
      <w:pPr>
        <w:ind w:left="360"/>
        <w:jc w:val="both"/>
        <w:rPr>
          <w:rFonts w:ascii="Calibri" w:hAnsi="Calibri" w:cs="Calibri"/>
          <w:lang w:val="es-GT"/>
        </w:rPr>
      </w:pPr>
    </w:p>
    <w:p w:rsidR="003F314F" w:rsidRDefault="003F314F" w:rsidP="00E31B19">
      <w:pPr>
        <w:ind w:left="360"/>
        <w:jc w:val="both"/>
        <w:rPr>
          <w:rFonts w:ascii="Calibri" w:hAnsi="Calibri" w:cs="Calibri"/>
          <w:lang w:val="es-GT"/>
        </w:rPr>
      </w:pPr>
    </w:p>
    <w:p w:rsidR="00E31B19" w:rsidRPr="001A01AB" w:rsidRDefault="00E31B19" w:rsidP="00E31B19">
      <w:pPr>
        <w:spacing w:after="120"/>
        <w:jc w:val="center"/>
        <w:rPr>
          <w:rFonts w:ascii="Calibri" w:eastAsia="Calibri" w:hAnsi="Calibri" w:cs="Calibri"/>
          <w:b/>
          <w:color w:val="365F91"/>
          <w:sz w:val="22"/>
          <w:szCs w:val="22"/>
          <w:lang w:val="es-GT"/>
        </w:rPr>
      </w:pPr>
      <w:bookmarkStart w:id="142" w:name="_Toc339698676"/>
      <w:bookmarkStart w:id="143" w:name="_Toc347841248"/>
      <w:r w:rsidRPr="001A01AB">
        <w:rPr>
          <w:rFonts w:ascii="Calibri" w:eastAsia="Calibri" w:hAnsi="Calibri" w:cs="Calibri"/>
          <w:b/>
          <w:color w:val="365F91"/>
          <w:sz w:val="22"/>
          <w:szCs w:val="22"/>
          <w:lang w:val="es-GT"/>
        </w:rPr>
        <w:lastRenderedPageBreak/>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25</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Pactos y ejes del Plan de Gobierno, relacionados con el desarrollo rural integral</w:t>
      </w:r>
      <w:bookmarkEnd w:id="142"/>
      <w:bookmarkEnd w:id="143"/>
    </w:p>
    <w:p w:rsidR="00E31B19" w:rsidRPr="001A01AB" w:rsidRDefault="00544A9F" w:rsidP="00E31B19">
      <w:pPr>
        <w:autoSpaceDE w:val="0"/>
        <w:autoSpaceDN w:val="0"/>
        <w:adjustRightInd w:val="0"/>
        <w:ind w:left="360"/>
        <w:jc w:val="center"/>
        <w:rPr>
          <w:rFonts w:ascii="Calibri" w:eastAsia="Calibri" w:hAnsi="Calibri" w:cs="Calibri"/>
          <w:b/>
          <w:lang w:val="es-GT"/>
        </w:rPr>
      </w:pPr>
      <w:r>
        <w:rPr>
          <w:rFonts w:ascii="Calibri" w:eastAsia="Calibri" w:hAnsi="Calibri" w:cs="Calibri"/>
          <w:b/>
          <w:noProof/>
          <w:lang w:val="es-GT" w:eastAsia="es-GT"/>
        </w:rPr>
        <w:drawing>
          <wp:inline distT="0" distB="0" distL="0" distR="0" wp14:anchorId="70F176BE" wp14:editId="7A6547A3">
            <wp:extent cx="5777230" cy="3917315"/>
            <wp:effectExtent l="0" t="0" r="13970" b="64135"/>
            <wp:docPr id="30"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E31B19" w:rsidRPr="001A01AB" w:rsidRDefault="00E31B19" w:rsidP="00E31B19">
      <w:pPr>
        <w:ind w:left="720" w:right="562"/>
        <w:jc w:val="right"/>
        <w:rPr>
          <w:rFonts w:ascii="Calibri" w:eastAsia="Calibri" w:hAnsi="Calibri" w:cs="Calibri"/>
          <w:sz w:val="20"/>
          <w:szCs w:val="20"/>
          <w:lang w:val="es-GT"/>
        </w:rPr>
      </w:pPr>
      <w:r w:rsidRPr="001A01AB">
        <w:rPr>
          <w:rFonts w:ascii="Calibri" w:eastAsia="Calibri" w:hAnsi="Calibri" w:cs="Calibri"/>
          <w:sz w:val="20"/>
          <w:szCs w:val="20"/>
          <w:lang w:val="es-GT"/>
        </w:rPr>
        <w:t>Fuent</w:t>
      </w:r>
      <w:r w:rsidR="00994ADC">
        <w:rPr>
          <w:rFonts w:ascii="Calibri" w:eastAsia="Calibri" w:hAnsi="Calibri" w:cs="Calibri"/>
          <w:sz w:val="20"/>
          <w:szCs w:val="20"/>
          <w:lang w:val="es-GT"/>
        </w:rPr>
        <w:t>e: Elaboración propia con base en</w:t>
      </w:r>
      <w:r w:rsidRPr="001A01AB">
        <w:rPr>
          <w:rFonts w:ascii="Calibri" w:eastAsia="Calibri" w:hAnsi="Calibri" w:cs="Calibri"/>
          <w:sz w:val="20"/>
          <w:szCs w:val="20"/>
          <w:lang w:val="es-GT"/>
        </w:rPr>
        <w:t xml:space="preserve"> </w:t>
      </w:r>
      <w:r w:rsidRPr="0086148C">
        <w:rPr>
          <w:rFonts w:ascii="Calibri" w:eastAsia="Calibri" w:hAnsi="Calibri" w:cs="Calibri"/>
          <w:sz w:val="20"/>
          <w:szCs w:val="20"/>
          <w:highlight w:val="magenta"/>
          <w:lang w:val="es-GT"/>
        </w:rPr>
        <w:t>Plan de Gobierno 2012-2016.</w:t>
      </w:r>
    </w:p>
    <w:p w:rsidR="00E31B19" w:rsidRPr="001A01AB" w:rsidRDefault="00E31B19" w:rsidP="00E31B19">
      <w:pPr>
        <w:ind w:left="360"/>
        <w:jc w:val="both"/>
        <w:rPr>
          <w:rFonts w:ascii="Calibri" w:hAnsi="Calibri" w:cs="Calibri"/>
          <w:lang w:val="es-GT"/>
        </w:rPr>
      </w:pPr>
    </w:p>
    <w:p w:rsidR="00E31B19" w:rsidRPr="001A01AB" w:rsidRDefault="00062EE1" w:rsidP="00E31B19">
      <w:pPr>
        <w:ind w:left="360"/>
        <w:jc w:val="both"/>
        <w:rPr>
          <w:rFonts w:ascii="Calibri" w:hAnsi="Calibri" w:cs="Calibri"/>
          <w:lang w:val="es-GT"/>
        </w:rPr>
      </w:pPr>
      <w:r>
        <w:rPr>
          <w:rFonts w:ascii="Calibri" w:hAnsi="Calibri" w:cs="Calibri"/>
          <w:lang w:val="es-GT"/>
        </w:rPr>
        <w:t>En e</w:t>
      </w:r>
      <w:r w:rsidR="00E31B19" w:rsidRPr="001A01AB">
        <w:rPr>
          <w:rFonts w:ascii="Calibri" w:hAnsi="Calibri" w:cs="Calibri"/>
          <w:lang w:val="es-GT"/>
        </w:rPr>
        <w:t>l Pacto Hambre Cero, que fo</w:t>
      </w:r>
      <w:r>
        <w:rPr>
          <w:rFonts w:ascii="Calibri" w:hAnsi="Calibri" w:cs="Calibri"/>
          <w:lang w:val="es-GT"/>
        </w:rPr>
        <w:t>rma parte del Eje de Inclusión S</w:t>
      </w:r>
      <w:r w:rsidR="00E31B19" w:rsidRPr="001A01AB">
        <w:rPr>
          <w:rFonts w:ascii="Calibri" w:hAnsi="Calibri" w:cs="Calibri"/>
          <w:lang w:val="es-GT"/>
        </w:rPr>
        <w:t>ocial, la principal estrategia es “Cero hambre”, la cual aborda cinco frentes que incluyen</w:t>
      </w:r>
      <w:r>
        <w:rPr>
          <w:rFonts w:ascii="Calibri" w:hAnsi="Calibri" w:cs="Calibri"/>
          <w:lang w:val="es-GT"/>
        </w:rPr>
        <w:t xml:space="preserve"> medidas de emergencia y</w:t>
      </w:r>
      <w:r w:rsidR="00E31B19" w:rsidRPr="001A01AB">
        <w:rPr>
          <w:rFonts w:ascii="Calibri" w:hAnsi="Calibri" w:cs="Calibri"/>
          <w:lang w:val="es-GT"/>
        </w:rPr>
        <w:t xml:space="preserve"> estructurales. Estos frentes están relacionados con disponibilidad de alimentos, asistencia alimentaria, productividad familiar, educación y vigilancia nutricional</w:t>
      </w:r>
      <w:r>
        <w:rPr>
          <w:rFonts w:ascii="Calibri" w:hAnsi="Calibri" w:cs="Calibri"/>
          <w:lang w:val="es-GT"/>
        </w:rPr>
        <w:t>,</w:t>
      </w:r>
      <w:r w:rsidR="00E31B19" w:rsidRPr="001A01AB">
        <w:rPr>
          <w:rFonts w:ascii="Calibri" w:hAnsi="Calibri" w:cs="Calibri"/>
          <w:lang w:val="es-GT"/>
        </w:rPr>
        <w:t xml:space="preserve"> y articulación, movilización y control social. Las otras estrategias (hogares saludables, niñez preparada, jóvenes protagonistas y familias seguras) están relacionadas con garantizar servicios eficientes de salud, el mejoramiento del acceso y calidad de la educación en niños y jóvenes</w:t>
      </w:r>
      <w:r>
        <w:rPr>
          <w:rFonts w:ascii="Calibri" w:hAnsi="Calibri" w:cs="Calibri"/>
          <w:lang w:val="es-GT"/>
        </w:rPr>
        <w:t>,</w:t>
      </w:r>
      <w:r w:rsidR="00E31B19" w:rsidRPr="001A01AB">
        <w:rPr>
          <w:rFonts w:ascii="Calibri" w:hAnsi="Calibri" w:cs="Calibri"/>
          <w:lang w:val="es-GT"/>
        </w:rPr>
        <w:t xml:space="preserve"> y disminución de la vulnerabilidad de las familias. </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El Pacto Fiscal y de Competitividad está compuesto por cinco estrategias (Figura </w:t>
      </w:r>
      <w:r w:rsidR="000C27D7">
        <w:rPr>
          <w:rFonts w:ascii="Calibri" w:hAnsi="Calibri" w:cs="Calibri"/>
          <w:lang w:val="es-GT"/>
        </w:rPr>
        <w:t>25</w:t>
      </w:r>
      <w:r w:rsidRPr="001A01AB">
        <w:rPr>
          <w:rFonts w:ascii="Calibri" w:hAnsi="Calibri" w:cs="Calibri"/>
          <w:lang w:val="es-GT"/>
        </w:rPr>
        <w:t xml:space="preserve">). De éstas, es importante hacer alusión a </w:t>
      </w:r>
      <w:commentRangeStart w:id="144"/>
      <w:r w:rsidRPr="001A01AB">
        <w:rPr>
          <w:rFonts w:ascii="Calibri" w:hAnsi="Calibri" w:cs="Calibri"/>
          <w:lang w:val="es-GT"/>
        </w:rPr>
        <w:t xml:space="preserve">empleo seguro </w:t>
      </w:r>
      <w:commentRangeEnd w:id="144"/>
      <w:r w:rsidR="00062EE1">
        <w:rPr>
          <w:rStyle w:val="Refdecomentario"/>
        </w:rPr>
        <w:commentReference w:id="144"/>
      </w:r>
      <w:r w:rsidRPr="001A01AB">
        <w:rPr>
          <w:rFonts w:ascii="Calibri" w:hAnsi="Calibri" w:cs="Calibri"/>
          <w:lang w:val="es-GT"/>
        </w:rPr>
        <w:t xml:space="preserve">y ambiente y desarrollo. </w:t>
      </w:r>
      <w:r w:rsidR="00062EE1">
        <w:rPr>
          <w:rFonts w:ascii="Calibri" w:hAnsi="Calibri" w:cs="Calibri"/>
          <w:lang w:val="es-GT"/>
        </w:rPr>
        <w:t>L</w:t>
      </w:r>
      <w:r w:rsidRPr="001A01AB">
        <w:rPr>
          <w:rFonts w:ascii="Calibri" w:hAnsi="Calibri" w:cs="Calibri"/>
          <w:lang w:val="es-GT"/>
        </w:rPr>
        <w:t>a estrategia “Empleo Seguro” es importante para el desarrollo rural integral</w:t>
      </w:r>
      <w:r w:rsidR="008445D0">
        <w:rPr>
          <w:rFonts w:ascii="Calibri" w:hAnsi="Calibri" w:cs="Calibri"/>
          <w:lang w:val="es-GT"/>
        </w:rPr>
        <w:t>,</w:t>
      </w:r>
      <w:r w:rsidRPr="001A01AB">
        <w:rPr>
          <w:rFonts w:ascii="Calibri" w:hAnsi="Calibri" w:cs="Calibri"/>
          <w:lang w:val="es-GT"/>
        </w:rPr>
        <w:t xml:space="preserve"> dado que incluye el fortalecimiento de las MIPYMES, el aum</w:t>
      </w:r>
      <w:r w:rsidR="008445D0">
        <w:rPr>
          <w:rFonts w:ascii="Calibri" w:hAnsi="Calibri" w:cs="Calibri"/>
          <w:lang w:val="es-GT"/>
        </w:rPr>
        <w:t>ento del número de exportadores y</w:t>
      </w:r>
      <w:r w:rsidRPr="001A01AB">
        <w:rPr>
          <w:rFonts w:ascii="Calibri" w:hAnsi="Calibri" w:cs="Calibri"/>
          <w:lang w:val="es-GT"/>
        </w:rPr>
        <w:t xml:space="preserve"> </w:t>
      </w:r>
      <w:r w:rsidR="008445D0">
        <w:rPr>
          <w:rFonts w:ascii="Calibri" w:hAnsi="Calibri" w:cs="Calibri"/>
          <w:lang w:val="es-GT"/>
        </w:rPr>
        <w:t xml:space="preserve">la </w:t>
      </w:r>
      <w:r w:rsidRPr="001A01AB">
        <w:rPr>
          <w:rFonts w:ascii="Calibri" w:hAnsi="Calibri" w:cs="Calibri"/>
          <w:lang w:val="es-GT"/>
        </w:rPr>
        <w:t>promoción de</w:t>
      </w:r>
      <w:r w:rsidR="008445D0">
        <w:rPr>
          <w:rFonts w:ascii="Calibri" w:hAnsi="Calibri" w:cs="Calibri"/>
          <w:lang w:val="es-GT"/>
        </w:rPr>
        <w:t>l</w:t>
      </w:r>
      <w:r w:rsidRPr="001A01AB">
        <w:rPr>
          <w:rFonts w:ascii="Calibri" w:hAnsi="Calibri" w:cs="Calibri"/>
          <w:lang w:val="es-GT"/>
        </w:rPr>
        <w:t xml:space="preserve"> turismo, entre las más importantes. En la estrategia de </w:t>
      </w:r>
      <w:r w:rsidR="008445D0">
        <w:rPr>
          <w:rFonts w:ascii="Calibri" w:hAnsi="Calibri" w:cs="Calibri"/>
          <w:lang w:val="es-GT"/>
        </w:rPr>
        <w:t>“</w:t>
      </w:r>
      <w:r w:rsidRPr="001A01AB">
        <w:rPr>
          <w:rFonts w:ascii="Calibri" w:hAnsi="Calibri" w:cs="Calibri"/>
          <w:lang w:val="es-GT"/>
        </w:rPr>
        <w:t>ambiente y desarrollo</w:t>
      </w:r>
      <w:r w:rsidR="008445D0">
        <w:rPr>
          <w:rFonts w:ascii="Calibri" w:hAnsi="Calibri" w:cs="Calibri"/>
          <w:lang w:val="es-GT"/>
        </w:rPr>
        <w:t>”</w:t>
      </w:r>
      <w:r w:rsidRPr="001A01AB">
        <w:rPr>
          <w:rFonts w:ascii="Calibri" w:hAnsi="Calibri" w:cs="Calibri"/>
          <w:lang w:val="es-GT"/>
        </w:rPr>
        <w:t xml:space="preserve"> se abordan temas relacionados con la producción más limpia y reglas claras para la agilización de procedimientos de evaluación ambiental. </w:t>
      </w:r>
    </w:p>
    <w:p w:rsidR="00E31B19" w:rsidRPr="001A01AB" w:rsidRDefault="00E31B19" w:rsidP="00E31B19">
      <w:pPr>
        <w:ind w:left="360"/>
        <w:jc w:val="both"/>
        <w:rPr>
          <w:rFonts w:ascii="Calibri" w:hAnsi="Calibri" w:cs="Calibri"/>
          <w:lang w:val="es-GT"/>
        </w:rPr>
      </w:pPr>
    </w:p>
    <w:p w:rsidR="00E31B19" w:rsidRPr="001A01AB" w:rsidRDefault="008445D0" w:rsidP="00E31B19">
      <w:pPr>
        <w:ind w:left="360"/>
        <w:jc w:val="both"/>
        <w:rPr>
          <w:rFonts w:ascii="Calibri" w:hAnsi="Calibri" w:cs="Calibri"/>
          <w:lang w:val="es-GT"/>
        </w:rPr>
      </w:pPr>
      <w:r>
        <w:rPr>
          <w:rFonts w:ascii="Calibri" w:hAnsi="Calibri" w:cs="Calibri"/>
          <w:lang w:val="es-GT"/>
        </w:rPr>
        <w:t>El Eje de Infraestructura P</w:t>
      </w:r>
      <w:r w:rsidR="00E31B19" w:rsidRPr="001A01AB">
        <w:rPr>
          <w:rFonts w:ascii="Calibri" w:hAnsi="Calibri" w:cs="Calibri"/>
          <w:lang w:val="es-GT"/>
        </w:rPr>
        <w:t xml:space="preserve">roductiva y </w:t>
      </w:r>
      <w:r>
        <w:rPr>
          <w:rFonts w:ascii="Calibri" w:hAnsi="Calibri" w:cs="Calibri"/>
          <w:lang w:val="es-GT"/>
        </w:rPr>
        <w:t>Social para el D</w:t>
      </w:r>
      <w:r w:rsidR="00E31B19" w:rsidRPr="001A01AB">
        <w:rPr>
          <w:rFonts w:ascii="Calibri" w:hAnsi="Calibri" w:cs="Calibri"/>
          <w:lang w:val="es-GT"/>
        </w:rPr>
        <w:t xml:space="preserve">esarrollo se relaciona con el </w:t>
      </w:r>
      <w:r w:rsidRPr="001A01AB">
        <w:rPr>
          <w:rFonts w:ascii="Calibri" w:hAnsi="Calibri" w:cs="Calibri"/>
          <w:lang w:val="es-GT"/>
        </w:rPr>
        <w:t>desarrollo rural integral</w:t>
      </w:r>
      <w:r>
        <w:rPr>
          <w:rFonts w:ascii="Calibri" w:hAnsi="Calibri" w:cs="Calibri"/>
          <w:lang w:val="es-GT"/>
        </w:rPr>
        <w:t>,</w:t>
      </w:r>
      <w:r w:rsidRPr="001A01AB">
        <w:rPr>
          <w:rFonts w:ascii="Calibri" w:hAnsi="Calibri" w:cs="Calibri"/>
          <w:lang w:val="es-GT"/>
        </w:rPr>
        <w:t xml:space="preserve"> </w:t>
      </w:r>
      <w:r w:rsidR="00E31B19" w:rsidRPr="001A01AB">
        <w:rPr>
          <w:rFonts w:ascii="Calibri" w:hAnsi="Calibri" w:cs="Calibri"/>
          <w:lang w:val="es-GT"/>
        </w:rPr>
        <w:t xml:space="preserve">ya que pretende mejorar la infraestructura productiva y social del país, con </w:t>
      </w:r>
      <w:r w:rsidR="00E31B19" w:rsidRPr="001A01AB">
        <w:rPr>
          <w:rFonts w:ascii="Calibri" w:hAnsi="Calibri" w:cs="Calibri"/>
          <w:lang w:val="es-GT"/>
        </w:rPr>
        <w:lastRenderedPageBreak/>
        <w:t>especial énfasis en atender: a) las deficiencias de acceso de los guatemaltecos a electrificación rural, servicios sanitarios, agua potable, alcantarillado, vivienda, centros de salud, hospitales y escuelas</w:t>
      </w:r>
      <w:r>
        <w:rPr>
          <w:rFonts w:ascii="Calibri" w:hAnsi="Calibri" w:cs="Calibri"/>
          <w:lang w:val="es-GT"/>
        </w:rPr>
        <w:t>;</w:t>
      </w:r>
      <w:r w:rsidR="00E31B19" w:rsidRPr="001A01AB">
        <w:rPr>
          <w:rFonts w:ascii="Calibri" w:hAnsi="Calibri" w:cs="Calibri"/>
          <w:lang w:val="es-GT"/>
        </w:rPr>
        <w:t xml:space="preserve"> y b) las condiciones (energía, puertos, aeropuertos y conectividad). Esto indudablemente ayudará a mejorar </w:t>
      </w:r>
      <w:r>
        <w:rPr>
          <w:rFonts w:ascii="Calibri" w:hAnsi="Calibri" w:cs="Calibri"/>
          <w:lang w:val="es-GT"/>
        </w:rPr>
        <w:t xml:space="preserve">tanto </w:t>
      </w:r>
      <w:r w:rsidR="00E31B19" w:rsidRPr="001A01AB">
        <w:rPr>
          <w:rFonts w:ascii="Calibri" w:hAnsi="Calibri" w:cs="Calibri"/>
          <w:lang w:val="es-GT"/>
        </w:rPr>
        <w:t xml:space="preserve">las condiciones de vida </w:t>
      </w:r>
      <w:r>
        <w:rPr>
          <w:rFonts w:ascii="Calibri" w:hAnsi="Calibri" w:cs="Calibri"/>
          <w:lang w:val="es-GT"/>
        </w:rPr>
        <w:t>como las</w:t>
      </w:r>
      <w:r w:rsidR="00E31B19" w:rsidRPr="001A01AB">
        <w:rPr>
          <w:rFonts w:ascii="Calibri" w:hAnsi="Calibri" w:cs="Calibri"/>
          <w:lang w:val="es-GT"/>
        </w:rPr>
        <w:t xml:space="preserve"> de empleo y acceso a mercados de todo el país.</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Es importante mencionar el Eje de Desarrollo Rural Sostenible</w:t>
      </w:r>
      <w:r w:rsidR="00BE41C6">
        <w:rPr>
          <w:rFonts w:ascii="Calibri" w:hAnsi="Calibri" w:cs="Calibri"/>
          <w:lang w:val="es-GT"/>
        </w:rPr>
        <w:t>, el cual tiene por objeto “e</w:t>
      </w:r>
      <w:r w:rsidRPr="001A01AB">
        <w:rPr>
          <w:rFonts w:ascii="Calibri" w:hAnsi="Calibri" w:cs="Calibri"/>
          <w:lang w:val="es-GT"/>
        </w:rPr>
        <w:t>levar el nivel de vida de las poblaciones del área rural a partir de garantizar la seguridad alimentaria y reducir la vulnerabilidad ambiental en los mismos, generando un proceso virtuoso que permita la creación de capitales (humano, natural, económico y social) y esto</w:t>
      </w:r>
      <w:r w:rsidR="00BE41C6">
        <w:rPr>
          <w:rFonts w:ascii="Calibri" w:hAnsi="Calibri" w:cs="Calibri"/>
          <w:lang w:val="es-GT"/>
        </w:rPr>
        <w:t>,</w:t>
      </w:r>
      <w:r w:rsidRPr="001A01AB">
        <w:rPr>
          <w:rFonts w:ascii="Calibri" w:hAnsi="Calibri" w:cs="Calibri"/>
          <w:lang w:val="es-GT"/>
        </w:rPr>
        <w:t xml:space="preserve"> a su vez</w:t>
      </w:r>
      <w:r w:rsidR="00BE41C6">
        <w:rPr>
          <w:rFonts w:ascii="Calibri" w:hAnsi="Calibri" w:cs="Calibri"/>
          <w:lang w:val="es-GT"/>
        </w:rPr>
        <w:t>,</w:t>
      </w:r>
      <w:r w:rsidRPr="001A01AB">
        <w:rPr>
          <w:rFonts w:ascii="Calibri" w:hAnsi="Calibri" w:cs="Calibri"/>
          <w:lang w:val="es-GT"/>
        </w:rPr>
        <w:t xml:space="preserve"> promueva el desarrollo sostenible e integral”. En ese sentido, </w:t>
      </w:r>
      <w:r w:rsidR="00BE41C6">
        <w:rPr>
          <w:rFonts w:ascii="Calibri" w:hAnsi="Calibri" w:cs="Calibri"/>
          <w:lang w:val="es-GT"/>
        </w:rPr>
        <w:t>este eje</w:t>
      </w:r>
      <w:r w:rsidRPr="001A01AB">
        <w:rPr>
          <w:rFonts w:ascii="Calibri" w:hAnsi="Calibri" w:cs="Calibri"/>
          <w:lang w:val="es-GT"/>
        </w:rPr>
        <w:t xml:space="preserve"> se ejecut</w:t>
      </w:r>
      <w:r w:rsidR="00D51A84" w:rsidRPr="001A01AB">
        <w:rPr>
          <w:rFonts w:ascii="Calibri" w:hAnsi="Calibri" w:cs="Calibri"/>
          <w:lang w:val="es-GT"/>
        </w:rPr>
        <w:t>ó</w:t>
      </w:r>
      <w:r w:rsidRPr="001A01AB">
        <w:rPr>
          <w:rFonts w:ascii="Calibri" w:hAnsi="Calibri" w:cs="Calibri"/>
          <w:lang w:val="es-GT"/>
        </w:rPr>
        <w:t xml:space="preserve"> a través de las estrategias: a) ingreso rural, economías de subsistencia y encadenamientos productivos, b) recuperación de agua suelo y bosque, c) recursos naturales para hoy y mañana, d) ordenamiento territorial</w:t>
      </w:r>
      <w:r w:rsidR="00BE41C6">
        <w:rPr>
          <w:rFonts w:ascii="Calibri" w:hAnsi="Calibri" w:cs="Calibri"/>
          <w:lang w:val="es-GT"/>
        </w:rPr>
        <w:t>,</w:t>
      </w:r>
      <w:r w:rsidRPr="001A01AB">
        <w:rPr>
          <w:rFonts w:ascii="Calibri" w:hAnsi="Calibri" w:cs="Calibri"/>
          <w:lang w:val="es-GT"/>
        </w:rPr>
        <w:t xml:space="preserve"> y e) certeza jurídica.</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De acuerdo con lo expuesto, se observa que los ámbitos temáticos del </w:t>
      </w:r>
      <w:r w:rsidR="00BE41C6" w:rsidRPr="001A01AB">
        <w:rPr>
          <w:rFonts w:ascii="Calibri" w:hAnsi="Calibri" w:cs="Calibri"/>
          <w:lang w:val="es-GT"/>
        </w:rPr>
        <w:t xml:space="preserve">desarrollo rural integral </w:t>
      </w:r>
      <w:r w:rsidRPr="001A01AB">
        <w:rPr>
          <w:rFonts w:ascii="Calibri" w:hAnsi="Calibri" w:cs="Calibri"/>
          <w:lang w:val="es-GT"/>
        </w:rPr>
        <w:t xml:space="preserve">son ampliamente abordados en las </w:t>
      </w:r>
      <w:r w:rsidR="00BE41C6" w:rsidRPr="001A01AB">
        <w:rPr>
          <w:rFonts w:ascii="Calibri" w:hAnsi="Calibri" w:cs="Calibri"/>
          <w:lang w:val="es-GT"/>
        </w:rPr>
        <w:t xml:space="preserve">políticas generales de gobierno </w:t>
      </w:r>
      <w:r w:rsidRPr="001A01AB">
        <w:rPr>
          <w:rFonts w:ascii="Calibri" w:hAnsi="Calibri" w:cs="Calibri"/>
          <w:lang w:val="es-GT"/>
        </w:rPr>
        <w:t>(Acuerdos de Paz y Plan de Gobierno). Sin embargo, muchas de las acciones planteadas no han sido implementadas a través de los instrumentos de la política pública del país.</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p>
    <w:p w:rsidR="00E31B19" w:rsidRPr="001A01AB" w:rsidRDefault="00E31B19" w:rsidP="004E2482">
      <w:pPr>
        <w:pStyle w:val="Prrafodelista"/>
        <w:numPr>
          <w:ilvl w:val="2"/>
          <w:numId w:val="55"/>
        </w:numPr>
        <w:spacing w:after="120"/>
        <w:jc w:val="both"/>
        <w:rPr>
          <w:rFonts w:cs="Calibri"/>
          <w:b/>
          <w:i/>
          <w:color w:val="365F91"/>
          <w:sz w:val="24"/>
          <w:szCs w:val="24"/>
        </w:rPr>
      </w:pPr>
      <w:bookmarkStart w:id="145" w:name="_Toc339926602"/>
      <w:r w:rsidRPr="001A01AB">
        <w:rPr>
          <w:rFonts w:cs="Calibri"/>
          <w:b/>
          <w:i/>
          <w:color w:val="365F91"/>
          <w:sz w:val="24"/>
          <w:szCs w:val="24"/>
        </w:rPr>
        <w:t xml:space="preserve">Políticas transectoriales y sectoriales que orientan el </w:t>
      </w:r>
      <w:r w:rsidR="00BE41C6" w:rsidRPr="001A01AB">
        <w:rPr>
          <w:rFonts w:cs="Calibri"/>
          <w:b/>
          <w:i/>
          <w:color w:val="365F91"/>
          <w:sz w:val="24"/>
          <w:szCs w:val="24"/>
        </w:rPr>
        <w:t>desarrollo rural integral</w:t>
      </w:r>
      <w:bookmarkEnd w:id="145"/>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Las principales </w:t>
      </w:r>
      <w:r w:rsidR="00BE41C6">
        <w:rPr>
          <w:rFonts w:ascii="Calibri" w:hAnsi="Calibri" w:cs="Calibri"/>
          <w:lang w:val="es-GT"/>
        </w:rPr>
        <w:t>p</w:t>
      </w:r>
      <w:r w:rsidRPr="001A01AB">
        <w:rPr>
          <w:rFonts w:ascii="Calibri" w:hAnsi="Calibri" w:cs="Calibri"/>
          <w:lang w:val="es-GT"/>
        </w:rPr>
        <w:t xml:space="preserve">olíticas transectoriales que incluyen el tema de </w:t>
      </w:r>
      <w:r w:rsidR="00BE41C6" w:rsidRPr="001A01AB">
        <w:rPr>
          <w:rFonts w:ascii="Calibri" w:hAnsi="Calibri" w:cs="Calibri"/>
          <w:bCs/>
          <w:lang w:val="es-GT"/>
        </w:rPr>
        <w:t>desarrollo rural integral</w:t>
      </w:r>
      <w:r w:rsidR="00BE41C6" w:rsidRPr="001A01AB">
        <w:rPr>
          <w:rFonts w:ascii="Calibri" w:hAnsi="Calibri" w:cs="Calibri"/>
          <w:lang w:val="es-GT"/>
        </w:rPr>
        <w:t xml:space="preserve"> </w:t>
      </w:r>
      <w:r w:rsidRPr="001A01AB">
        <w:rPr>
          <w:rFonts w:ascii="Calibri" w:hAnsi="Calibri" w:cs="Calibri"/>
          <w:lang w:val="es-GT"/>
        </w:rPr>
        <w:t>en su estructura son: a) Política Nacional de Desarrollo Rural Integral, b) Política Nacional de Seguridad Alimentaria y Nutricional, c) Política Nacional de Descentralización</w:t>
      </w:r>
      <w:r w:rsidR="00BE41C6">
        <w:rPr>
          <w:rFonts w:ascii="Calibri" w:hAnsi="Calibri" w:cs="Calibri"/>
          <w:lang w:val="es-GT"/>
        </w:rPr>
        <w:t>,</w:t>
      </w:r>
      <w:r w:rsidRPr="001A01AB">
        <w:rPr>
          <w:rFonts w:ascii="Calibri" w:hAnsi="Calibri" w:cs="Calibri"/>
          <w:lang w:val="es-GT"/>
        </w:rPr>
        <w:t xml:space="preserve"> y d) Política de Desarrollo Social y Población (Figura </w:t>
      </w:r>
      <w:r w:rsidR="000C27D7">
        <w:rPr>
          <w:rFonts w:ascii="Calibri" w:hAnsi="Calibri" w:cs="Calibri"/>
          <w:lang w:val="es-GT"/>
        </w:rPr>
        <w:t>2</w:t>
      </w:r>
      <w:r w:rsidRPr="001A01AB">
        <w:rPr>
          <w:rFonts w:ascii="Calibri" w:hAnsi="Calibri" w:cs="Calibri"/>
          <w:lang w:val="es-GT"/>
        </w:rPr>
        <w:t>6).</w:t>
      </w:r>
    </w:p>
    <w:p w:rsidR="00E31B19" w:rsidRDefault="00E31B19"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0D70BF" w:rsidRDefault="000D70BF" w:rsidP="00E31B19">
      <w:pPr>
        <w:ind w:left="360"/>
        <w:jc w:val="both"/>
        <w:rPr>
          <w:rFonts w:ascii="Calibri" w:hAnsi="Calibri" w:cs="Calibri"/>
          <w:lang w:val="es-GT"/>
        </w:rPr>
      </w:pPr>
    </w:p>
    <w:p w:rsidR="000D70BF" w:rsidRDefault="000D70BF"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Default="00BE41C6" w:rsidP="00E31B19">
      <w:pPr>
        <w:ind w:left="360"/>
        <w:jc w:val="both"/>
        <w:rPr>
          <w:rFonts w:ascii="Calibri" w:hAnsi="Calibri" w:cs="Calibri"/>
          <w:lang w:val="es-GT"/>
        </w:rPr>
      </w:pPr>
    </w:p>
    <w:p w:rsidR="00BE41C6" w:rsidRPr="001A01AB" w:rsidRDefault="00BE41C6" w:rsidP="00E31B19">
      <w:pPr>
        <w:ind w:left="360"/>
        <w:jc w:val="both"/>
        <w:rPr>
          <w:rFonts w:ascii="Calibri" w:hAnsi="Calibri" w:cs="Calibri"/>
          <w:lang w:val="es-GT"/>
        </w:rPr>
      </w:pPr>
    </w:p>
    <w:p w:rsidR="005F44C3" w:rsidRPr="001A01AB" w:rsidRDefault="005F44C3" w:rsidP="00E31B19">
      <w:pPr>
        <w:ind w:left="360"/>
        <w:jc w:val="both"/>
        <w:rPr>
          <w:rFonts w:ascii="Calibri" w:hAnsi="Calibri" w:cs="Calibri"/>
          <w:lang w:val="es-GT"/>
        </w:rPr>
      </w:pPr>
    </w:p>
    <w:p w:rsidR="00E31B19" w:rsidRPr="001A01AB" w:rsidRDefault="00E31B19" w:rsidP="00E31B19">
      <w:pPr>
        <w:spacing w:after="120"/>
        <w:jc w:val="center"/>
        <w:rPr>
          <w:rFonts w:ascii="Calibri" w:eastAsia="Calibri" w:hAnsi="Calibri" w:cs="Calibri"/>
          <w:b/>
          <w:color w:val="365F91"/>
          <w:sz w:val="22"/>
          <w:szCs w:val="22"/>
          <w:lang w:val="es-GT"/>
        </w:rPr>
      </w:pPr>
      <w:bookmarkStart w:id="146" w:name="_Toc339698677"/>
      <w:bookmarkStart w:id="147" w:name="_Toc347841249"/>
      <w:r w:rsidRPr="001A01AB">
        <w:rPr>
          <w:rFonts w:ascii="Calibri" w:eastAsia="Calibri" w:hAnsi="Calibri" w:cs="Calibri"/>
          <w:b/>
          <w:color w:val="365F91"/>
          <w:sz w:val="22"/>
          <w:szCs w:val="22"/>
          <w:lang w:val="es-GT"/>
        </w:rPr>
        <w:lastRenderedPageBreak/>
        <w:t xml:space="preserve">Figura </w:t>
      </w:r>
      <w:r w:rsidR="004D1F6A" w:rsidRPr="001A01AB">
        <w:rPr>
          <w:rFonts w:ascii="Calibri" w:eastAsia="Calibri" w:hAnsi="Calibri" w:cs="Calibri"/>
          <w:b/>
          <w:color w:val="365F91"/>
          <w:sz w:val="22"/>
          <w:szCs w:val="22"/>
          <w:lang w:val="es-GT"/>
        </w:rPr>
        <w:fldChar w:fldCharType="begin"/>
      </w:r>
      <w:r w:rsidRPr="001A01AB">
        <w:rPr>
          <w:rFonts w:ascii="Calibri" w:eastAsia="Calibri" w:hAnsi="Calibri" w:cs="Calibri"/>
          <w:b/>
          <w:color w:val="365F91"/>
          <w:sz w:val="22"/>
          <w:szCs w:val="22"/>
          <w:lang w:val="es-GT"/>
        </w:rPr>
        <w:instrText xml:space="preserve"> SEQ Figura \* ARABIC </w:instrText>
      </w:r>
      <w:r w:rsidR="004D1F6A" w:rsidRPr="001A01AB">
        <w:rPr>
          <w:rFonts w:ascii="Calibri" w:eastAsia="Calibri" w:hAnsi="Calibri" w:cs="Calibri"/>
          <w:b/>
          <w:color w:val="365F91"/>
          <w:sz w:val="22"/>
          <w:szCs w:val="22"/>
          <w:lang w:val="es-GT"/>
        </w:rPr>
        <w:fldChar w:fldCharType="separate"/>
      </w:r>
      <w:r w:rsidR="008C1EE0">
        <w:rPr>
          <w:rFonts w:ascii="Calibri" w:eastAsia="Calibri" w:hAnsi="Calibri" w:cs="Calibri"/>
          <w:b/>
          <w:color w:val="365F91"/>
          <w:sz w:val="22"/>
          <w:szCs w:val="22"/>
          <w:lang w:val="es-GT"/>
        </w:rPr>
        <w:t>26</w:t>
      </w:r>
      <w:r w:rsidR="004D1F6A" w:rsidRPr="001A01AB">
        <w:rPr>
          <w:rFonts w:ascii="Calibri" w:eastAsia="Calibri" w:hAnsi="Calibri" w:cs="Calibri"/>
          <w:b/>
          <w:color w:val="365F91"/>
          <w:sz w:val="22"/>
          <w:szCs w:val="22"/>
          <w:lang w:val="es-GT"/>
        </w:rPr>
        <w:fldChar w:fldCharType="end"/>
      </w:r>
      <w:r w:rsidRPr="001A01AB">
        <w:rPr>
          <w:rFonts w:ascii="Calibri" w:eastAsia="Calibri" w:hAnsi="Calibri" w:cs="Calibri"/>
          <w:b/>
          <w:color w:val="365F91"/>
          <w:sz w:val="22"/>
          <w:szCs w:val="22"/>
          <w:lang w:val="es-GT"/>
        </w:rPr>
        <w:t xml:space="preserve">. Políticas públicas transectoriales y sectoriales relacionadas con el </w:t>
      </w:r>
      <w:bookmarkEnd w:id="146"/>
      <w:r w:rsidR="00BE41C6">
        <w:rPr>
          <w:rFonts w:ascii="Calibri" w:eastAsia="Calibri" w:hAnsi="Calibri" w:cs="Calibri"/>
          <w:b/>
          <w:color w:val="365F91"/>
          <w:sz w:val="22"/>
          <w:szCs w:val="22"/>
          <w:lang w:val="es-GT"/>
        </w:rPr>
        <w:t>desarrollo rural integral</w:t>
      </w:r>
      <w:bookmarkEnd w:id="147"/>
    </w:p>
    <w:p w:rsidR="00E31B19" w:rsidRPr="001A01AB" w:rsidRDefault="00544A9F" w:rsidP="00E31B19">
      <w:pPr>
        <w:autoSpaceDE w:val="0"/>
        <w:autoSpaceDN w:val="0"/>
        <w:adjustRightInd w:val="0"/>
        <w:ind w:left="360"/>
        <w:jc w:val="center"/>
        <w:rPr>
          <w:rFonts w:ascii="Calibri" w:hAnsi="Calibri" w:cs="Calibri"/>
          <w:lang w:val="es-ES"/>
        </w:rPr>
      </w:pPr>
      <w:r>
        <w:rPr>
          <w:rFonts w:ascii="Calibri" w:hAnsi="Calibri" w:cs="Calibri"/>
          <w:noProof/>
          <w:lang w:val="es-GT" w:eastAsia="es-GT"/>
        </w:rPr>
        <w:drawing>
          <wp:inline distT="0" distB="0" distL="0" distR="0" wp14:anchorId="1A7A38B8" wp14:editId="5DDEB219">
            <wp:extent cx="4819650" cy="2495550"/>
            <wp:effectExtent l="0" t="0" r="0" b="0"/>
            <wp:docPr id="31" name="Diagram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13"/>
                    <pic:cNvPicPr>
                      <a:picLocks noChangeAspect="1" noChangeArrowheads="1"/>
                    </pic:cNvPicPr>
                  </pic:nvPicPr>
                  <pic:blipFill>
                    <a:blip r:embed="rId51">
                      <a:extLst>
                        <a:ext uri="{28A0092B-C50C-407E-A947-70E740481C1C}">
                          <a14:useLocalDpi xmlns:a14="http://schemas.microsoft.com/office/drawing/2010/main" val="0"/>
                        </a:ext>
                      </a:extLst>
                    </a:blip>
                    <a:srcRect t="-3516" b="-2568"/>
                    <a:stretch>
                      <a:fillRect/>
                    </a:stretch>
                  </pic:blipFill>
                  <pic:spPr bwMode="auto">
                    <a:xfrm>
                      <a:off x="0" y="0"/>
                      <a:ext cx="4819650" cy="2495550"/>
                    </a:xfrm>
                    <a:prstGeom prst="rect">
                      <a:avLst/>
                    </a:prstGeom>
                    <a:noFill/>
                    <a:ln>
                      <a:noFill/>
                    </a:ln>
                  </pic:spPr>
                </pic:pic>
              </a:graphicData>
            </a:graphic>
          </wp:inline>
        </w:drawing>
      </w:r>
    </w:p>
    <w:p w:rsidR="00E31B19" w:rsidRDefault="00E31B19" w:rsidP="00E31B19">
      <w:pPr>
        <w:ind w:left="720" w:right="562"/>
        <w:jc w:val="right"/>
        <w:rPr>
          <w:rFonts w:ascii="Calibri" w:eastAsia="Calibri" w:hAnsi="Calibri" w:cs="Calibri"/>
          <w:sz w:val="20"/>
          <w:szCs w:val="20"/>
          <w:lang w:val="es-GT"/>
        </w:rPr>
      </w:pPr>
      <w:r w:rsidRPr="001A01AB">
        <w:rPr>
          <w:rFonts w:ascii="Calibri" w:eastAsia="Calibri" w:hAnsi="Calibri" w:cs="Calibri"/>
          <w:sz w:val="20"/>
          <w:szCs w:val="20"/>
          <w:lang w:val="es-GT"/>
        </w:rPr>
        <w:t xml:space="preserve">Fuente: Elaboración propia con base al </w:t>
      </w:r>
      <w:r w:rsidRPr="0086148C">
        <w:rPr>
          <w:rFonts w:ascii="Calibri" w:eastAsia="Calibri" w:hAnsi="Calibri" w:cs="Calibri"/>
          <w:sz w:val="20"/>
          <w:szCs w:val="20"/>
          <w:highlight w:val="magenta"/>
          <w:lang w:val="es-GT"/>
        </w:rPr>
        <w:t>marco político vigente al año 2012</w:t>
      </w:r>
      <w:r w:rsidRPr="00BE41C6">
        <w:rPr>
          <w:rFonts w:ascii="Calibri" w:eastAsia="Calibri" w:hAnsi="Calibri" w:cs="Calibri"/>
          <w:sz w:val="20"/>
          <w:szCs w:val="20"/>
          <w:highlight w:val="green"/>
          <w:lang w:val="es-GT"/>
        </w:rPr>
        <w:t>.</w:t>
      </w:r>
    </w:p>
    <w:p w:rsidR="00BE41C6" w:rsidRPr="001A01AB" w:rsidRDefault="00BE41C6" w:rsidP="00E31B19">
      <w:pPr>
        <w:ind w:left="720" w:right="562"/>
        <w:jc w:val="right"/>
        <w:rPr>
          <w:rFonts w:ascii="Calibri" w:eastAsia="Calibri" w:hAnsi="Calibri" w:cs="Calibri"/>
          <w:sz w:val="20"/>
          <w:szCs w:val="20"/>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La Política de Desarrollo Rural Integral pretende lograr un avance progresivo y permanente en la calidad de vida de los habitantes de los territorios rurales, a través del acceso equitativo y uso sostenible de los recursos productivos, medios de producción, bienes naturales y servicios ambientales, para alcanzar el desarrollo humano integral sostenible en el área rural. El carácter transectorial de esta política obliga a buscar la complementariedad e integración de esfuerzos con otras políticas relacionadas con temas agropecuarios, forestal</w:t>
      </w:r>
      <w:r w:rsidR="00BE41C6">
        <w:rPr>
          <w:rFonts w:ascii="Calibri" w:hAnsi="Calibri" w:cs="Calibri"/>
          <w:lang w:val="es-GT"/>
        </w:rPr>
        <w:t>es</w:t>
      </w:r>
      <w:r w:rsidRPr="001A01AB">
        <w:rPr>
          <w:rFonts w:ascii="Calibri" w:hAnsi="Calibri" w:cs="Calibri"/>
          <w:lang w:val="es-GT"/>
        </w:rPr>
        <w:t>, hidrobiológico</w:t>
      </w:r>
      <w:r w:rsidR="00BE41C6">
        <w:rPr>
          <w:rFonts w:ascii="Calibri" w:hAnsi="Calibri" w:cs="Calibri"/>
          <w:lang w:val="es-GT"/>
        </w:rPr>
        <w:t>s</w:t>
      </w:r>
      <w:r w:rsidRPr="001A01AB">
        <w:rPr>
          <w:rFonts w:ascii="Calibri" w:hAnsi="Calibri" w:cs="Calibri"/>
          <w:lang w:val="es-GT"/>
        </w:rPr>
        <w:t>, social</w:t>
      </w:r>
      <w:r w:rsidR="00BE41C6">
        <w:rPr>
          <w:rFonts w:ascii="Calibri" w:hAnsi="Calibri" w:cs="Calibri"/>
          <w:lang w:val="es-GT"/>
        </w:rPr>
        <w:t>es</w:t>
      </w:r>
      <w:r w:rsidRPr="001A01AB">
        <w:rPr>
          <w:rFonts w:ascii="Calibri" w:hAnsi="Calibri" w:cs="Calibri"/>
          <w:lang w:val="es-GT"/>
        </w:rPr>
        <w:t>, laboral</w:t>
      </w:r>
      <w:r w:rsidR="00BE41C6">
        <w:rPr>
          <w:rFonts w:ascii="Calibri" w:hAnsi="Calibri" w:cs="Calibri"/>
          <w:lang w:val="es-GT"/>
        </w:rPr>
        <w:t>es</w:t>
      </w:r>
      <w:r w:rsidRPr="001A01AB">
        <w:rPr>
          <w:rFonts w:ascii="Calibri" w:hAnsi="Calibri" w:cs="Calibri"/>
          <w:lang w:val="es-GT"/>
        </w:rPr>
        <w:t>, infraestructura</w:t>
      </w:r>
      <w:r w:rsidR="00BE41C6">
        <w:rPr>
          <w:rFonts w:ascii="Calibri" w:hAnsi="Calibri" w:cs="Calibri"/>
          <w:lang w:val="es-GT"/>
        </w:rPr>
        <w:t xml:space="preserve">, </w:t>
      </w:r>
      <w:r w:rsidR="00BE41C6" w:rsidRPr="001A01AB">
        <w:rPr>
          <w:rFonts w:ascii="Calibri" w:hAnsi="Calibri" w:cs="Calibri"/>
          <w:lang w:val="es-GT"/>
        </w:rPr>
        <w:t>gestión del riesgo y vulnerabilidad,</w:t>
      </w:r>
      <w:r w:rsidRPr="001A01AB">
        <w:rPr>
          <w:rFonts w:ascii="Calibri" w:hAnsi="Calibri" w:cs="Calibri"/>
          <w:lang w:val="es-GT"/>
        </w:rPr>
        <w:t xml:space="preserve"> y participación ciudadana, entre otros. </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La Política Nacional de Seguridad Alimentaria y Nutric</w:t>
      </w:r>
      <w:r w:rsidR="00BE41C6">
        <w:rPr>
          <w:rFonts w:ascii="Calibri" w:hAnsi="Calibri" w:cs="Calibri"/>
          <w:lang w:val="es-GT"/>
        </w:rPr>
        <w:t>ional aborda el tema de desarrollo rural integral</w:t>
      </w:r>
      <w:r w:rsidRPr="001A01AB">
        <w:rPr>
          <w:rFonts w:ascii="Calibri" w:hAnsi="Calibri" w:cs="Calibri"/>
          <w:lang w:val="es-GT"/>
        </w:rPr>
        <w:t xml:space="preserve"> desde una óptica de aseguramiento de la disponibilidad y el abastecimiento permanente y suficiente, en cantidad y calidad, de los alimentos necesarios para toda la población. Asimismo</w:t>
      </w:r>
      <w:r w:rsidR="00BE41C6">
        <w:rPr>
          <w:rFonts w:ascii="Calibri" w:hAnsi="Calibri" w:cs="Calibri"/>
          <w:lang w:val="es-GT"/>
        </w:rPr>
        <w:t>, esta p</w:t>
      </w:r>
      <w:r w:rsidRPr="001A01AB">
        <w:rPr>
          <w:rFonts w:ascii="Calibri" w:hAnsi="Calibri" w:cs="Calibri"/>
          <w:lang w:val="es-GT"/>
        </w:rPr>
        <w:t>olítica pretende incidir en el mejoramiento de las condiciones ambientales y el acceso a servicios básicos que garantice a toda la población</w:t>
      </w:r>
      <w:r w:rsidR="000B0666">
        <w:rPr>
          <w:rFonts w:ascii="Calibri" w:hAnsi="Calibri" w:cs="Calibri"/>
          <w:lang w:val="es-GT"/>
        </w:rPr>
        <w:t>, las</w:t>
      </w:r>
      <w:r w:rsidRPr="001A01AB">
        <w:rPr>
          <w:rFonts w:ascii="Calibri" w:hAnsi="Calibri" w:cs="Calibri"/>
          <w:lang w:val="es-GT"/>
        </w:rPr>
        <w:t xml:space="preserve"> condiciones de salud y de ambiente necesarias para una óptima utilización biológica de los alimentos ingeridos. </w:t>
      </w:r>
      <w:r w:rsidR="000B0666">
        <w:rPr>
          <w:rFonts w:ascii="Calibri" w:hAnsi="Calibri" w:cs="Calibri"/>
          <w:lang w:val="es-GT"/>
        </w:rPr>
        <w:t>Uno de los ejes de trabajo transversales de l</w:t>
      </w:r>
      <w:r w:rsidRPr="001A01AB">
        <w:rPr>
          <w:rFonts w:ascii="Calibri" w:hAnsi="Calibri" w:cs="Calibri"/>
          <w:lang w:val="es-GT"/>
        </w:rPr>
        <w:t xml:space="preserve">a política </w:t>
      </w:r>
      <w:r w:rsidR="000B0666">
        <w:rPr>
          <w:rFonts w:ascii="Calibri" w:hAnsi="Calibri" w:cs="Calibri"/>
          <w:lang w:val="es-GT"/>
        </w:rPr>
        <w:t>es</w:t>
      </w:r>
      <w:r w:rsidRPr="001A01AB">
        <w:rPr>
          <w:rFonts w:ascii="Calibri" w:hAnsi="Calibri" w:cs="Calibri"/>
          <w:lang w:val="es-GT"/>
        </w:rPr>
        <w:t xml:space="preserve"> priorizar a la población vulnerable, en situación de extrema pobreza, rural e indígena.</w:t>
      </w:r>
      <w:r w:rsidR="00BE41C6">
        <w:rPr>
          <w:rFonts w:ascii="Calibri" w:hAnsi="Calibri" w:cs="Calibri"/>
          <w:lang w:val="es-GT"/>
        </w:rPr>
        <w:t xml:space="preserve">  </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Con relación a la Política Nacional de Descentralización, esta incluye el tema del </w:t>
      </w:r>
      <w:r w:rsidR="00BE41C6">
        <w:rPr>
          <w:rFonts w:ascii="Calibri" w:hAnsi="Calibri" w:cs="Calibri"/>
          <w:lang w:val="es-GT"/>
        </w:rPr>
        <w:t>desarrollo rural integral</w:t>
      </w:r>
      <w:r w:rsidRPr="001A01AB">
        <w:rPr>
          <w:rFonts w:ascii="Calibri" w:hAnsi="Calibri" w:cs="Calibri"/>
          <w:lang w:val="es-GT"/>
        </w:rPr>
        <w:t xml:space="preserve"> a través de la implementación de acciones de descentralización para mejorar la calidad y cobertura de los servicios públicos, la protección y recuperación del patrimonio natural y la promoción del desarrollo de la economía local, entre las más importantes.</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Por último</w:t>
      </w:r>
      <w:r w:rsidR="000B0666">
        <w:rPr>
          <w:rFonts w:ascii="Calibri" w:hAnsi="Calibri" w:cs="Calibri"/>
          <w:lang w:val="es-GT"/>
        </w:rPr>
        <w:t>,</w:t>
      </w:r>
      <w:r w:rsidRPr="001A01AB">
        <w:rPr>
          <w:rFonts w:ascii="Calibri" w:hAnsi="Calibri" w:cs="Calibri"/>
          <w:lang w:val="es-GT"/>
        </w:rPr>
        <w:t xml:space="preserve"> es importante mencionar que el tema de </w:t>
      </w:r>
      <w:r w:rsidR="000B0666">
        <w:rPr>
          <w:rFonts w:ascii="Calibri" w:hAnsi="Calibri" w:cs="Calibri"/>
          <w:lang w:val="es-GT"/>
        </w:rPr>
        <w:t>desarrollo rural integral</w:t>
      </w:r>
      <w:r w:rsidRPr="001A01AB">
        <w:rPr>
          <w:rFonts w:ascii="Calibri" w:hAnsi="Calibri" w:cs="Calibri"/>
          <w:lang w:val="es-GT"/>
        </w:rPr>
        <w:t xml:space="preserve"> es abordado también en la Política de Desarrollo Social y Población desde el punto de vista de la participación justa y equitativa de la población en los beneficios del desarrollo económico y social. Por lo tanto, no se circunscrib</w:t>
      </w:r>
      <w:r w:rsidR="000B0666">
        <w:rPr>
          <w:rFonts w:ascii="Calibri" w:hAnsi="Calibri" w:cs="Calibri"/>
          <w:lang w:val="es-GT"/>
        </w:rPr>
        <w:t>e</w:t>
      </w:r>
      <w:r w:rsidRPr="001A01AB">
        <w:rPr>
          <w:rFonts w:ascii="Calibri" w:hAnsi="Calibri" w:cs="Calibri"/>
          <w:lang w:val="es-GT"/>
        </w:rPr>
        <w:t xml:space="preserve"> sólo al marco puramente demográfico, sino que </w:t>
      </w:r>
      <w:r w:rsidRPr="001A01AB">
        <w:rPr>
          <w:rFonts w:ascii="Calibri" w:hAnsi="Calibri" w:cs="Calibri"/>
          <w:lang w:val="es-GT"/>
        </w:rPr>
        <w:lastRenderedPageBreak/>
        <w:t xml:space="preserve">propone que las políticas nacionales de desarrollo económico modifiquen las relaciones sociales, culturales y económicas, y así mejorar las condiciones de vida de toda la población, a través de la promoción de la persona y su núcleo familiar en las responsabilidades y beneficios de este desarrollo, logrando así una relación equilibrada entre el crecimiento económico del país y el crecimiento de la población. </w:t>
      </w:r>
    </w:p>
    <w:p w:rsidR="00E31B19" w:rsidRPr="001A01AB" w:rsidRDefault="00E31B19" w:rsidP="00E31B19">
      <w:pPr>
        <w:ind w:left="360"/>
        <w:jc w:val="both"/>
        <w:rPr>
          <w:rFonts w:ascii="Calibri" w:hAnsi="Calibri" w:cs="Calibri"/>
          <w:lang w:val="es-GT"/>
        </w:rPr>
      </w:pPr>
    </w:p>
    <w:p w:rsidR="00E31B19" w:rsidRPr="001A01AB" w:rsidRDefault="00424316" w:rsidP="00E31B19">
      <w:pPr>
        <w:ind w:left="360"/>
        <w:jc w:val="both"/>
        <w:rPr>
          <w:rFonts w:ascii="Calibri" w:hAnsi="Calibri" w:cs="Calibri"/>
          <w:lang w:val="es-GT"/>
        </w:rPr>
      </w:pPr>
      <w:r>
        <w:rPr>
          <w:rFonts w:ascii="Calibri" w:hAnsi="Calibri" w:cs="Calibri"/>
          <w:lang w:val="es-GT"/>
        </w:rPr>
        <w:t>Con relación a las p</w:t>
      </w:r>
      <w:r w:rsidR="00E31B19" w:rsidRPr="001A01AB">
        <w:rPr>
          <w:rFonts w:ascii="Calibri" w:hAnsi="Calibri" w:cs="Calibri"/>
          <w:lang w:val="es-GT"/>
        </w:rPr>
        <w:t xml:space="preserve">olíticas sectoriales, la temática del </w:t>
      </w:r>
      <w:r w:rsidRPr="001A01AB">
        <w:rPr>
          <w:rFonts w:ascii="Calibri" w:hAnsi="Calibri" w:cs="Calibri"/>
          <w:lang w:val="es-GT"/>
        </w:rPr>
        <w:t xml:space="preserve">desarrollo rural integral </w:t>
      </w:r>
      <w:r w:rsidR="00E31B19" w:rsidRPr="001A01AB">
        <w:rPr>
          <w:rFonts w:ascii="Calibri" w:hAnsi="Calibri" w:cs="Calibri"/>
          <w:lang w:val="es-GT"/>
        </w:rPr>
        <w:t>es abordada principalmente en las siguientes políticas</w:t>
      </w:r>
      <w:r>
        <w:rPr>
          <w:rFonts w:ascii="Calibri" w:hAnsi="Calibri" w:cs="Calibri"/>
          <w:lang w:val="es-GT"/>
        </w:rPr>
        <w:t>:</w:t>
      </w:r>
      <w:r w:rsidR="00E31B19" w:rsidRPr="001A01AB">
        <w:rPr>
          <w:rFonts w:ascii="Calibri" w:hAnsi="Calibri" w:cs="Calibri"/>
          <w:lang w:val="es-GT"/>
        </w:rPr>
        <w:t xml:space="preserve"> a) Política Agropecuaria, b) Política Agrícola Centroamericana, c) Política Agraria</w:t>
      </w:r>
      <w:r>
        <w:rPr>
          <w:rFonts w:ascii="Calibri" w:hAnsi="Calibri" w:cs="Calibri"/>
          <w:lang w:val="es-GT"/>
        </w:rPr>
        <w:t>,</w:t>
      </w:r>
      <w:r w:rsidR="00E31B19" w:rsidRPr="001A01AB">
        <w:rPr>
          <w:rFonts w:ascii="Calibri" w:hAnsi="Calibri" w:cs="Calibri"/>
          <w:lang w:val="es-GT"/>
        </w:rPr>
        <w:t xml:space="preserve"> y d) Política de Conservación, Protección y Mejoramiento del Ambiente y los Recursos Naturales. </w:t>
      </w:r>
    </w:p>
    <w:p w:rsidR="00E31B19" w:rsidRPr="001A01AB" w:rsidRDefault="00E31B19" w:rsidP="00E31B19">
      <w:pPr>
        <w:ind w:left="360"/>
        <w:jc w:val="both"/>
        <w:rPr>
          <w:rFonts w:ascii="Calibri" w:hAnsi="Calibri" w:cs="Calibri"/>
          <w:lang w:val="es-GT"/>
        </w:rPr>
      </w:pPr>
    </w:p>
    <w:p w:rsidR="00E31B19" w:rsidRPr="001A01AB" w:rsidRDefault="00424316" w:rsidP="00E31B19">
      <w:pPr>
        <w:ind w:left="360"/>
        <w:jc w:val="both"/>
        <w:rPr>
          <w:rFonts w:ascii="Calibri" w:hAnsi="Calibri" w:cs="Calibri"/>
          <w:lang w:val="es-GT"/>
        </w:rPr>
      </w:pPr>
      <w:r>
        <w:rPr>
          <w:rFonts w:ascii="Calibri" w:hAnsi="Calibri" w:cs="Calibri"/>
          <w:lang w:val="es-GT"/>
        </w:rPr>
        <w:t>La</w:t>
      </w:r>
      <w:r w:rsidR="00E31B19" w:rsidRPr="001A01AB">
        <w:rPr>
          <w:rFonts w:ascii="Calibri" w:hAnsi="Calibri" w:cs="Calibri"/>
          <w:lang w:val="es-GT"/>
        </w:rPr>
        <w:t xml:space="preserve"> Política Agropecuaria es resultado de un proceso de reforma del MAGA, con el interés de recobrar la presencia de la institución tanto en el territorio y en la eficacia de la prestación de servicios</w:t>
      </w:r>
      <w:r>
        <w:rPr>
          <w:rFonts w:ascii="Calibri" w:hAnsi="Calibri" w:cs="Calibri"/>
          <w:lang w:val="es-GT"/>
        </w:rPr>
        <w:t>,</w:t>
      </w:r>
      <w:r w:rsidR="00E31B19" w:rsidRPr="001A01AB">
        <w:rPr>
          <w:rFonts w:ascii="Calibri" w:hAnsi="Calibri" w:cs="Calibri"/>
          <w:lang w:val="es-GT"/>
        </w:rPr>
        <w:t xml:space="preserve"> como en su aporte en las diferentes mesas e instancias de coordinación interinsti</w:t>
      </w:r>
      <w:r>
        <w:rPr>
          <w:rFonts w:ascii="Calibri" w:hAnsi="Calibri" w:cs="Calibri"/>
          <w:lang w:val="es-GT"/>
        </w:rPr>
        <w:t>tucional. En ese sentido, esta p</w:t>
      </w:r>
      <w:r w:rsidR="00E31B19" w:rsidRPr="001A01AB">
        <w:rPr>
          <w:rFonts w:ascii="Calibri" w:hAnsi="Calibri" w:cs="Calibri"/>
          <w:lang w:val="es-GT"/>
        </w:rPr>
        <w:t xml:space="preserve">olítica aborda </w:t>
      </w:r>
      <w:r>
        <w:rPr>
          <w:rFonts w:ascii="Calibri" w:hAnsi="Calibri" w:cs="Calibri"/>
          <w:lang w:val="es-GT"/>
        </w:rPr>
        <w:t>desarrollo rural integral</w:t>
      </w:r>
      <w:r w:rsidR="00E31B19" w:rsidRPr="001A01AB">
        <w:rPr>
          <w:rFonts w:ascii="Calibri" w:hAnsi="Calibri" w:cs="Calibri"/>
          <w:lang w:val="es-GT"/>
        </w:rPr>
        <w:t xml:space="preserve"> desde el punto de vista de la incidencia en el desarrollo humano integral sostenible de la población del área rural, coadyuvando</w:t>
      </w:r>
      <w:r>
        <w:rPr>
          <w:rFonts w:ascii="Calibri" w:hAnsi="Calibri" w:cs="Calibri"/>
          <w:lang w:val="es-GT"/>
        </w:rPr>
        <w:t xml:space="preserve"> al ordenamiento territorial y a</w:t>
      </w:r>
      <w:r w:rsidR="00E31B19" w:rsidRPr="001A01AB">
        <w:rPr>
          <w:rFonts w:ascii="Calibri" w:hAnsi="Calibri" w:cs="Calibri"/>
          <w:lang w:val="es-GT"/>
        </w:rPr>
        <w:t>l impulso de los sectores agropecuario, forestal e hidrobiológico, priorizando la promoción de la economía rural, indígena y campesina, promoviendo el acceso equitativo a los medios de producción y el uso sostenible de los recursos naturales y servicios ambientales, con el propósito de alcanzar la soberanía alimentaria, el logro de excedentes y su incorporación a los diferentes tipos de mercado.</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En el marco del Sistema </w:t>
      </w:r>
      <w:r w:rsidR="00424316">
        <w:rPr>
          <w:rFonts w:ascii="Calibri" w:hAnsi="Calibri" w:cs="Calibri"/>
          <w:lang w:val="es-GT"/>
        </w:rPr>
        <w:t>de Integración Centroamericana (</w:t>
      </w:r>
      <w:r w:rsidRPr="001A01AB">
        <w:rPr>
          <w:rFonts w:ascii="Calibri" w:hAnsi="Calibri" w:cs="Calibri"/>
          <w:lang w:val="es-GT"/>
        </w:rPr>
        <w:t>SICA</w:t>
      </w:r>
      <w:r w:rsidR="00424316">
        <w:rPr>
          <w:rFonts w:ascii="Calibri" w:hAnsi="Calibri" w:cs="Calibri"/>
          <w:lang w:val="es-GT"/>
        </w:rPr>
        <w:t>), el G</w:t>
      </w:r>
      <w:r w:rsidRPr="001A01AB">
        <w:rPr>
          <w:rFonts w:ascii="Calibri" w:hAnsi="Calibri" w:cs="Calibri"/>
          <w:lang w:val="es-GT"/>
        </w:rPr>
        <w:t xml:space="preserve">obierno de Guatemala, a través del MAGA, ha suscrito y se ha adherido a la Política Agrícola Centroamericana 2008- 2019. En sus objetivos señala la importancia de </w:t>
      </w:r>
      <w:r w:rsidR="00424316">
        <w:rPr>
          <w:rFonts w:ascii="Calibri" w:hAnsi="Calibri" w:cs="Calibri"/>
          <w:lang w:val="es-GT"/>
        </w:rPr>
        <w:t>“p</w:t>
      </w:r>
      <w:r w:rsidRPr="001A01AB">
        <w:rPr>
          <w:rFonts w:ascii="Calibri" w:hAnsi="Calibri" w:cs="Calibri"/>
          <w:lang w:val="es-GT"/>
        </w:rPr>
        <w:t>romover mejores oportunidades de empleo, ingresos y condiciones de vida de los grupos vulnerables en el medio rural, a través de la potenciación del escenario regional y del aprovechamiento de las oportunidades específicas que ofrece el mercado regional para productores pequeños y medianos</w:t>
      </w:r>
      <w:r w:rsidR="00424316">
        <w:rPr>
          <w:rFonts w:ascii="Calibri" w:hAnsi="Calibri" w:cs="Calibri"/>
          <w:lang w:val="es-GT"/>
        </w:rPr>
        <w:t>,</w:t>
      </w:r>
      <w:r w:rsidRPr="001A01AB">
        <w:rPr>
          <w:rFonts w:ascii="Calibri" w:hAnsi="Calibri" w:cs="Calibri"/>
          <w:lang w:val="es-GT"/>
        </w:rPr>
        <w:t xml:space="preserve"> y gracias a los impactos positivos previsibles de la mayor atención e inversión al sector agrícola y al mundo rural”.</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La Política Agraria</w:t>
      </w:r>
      <w:r w:rsidR="00424316">
        <w:rPr>
          <w:rFonts w:ascii="Calibri" w:hAnsi="Calibri" w:cs="Calibri"/>
          <w:lang w:val="es-GT"/>
        </w:rPr>
        <w:t xml:space="preserve"> hace alusión al desarrollo rural integral</w:t>
      </w:r>
      <w:r w:rsidRPr="001A01AB">
        <w:rPr>
          <w:rFonts w:ascii="Calibri" w:hAnsi="Calibri" w:cs="Calibri"/>
          <w:lang w:val="es-GT"/>
        </w:rPr>
        <w:t xml:space="preserve"> desde el punto de vista de la transformación de la</w:t>
      </w:r>
      <w:r w:rsidR="00424316">
        <w:rPr>
          <w:rFonts w:ascii="Calibri" w:hAnsi="Calibri" w:cs="Calibri"/>
          <w:lang w:val="es-GT"/>
        </w:rPr>
        <w:t xml:space="preserve"> situación agraria de Guatemala</w:t>
      </w:r>
      <w:r w:rsidRPr="001A01AB">
        <w:rPr>
          <w:rFonts w:ascii="Calibri" w:hAnsi="Calibri" w:cs="Calibri"/>
          <w:lang w:val="es-GT"/>
        </w:rPr>
        <w:t xml:space="preserve"> a través de la promoción de la certeza jurídica sobre la propiedad, posesión y tenencia de la tierra, su acceso y la resolución de los conflictos agrarios, para que conjuntamente con el uso de otros activos productivos, se mejoren las condiciones de vida de la población del área rural y se propicie el desarrollo rural integral, dentro de una sociedad multicultural.</w:t>
      </w:r>
    </w:p>
    <w:p w:rsidR="00E31B19" w:rsidRPr="001A01AB" w:rsidRDefault="00E31B19" w:rsidP="00E31B19">
      <w:pPr>
        <w:ind w:left="360"/>
        <w:jc w:val="both"/>
        <w:rPr>
          <w:rFonts w:ascii="Calibri" w:hAnsi="Calibri" w:cs="Calibri"/>
          <w:lang w:val="es-GT"/>
        </w:rPr>
      </w:pPr>
    </w:p>
    <w:p w:rsidR="00E31B19" w:rsidRPr="001A01AB" w:rsidRDefault="00424316" w:rsidP="00E31B19">
      <w:pPr>
        <w:ind w:left="360"/>
        <w:jc w:val="both"/>
        <w:rPr>
          <w:rFonts w:ascii="Calibri" w:hAnsi="Calibri" w:cs="Calibri"/>
          <w:lang w:val="es-GT"/>
        </w:rPr>
      </w:pPr>
      <w:r>
        <w:rPr>
          <w:rFonts w:ascii="Calibri" w:hAnsi="Calibri" w:cs="Calibri"/>
          <w:lang w:val="es-GT"/>
        </w:rPr>
        <w:t>P</w:t>
      </w:r>
      <w:r w:rsidR="00E31B19" w:rsidRPr="001A01AB">
        <w:rPr>
          <w:rFonts w:ascii="Calibri" w:hAnsi="Calibri" w:cs="Calibri"/>
          <w:lang w:val="es-GT"/>
        </w:rPr>
        <w:t>or último</w:t>
      </w:r>
      <w:r>
        <w:rPr>
          <w:rFonts w:ascii="Calibri" w:hAnsi="Calibri" w:cs="Calibri"/>
          <w:lang w:val="es-GT"/>
        </w:rPr>
        <w:t>,</w:t>
      </w:r>
      <w:r w:rsidR="00E31B19" w:rsidRPr="001A01AB">
        <w:rPr>
          <w:rFonts w:ascii="Calibri" w:hAnsi="Calibri" w:cs="Calibri"/>
          <w:lang w:val="es-GT"/>
        </w:rPr>
        <w:t xml:space="preserve"> la Política de Conservación, Protección y Mejoramiento del Ambiente y los Recursos Naturales persigue que la sociedad comparta principios y valores que conduzcan y orienten el actuar de todos los sectores y grupos que la conforman hacia el desarrollo sostenible en los próximos 20 años. Para ello</w:t>
      </w:r>
      <w:r>
        <w:rPr>
          <w:rFonts w:ascii="Calibri" w:hAnsi="Calibri" w:cs="Calibri"/>
          <w:lang w:val="es-GT"/>
        </w:rPr>
        <w:t>,</w:t>
      </w:r>
      <w:r w:rsidR="00E31B19" w:rsidRPr="001A01AB">
        <w:rPr>
          <w:rFonts w:ascii="Calibri" w:hAnsi="Calibri" w:cs="Calibri"/>
          <w:lang w:val="es-GT"/>
        </w:rPr>
        <w:t xml:space="preserve"> se propone “armonizar, definir y dar las directrices a los diferentes sectores para el mejoramiento del ambiente y la calidad de vida de </w:t>
      </w:r>
      <w:r w:rsidR="000920B2">
        <w:rPr>
          <w:rFonts w:ascii="Calibri" w:hAnsi="Calibri" w:cs="Calibri"/>
          <w:lang w:val="es-GT"/>
        </w:rPr>
        <w:lastRenderedPageBreak/>
        <w:t>los habitantes del país,</w:t>
      </w:r>
      <w:r w:rsidR="00E31B19" w:rsidRPr="001A01AB">
        <w:rPr>
          <w:rFonts w:ascii="Calibri" w:hAnsi="Calibri" w:cs="Calibri"/>
          <w:lang w:val="es-GT"/>
        </w:rPr>
        <w:t xml:space="preserve"> el manteni</w:t>
      </w:r>
      <w:r w:rsidR="000920B2">
        <w:rPr>
          <w:rFonts w:ascii="Calibri" w:hAnsi="Calibri" w:cs="Calibri"/>
          <w:lang w:val="es-GT"/>
        </w:rPr>
        <w:t>miento del equilibrio ecológico</w:t>
      </w:r>
      <w:r w:rsidR="00E31B19" w:rsidRPr="001A01AB">
        <w:rPr>
          <w:rFonts w:ascii="Calibri" w:hAnsi="Calibri" w:cs="Calibri"/>
          <w:lang w:val="es-GT"/>
        </w:rPr>
        <w:t xml:space="preserve"> y el uso sostenible de los recursos naturales”.</w:t>
      </w:r>
    </w:p>
    <w:p w:rsidR="00E31B19" w:rsidRPr="001A01AB" w:rsidRDefault="00E31B19" w:rsidP="00E31B19">
      <w:pPr>
        <w:ind w:left="360"/>
        <w:jc w:val="both"/>
        <w:rPr>
          <w:rFonts w:ascii="Calibri" w:hAnsi="Calibri" w:cs="Calibri"/>
          <w:lang w:val="es-GT"/>
        </w:rPr>
      </w:pPr>
    </w:p>
    <w:p w:rsidR="00E31B19" w:rsidRPr="001A01AB" w:rsidRDefault="00E31B19" w:rsidP="004E2482">
      <w:pPr>
        <w:pStyle w:val="Prrafodelista"/>
        <w:numPr>
          <w:ilvl w:val="1"/>
          <w:numId w:val="55"/>
        </w:numPr>
        <w:autoSpaceDE w:val="0"/>
        <w:autoSpaceDN w:val="0"/>
        <w:adjustRightInd w:val="0"/>
        <w:spacing w:after="120" w:line="264" w:lineRule="auto"/>
        <w:ind w:left="720" w:hanging="720"/>
        <w:jc w:val="both"/>
        <w:outlineLvl w:val="1"/>
        <w:rPr>
          <w:rFonts w:cs="Calibri"/>
          <w:b/>
          <w:color w:val="365F91"/>
          <w:sz w:val="28"/>
          <w:lang w:eastAsia="es-GT"/>
        </w:rPr>
      </w:pPr>
      <w:bookmarkStart w:id="148" w:name="_Toc336951331"/>
      <w:bookmarkStart w:id="149" w:name="_Toc339926603"/>
      <w:bookmarkStart w:id="150" w:name="_Toc340065171"/>
      <w:bookmarkStart w:id="151" w:name="_Toc340065263"/>
      <w:bookmarkStart w:id="152" w:name="_Toc340565856"/>
      <w:bookmarkStart w:id="153" w:name="_Toc347841306"/>
      <w:r w:rsidRPr="001A01AB">
        <w:rPr>
          <w:rFonts w:cs="Calibri"/>
          <w:b/>
          <w:color w:val="365F91"/>
          <w:sz w:val="28"/>
          <w:lang w:eastAsia="es-GT"/>
        </w:rPr>
        <w:t>Principales Cuestiones Estratégicas (CE)</w:t>
      </w:r>
      <w:bookmarkEnd w:id="148"/>
      <w:bookmarkEnd w:id="149"/>
      <w:bookmarkEnd w:id="150"/>
      <w:bookmarkEnd w:id="151"/>
      <w:bookmarkEnd w:id="152"/>
      <w:bookmarkEnd w:id="153"/>
    </w:p>
    <w:p w:rsidR="00E31B19" w:rsidRPr="001A01AB" w:rsidRDefault="00E31B19" w:rsidP="00E31B19">
      <w:pPr>
        <w:ind w:left="360"/>
        <w:jc w:val="both"/>
        <w:rPr>
          <w:rFonts w:ascii="Calibri" w:hAnsi="Calibri" w:cs="Calibri"/>
          <w:lang w:val="es-GT"/>
        </w:rPr>
      </w:pPr>
    </w:p>
    <w:p w:rsidR="00E31B19" w:rsidRPr="001A01AB" w:rsidRDefault="00D924B2" w:rsidP="00E31B19">
      <w:pPr>
        <w:ind w:left="360"/>
        <w:jc w:val="both"/>
        <w:rPr>
          <w:rFonts w:ascii="Calibri" w:hAnsi="Calibri" w:cs="Calibri"/>
          <w:lang w:val="es-GT"/>
        </w:rPr>
      </w:pPr>
      <w:r>
        <w:rPr>
          <w:rFonts w:ascii="Calibri" w:hAnsi="Calibri" w:cs="Calibri"/>
          <w:lang w:val="es-GT"/>
        </w:rPr>
        <w:t>D</w:t>
      </w:r>
      <w:r w:rsidR="00E31B19" w:rsidRPr="001A01AB">
        <w:rPr>
          <w:rFonts w:ascii="Calibri" w:hAnsi="Calibri" w:cs="Calibri"/>
          <w:lang w:val="es-GT"/>
        </w:rPr>
        <w:t xml:space="preserve">entro </w:t>
      </w:r>
      <w:r>
        <w:rPr>
          <w:rFonts w:ascii="Calibri" w:hAnsi="Calibri" w:cs="Calibri"/>
          <w:lang w:val="es-GT"/>
        </w:rPr>
        <w:t xml:space="preserve">de </w:t>
      </w:r>
      <w:r w:rsidR="00E31B19" w:rsidRPr="001A01AB">
        <w:rPr>
          <w:rFonts w:ascii="Calibri" w:hAnsi="Calibri" w:cs="Calibri"/>
          <w:lang w:val="es-GT"/>
        </w:rPr>
        <w:t>los pr</w:t>
      </w:r>
      <w:r w:rsidR="000920B2">
        <w:rPr>
          <w:rFonts w:ascii="Calibri" w:hAnsi="Calibri" w:cs="Calibri"/>
          <w:lang w:val="es-GT"/>
        </w:rPr>
        <w:t>ocesos de formulación de la EAE</w:t>
      </w:r>
      <w:r w:rsidR="00E31B19" w:rsidRPr="001A01AB">
        <w:rPr>
          <w:rFonts w:ascii="Calibri" w:hAnsi="Calibri" w:cs="Calibri"/>
          <w:lang w:val="es-GT"/>
        </w:rPr>
        <w:t xml:space="preserve"> se requiere identificar aquellas consideraciones o cuestiones que deben plantearse para asegurar el logro del Objetivo Estratégico que</w:t>
      </w:r>
      <w:r>
        <w:rPr>
          <w:rFonts w:ascii="Calibri" w:hAnsi="Calibri" w:cs="Calibri"/>
          <w:lang w:val="es-GT"/>
        </w:rPr>
        <w:t>,</w:t>
      </w:r>
      <w:r w:rsidR="00E31B19" w:rsidRPr="001A01AB">
        <w:rPr>
          <w:rFonts w:ascii="Calibri" w:hAnsi="Calibri" w:cs="Calibri"/>
          <w:lang w:val="es-GT"/>
        </w:rPr>
        <w:t xml:space="preserve"> para el presente caso, se refiere a apoyar los esfuerzos del Gobierno de Guatemala</w:t>
      </w:r>
      <w:r w:rsidR="00341532">
        <w:rPr>
          <w:rFonts w:ascii="Calibri" w:hAnsi="Calibri" w:cs="Calibri"/>
          <w:lang w:val="es-GT"/>
        </w:rPr>
        <w:t xml:space="preserve"> en materia de </w:t>
      </w:r>
      <w:r w:rsidRPr="001A01AB">
        <w:rPr>
          <w:rFonts w:ascii="Calibri" w:hAnsi="Calibri" w:cs="Calibri"/>
          <w:lang w:val="es-GT"/>
        </w:rPr>
        <w:t>desarrollo rural integral.</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El análisis </w:t>
      </w:r>
      <w:r w:rsidR="00341532">
        <w:rPr>
          <w:rFonts w:ascii="Calibri" w:hAnsi="Calibri" w:cs="Calibri"/>
          <w:lang w:val="es-GT"/>
        </w:rPr>
        <w:t xml:space="preserve">de la política </w:t>
      </w:r>
      <w:r w:rsidR="00FF447B">
        <w:rPr>
          <w:rFonts w:ascii="Calibri" w:hAnsi="Calibri" w:cs="Calibri"/>
          <w:lang w:val="es-GT"/>
        </w:rPr>
        <w:t>pública</w:t>
      </w:r>
      <w:r w:rsidR="00341532">
        <w:rPr>
          <w:rFonts w:ascii="Calibri" w:hAnsi="Calibri" w:cs="Calibri"/>
          <w:lang w:val="es-GT"/>
        </w:rPr>
        <w:t xml:space="preserve"> y sus instrumentos</w:t>
      </w:r>
      <w:r w:rsidR="00D924B2">
        <w:rPr>
          <w:rFonts w:ascii="Calibri" w:hAnsi="Calibri" w:cs="Calibri"/>
          <w:lang w:val="es-GT"/>
        </w:rPr>
        <w:t>,</w:t>
      </w:r>
      <w:r w:rsidR="00341532">
        <w:rPr>
          <w:rFonts w:ascii="Calibri" w:hAnsi="Calibri" w:cs="Calibri"/>
          <w:lang w:val="es-GT"/>
        </w:rPr>
        <w:t xml:space="preserve"> </w:t>
      </w:r>
      <w:r w:rsidR="00FF447B">
        <w:rPr>
          <w:rFonts w:ascii="Calibri" w:hAnsi="Calibri" w:cs="Calibri"/>
          <w:lang w:val="es-GT"/>
        </w:rPr>
        <w:t>así</w:t>
      </w:r>
      <w:r w:rsidR="00D924B2">
        <w:rPr>
          <w:rFonts w:ascii="Calibri" w:hAnsi="Calibri" w:cs="Calibri"/>
          <w:lang w:val="es-GT"/>
        </w:rPr>
        <w:t xml:space="preserve"> como </w:t>
      </w:r>
      <w:r w:rsidR="00341532">
        <w:rPr>
          <w:rFonts w:ascii="Calibri" w:hAnsi="Calibri" w:cs="Calibri"/>
          <w:lang w:val="es-GT"/>
        </w:rPr>
        <w:t>consultas a actor</w:t>
      </w:r>
      <w:r w:rsidR="00D924B2">
        <w:rPr>
          <w:rFonts w:ascii="Calibri" w:hAnsi="Calibri" w:cs="Calibri"/>
          <w:lang w:val="es-GT"/>
        </w:rPr>
        <w:t>es</w:t>
      </w:r>
      <w:r w:rsidR="00341532">
        <w:rPr>
          <w:rFonts w:ascii="Calibri" w:hAnsi="Calibri" w:cs="Calibri"/>
          <w:lang w:val="es-GT"/>
        </w:rPr>
        <w:t xml:space="preserve"> clave</w:t>
      </w:r>
      <w:r w:rsidR="00141A70">
        <w:rPr>
          <w:rFonts w:ascii="Calibri" w:hAnsi="Calibri" w:cs="Calibri"/>
          <w:lang w:val="es-GT"/>
        </w:rPr>
        <w:t xml:space="preserve"> </w:t>
      </w:r>
      <w:r w:rsidR="00341532">
        <w:rPr>
          <w:rFonts w:ascii="Calibri" w:hAnsi="Calibri" w:cs="Calibri"/>
          <w:lang w:val="es-GT"/>
        </w:rPr>
        <w:t xml:space="preserve">gubernamentales o no, condujo a la </w:t>
      </w:r>
      <w:r w:rsidR="00FF447B">
        <w:rPr>
          <w:rFonts w:ascii="Calibri" w:hAnsi="Calibri" w:cs="Calibri"/>
          <w:lang w:val="es-GT"/>
        </w:rPr>
        <w:t>identificación</w:t>
      </w:r>
      <w:r w:rsidR="00341532">
        <w:rPr>
          <w:rFonts w:ascii="Calibri" w:hAnsi="Calibri" w:cs="Calibri"/>
          <w:lang w:val="es-GT"/>
        </w:rPr>
        <w:t xml:space="preserve"> de </w:t>
      </w:r>
      <w:r w:rsidR="00FF447B">
        <w:rPr>
          <w:rFonts w:ascii="Calibri" w:hAnsi="Calibri" w:cs="Calibri"/>
          <w:lang w:val="es-GT"/>
        </w:rPr>
        <w:t>las siguientes cuestiones estratégicas</w:t>
      </w:r>
      <w:r w:rsidR="00D924B2">
        <w:rPr>
          <w:rFonts w:ascii="Calibri" w:hAnsi="Calibri" w:cs="Calibri"/>
          <w:lang w:val="es-GT"/>
        </w:rPr>
        <w:t>:</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720" w:hanging="720"/>
        <w:jc w:val="both"/>
        <w:rPr>
          <w:rFonts w:ascii="Calibri" w:hAnsi="Calibri" w:cs="Calibri"/>
          <w:b/>
          <w:color w:val="365F91"/>
          <w:lang w:val="es-GT"/>
        </w:rPr>
      </w:pPr>
      <w:r w:rsidRPr="001A01AB">
        <w:rPr>
          <w:rFonts w:ascii="Calibri" w:hAnsi="Calibri" w:cs="Calibri"/>
          <w:b/>
          <w:color w:val="365F91"/>
          <w:lang w:val="es-GT"/>
        </w:rPr>
        <w:t>CE.1.</w:t>
      </w:r>
      <w:r w:rsidRPr="001A01AB">
        <w:rPr>
          <w:rFonts w:ascii="Calibri" w:hAnsi="Calibri" w:cs="Calibri"/>
          <w:b/>
          <w:color w:val="365F91"/>
          <w:lang w:val="es-GT"/>
        </w:rPr>
        <w:tab/>
        <w:t>Inversiones en infraestructura de desarrollo rural</w:t>
      </w:r>
    </w:p>
    <w:p w:rsidR="00E31B19" w:rsidRPr="001A01AB" w:rsidRDefault="00E31B19" w:rsidP="00E31B19">
      <w:pPr>
        <w:spacing w:after="120"/>
        <w:ind w:left="720"/>
        <w:jc w:val="both"/>
        <w:rPr>
          <w:rFonts w:ascii="Calibri" w:hAnsi="Calibri" w:cs="Calibri"/>
          <w:lang w:val="es-GT"/>
        </w:rPr>
      </w:pPr>
      <w:r w:rsidRPr="001A01AB">
        <w:rPr>
          <w:rFonts w:ascii="Calibri" w:hAnsi="Calibri" w:cs="Calibri"/>
          <w:lang w:val="es-GT"/>
        </w:rPr>
        <w:t>Busca promover inversiones en infraestructura básica</w:t>
      </w:r>
      <w:r w:rsidR="00D924B2">
        <w:rPr>
          <w:rFonts w:ascii="Calibri" w:hAnsi="Calibri" w:cs="Calibri"/>
          <w:lang w:val="es-GT"/>
        </w:rPr>
        <w:t xml:space="preserve"> para</w:t>
      </w:r>
      <w:r w:rsidRPr="001A01AB">
        <w:rPr>
          <w:rFonts w:ascii="Calibri" w:hAnsi="Calibri" w:cs="Calibri"/>
          <w:lang w:val="es-GT"/>
        </w:rPr>
        <w:t xml:space="preserve"> el incremento de la productividad de los grupos de pequeño</w:t>
      </w:r>
      <w:r w:rsidR="00D924B2">
        <w:rPr>
          <w:rFonts w:ascii="Calibri" w:hAnsi="Calibri" w:cs="Calibri"/>
          <w:lang w:val="es-GT"/>
        </w:rPr>
        <w:t>s</w:t>
      </w:r>
      <w:r w:rsidRPr="001A01AB">
        <w:rPr>
          <w:rFonts w:ascii="Calibri" w:hAnsi="Calibri" w:cs="Calibri"/>
          <w:lang w:val="es-GT"/>
        </w:rPr>
        <w:t xml:space="preserve"> agricultores (infra, subsiste</w:t>
      </w:r>
      <w:r w:rsidR="00D924B2">
        <w:rPr>
          <w:rFonts w:ascii="Calibri" w:hAnsi="Calibri" w:cs="Calibri"/>
          <w:lang w:val="es-GT"/>
        </w:rPr>
        <w:t>ncia y pequeños excedentarios), como:</w:t>
      </w:r>
      <w:r w:rsidRPr="001A01AB">
        <w:rPr>
          <w:rFonts w:ascii="Calibri" w:hAnsi="Calibri" w:cs="Calibri"/>
          <w:lang w:val="es-GT"/>
        </w:rPr>
        <w:t xml:space="preserve"> </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Caminos rurales</w:t>
      </w:r>
      <w:r w:rsidR="00D924B2">
        <w:rPr>
          <w:rFonts w:ascii="Calibri" w:hAnsi="Calibri" w:cs="Calibri"/>
          <w:lang w:val="es-GT"/>
        </w:rPr>
        <w:t>.</w:t>
      </w:r>
    </w:p>
    <w:p w:rsidR="00E31B19" w:rsidRPr="001A01AB" w:rsidRDefault="00E31B19" w:rsidP="006B0A31">
      <w:pPr>
        <w:numPr>
          <w:ilvl w:val="1"/>
          <w:numId w:val="26"/>
        </w:numPr>
        <w:tabs>
          <w:tab w:val="clear" w:pos="1440"/>
          <w:tab w:val="num" w:pos="1080"/>
        </w:tabs>
        <w:ind w:left="1080"/>
        <w:jc w:val="both"/>
        <w:rPr>
          <w:rFonts w:ascii="Calibri" w:hAnsi="Calibri" w:cs="Calibri"/>
          <w:lang w:val="es-GT"/>
        </w:rPr>
      </w:pPr>
      <w:r w:rsidRPr="001A01AB">
        <w:rPr>
          <w:rFonts w:ascii="Calibri" w:hAnsi="Calibri" w:cs="Calibri"/>
          <w:lang w:val="es-GT"/>
        </w:rPr>
        <w:t>Infraestructura productiva básica (sistemas de riego, invernaderos, centros de acopio y pequeñas plantas para el procesamiento primario, entre otros)</w:t>
      </w:r>
      <w:r w:rsidR="00D924B2">
        <w:rPr>
          <w:rFonts w:ascii="Calibri" w:hAnsi="Calibri" w:cs="Calibri"/>
          <w:lang w:val="es-GT"/>
        </w:rPr>
        <w:t>.</w:t>
      </w:r>
    </w:p>
    <w:p w:rsidR="00E31B19" w:rsidRPr="001A01AB" w:rsidRDefault="00E31B19" w:rsidP="00E31B19">
      <w:pPr>
        <w:spacing w:after="120"/>
        <w:ind w:left="720"/>
        <w:jc w:val="both"/>
        <w:rPr>
          <w:rFonts w:ascii="Calibri" w:hAnsi="Calibri" w:cs="Calibri"/>
          <w:lang w:val="es-GT"/>
        </w:rPr>
      </w:pPr>
    </w:p>
    <w:p w:rsidR="00E31B19" w:rsidRPr="001A01AB" w:rsidRDefault="00E31B19" w:rsidP="00E31B19">
      <w:pPr>
        <w:ind w:left="720" w:hanging="720"/>
        <w:jc w:val="both"/>
        <w:rPr>
          <w:rFonts w:ascii="Calibri" w:hAnsi="Calibri" w:cs="Calibri"/>
          <w:b/>
          <w:color w:val="365F91"/>
          <w:lang w:val="es-GT"/>
        </w:rPr>
      </w:pPr>
      <w:r w:rsidRPr="001A01AB">
        <w:rPr>
          <w:rFonts w:ascii="Calibri" w:hAnsi="Calibri" w:cs="Calibri"/>
          <w:b/>
          <w:color w:val="365F91"/>
          <w:lang w:val="es-GT"/>
        </w:rPr>
        <w:t>CE.2.</w:t>
      </w:r>
      <w:r w:rsidRPr="001A01AB">
        <w:rPr>
          <w:rFonts w:ascii="Calibri" w:hAnsi="Calibri" w:cs="Calibri"/>
          <w:b/>
          <w:color w:val="365F91"/>
          <w:lang w:val="es-GT"/>
        </w:rPr>
        <w:tab/>
        <w:t>Política social (atención a las poblaciones en situación de pobreza y extrema pobreza)</w:t>
      </w:r>
    </w:p>
    <w:p w:rsidR="00E31B19" w:rsidRPr="001A01AB" w:rsidRDefault="00E31B19" w:rsidP="00E31B19">
      <w:pPr>
        <w:spacing w:after="120"/>
        <w:ind w:left="720"/>
        <w:jc w:val="both"/>
        <w:rPr>
          <w:rFonts w:ascii="Calibri" w:hAnsi="Calibri" w:cs="Calibri"/>
          <w:lang w:val="es-GT"/>
        </w:rPr>
      </w:pPr>
      <w:r w:rsidRPr="001A01AB">
        <w:rPr>
          <w:rFonts w:ascii="Calibri" w:hAnsi="Calibri" w:cs="Calibri"/>
          <w:lang w:val="es-GT"/>
        </w:rPr>
        <w:t xml:space="preserve">Muchos grupos de población se encuentran en condiciones de alta precariedad, por lo que se deben realizar esfuerzos importantes, vía subsidiariedad, para evitar que </w:t>
      </w:r>
      <w:r w:rsidR="00D924B2" w:rsidRPr="001A01AB">
        <w:rPr>
          <w:rFonts w:ascii="Calibri" w:hAnsi="Calibri" w:cs="Calibri"/>
          <w:lang w:val="es-GT"/>
        </w:rPr>
        <w:t xml:space="preserve">sus condiciones de vida </w:t>
      </w:r>
      <w:r w:rsidR="00D924B2">
        <w:rPr>
          <w:rFonts w:ascii="Calibri" w:hAnsi="Calibri" w:cs="Calibri"/>
          <w:lang w:val="es-GT"/>
        </w:rPr>
        <w:t xml:space="preserve">se </w:t>
      </w:r>
      <w:r w:rsidRPr="001A01AB">
        <w:rPr>
          <w:rFonts w:ascii="Calibri" w:hAnsi="Calibri" w:cs="Calibri"/>
          <w:lang w:val="es-GT"/>
        </w:rPr>
        <w:t>sigan de</w:t>
      </w:r>
      <w:r w:rsidR="00D924B2">
        <w:rPr>
          <w:rFonts w:ascii="Calibri" w:hAnsi="Calibri" w:cs="Calibri"/>
          <w:lang w:val="es-GT"/>
        </w:rPr>
        <w:t>gradando</w:t>
      </w:r>
      <w:r w:rsidRPr="001A01AB">
        <w:rPr>
          <w:rFonts w:ascii="Calibri" w:hAnsi="Calibri" w:cs="Calibri"/>
          <w:lang w:val="es-GT"/>
        </w:rPr>
        <w:t>. Se considera importante atender los temas de:</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Transferencias condicionadas para el apoyo de la educación</w:t>
      </w:r>
      <w:r w:rsidR="00D924B2">
        <w:rPr>
          <w:rFonts w:ascii="Calibri" w:hAnsi="Calibri" w:cs="Calibri"/>
          <w:lang w:val="es-GT"/>
        </w:rPr>
        <w:t>.</w:t>
      </w:r>
      <w:r w:rsidRPr="001A01AB">
        <w:rPr>
          <w:rFonts w:ascii="Calibri" w:hAnsi="Calibri" w:cs="Calibri"/>
          <w:lang w:val="es-GT"/>
        </w:rPr>
        <w:t xml:space="preserve"> </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Seguridad alimentaria de grupos vulnerables (bolsas seguras, programa de tortilla mejorada, entre otros)</w:t>
      </w:r>
      <w:r w:rsidR="00D924B2">
        <w:rPr>
          <w:rFonts w:ascii="Calibri" w:hAnsi="Calibri" w:cs="Calibri"/>
          <w:lang w:val="es-GT"/>
        </w:rPr>
        <w:t>.</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Salud materno-infantil (ventana de los 1000 días, salud preventiva, entre otros).</w:t>
      </w:r>
    </w:p>
    <w:p w:rsidR="00E31B19" w:rsidRPr="001A01AB" w:rsidRDefault="00E31B19" w:rsidP="00E31B19">
      <w:pPr>
        <w:ind w:left="360"/>
        <w:jc w:val="both"/>
        <w:rPr>
          <w:rFonts w:ascii="Calibri" w:hAnsi="Calibri" w:cs="Calibri"/>
          <w:lang w:val="es-GT"/>
        </w:rPr>
      </w:pPr>
    </w:p>
    <w:p w:rsidR="00E31B19" w:rsidRPr="001A01AB" w:rsidRDefault="00E31B19" w:rsidP="00E31B19">
      <w:pPr>
        <w:jc w:val="both"/>
        <w:rPr>
          <w:rFonts w:ascii="Calibri" w:hAnsi="Calibri" w:cs="Calibri"/>
          <w:b/>
          <w:color w:val="365F91"/>
          <w:lang w:val="es-GT"/>
        </w:rPr>
      </w:pPr>
      <w:r w:rsidRPr="001A01AB">
        <w:rPr>
          <w:rFonts w:ascii="Calibri" w:hAnsi="Calibri" w:cs="Calibri"/>
          <w:b/>
          <w:color w:val="365F91"/>
          <w:lang w:val="es-GT"/>
        </w:rPr>
        <w:t>CE.3.</w:t>
      </w:r>
      <w:r w:rsidRPr="001A01AB">
        <w:rPr>
          <w:rFonts w:ascii="Calibri" w:hAnsi="Calibri" w:cs="Calibri"/>
          <w:b/>
          <w:color w:val="365F91"/>
          <w:lang w:val="es-GT"/>
        </w:rPr>
        <w:tab/>
        <w:t>Fomento productivo-comercial</w:t>
      </w:r>
    </w:p>
    <w:p w:rsidR="00E31B19" w:rsidRPr="001A01AB" w:rsidRDefault="00E31B19" w:rsidP="00E31B19">
      <w:pPr>
        <w:spacing w:after="120"/>
        <w:ind w:left="720"/>
        <w:jc w:val="both"/>
        <w:rPr>
          <w:rFonts w:ascii="Calibri" w:hAnsi="Calibri" w:cs="Calibri"/>
          <w:lang w:val="es-GT"/>
        </w:rPr>
      </w:pPr>
      <w:r w:rsidRPr="001A01AB">
        <w:rPr>
          <w:rFonts w:ascii="Calibri" w:hAnsi="Calibri" w:cs="Calibri"/>
          <w:lang w:val="es-GT"/>
        </w:rPr>
        <w:t>Busca vincular a los grupos de agricultores con el mercado, reduciendo los canales de comercialización y mejorando sus capacidades para posicionarlos ante los mercados identificados. Las principales acciones identificadas son:</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Encadenamiento</w:t>
      </w:r>
      <w:r w:rsidR="00D924B2">
        <w:rPr>
          <w:rFonts w:ascii="Calibri" w:hAnsi="Calibri" w:cs="Calibri"/>
          <w:lang w:val="es-GT"/>
        </w:rPr>
        <w:t>s</w:t>
      </w:r>
      <w:r w:rsidRPr="001A01AB">
        <w:rPr>
          <w:rFonts w:ascii="Calibri" w:hAnsi="Calibri" w:cs="Calibri"/>
          <w:lang w:val="es-GT"/>
        </w:rPr>
        <w:t xml:space="preserve"> productivos</w:t>
      </w:r>
      <w:r w:rsidR="00D924B2">
        <w:rPr>
          <w:rFonts w:ascii="Calibri" w:hAnsi="Calibri" w:cs="Calibri"/>
          <w:lang w:val="es-GT"/>
        </w:rPr>
        <w:t>.</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Fomento a las MIPYMES rurales y del sector cooperativo rural</w:t>
      </w:r>
      <w:r w:rsidR="00D924B2">
        <w:rPr>
          <w:rFonts w:ascii="Calibri" w:hAnsi="Calibri" w:cs="Calibri"/>
          <w:lang w:val="es-GT"/>
        </w:rPr>
        <w:t>.</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Servicios financieros (crédito rural)</w:t>
      </w:r>
      <w:r w:rsidR="00D924B2">
        <w:rPr>
          <w:rFonts w:ascii="Calibri" w:hAnsi="Calibri" w:cs="Calibri"/>
          <w:lang w:val="es-GT"/>
        </w:rPr>
        <w:t>.</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Servicios de apoyo a la comercialización</w:t>
      </w:r>
      <w:r w:rsidR="00D924B2">
        <w:rPr>
          <w:rFonts w:ascii="Calibri" w:hAnsi="Calibri" w:cs="Calibri"/>
          <w:lang w:val="es-GT"/>
        </w:rPr>
        <w:t>.</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lastRenderedPageBreak/>
        <w:t>Fortalecimiento de capacidades locales, por medio de acciones de asistencia técnica y transferencia de tecnología.</w:t>
      </w:r>
    </w:p>
    <w:p w:rsidR="00E31B19" w:rsidRPr="001A01AB" w:rsidRDefault="00E31B19" w:rsidP="00E31B19">
      <w:pPr>
        <w:ind w:left="360"/>
        <w:jc w:val="both"/>
        <w:rPr>
          <w:rFonts w:ascii="Calibri" w:hAnsi="Calibri" w:cs="Calibri"/>
          <w:lang w:val="es-GT"/>
        </w:rPr>
      </w:pPr>
    </w:p>
    <w:p w:rsidR="00E31B19" w:rsidRPr="001A01AB" w:rsidRDefault="00E31B19" w:rsidP="00E31B19">
      <w:pPr>
        <w:jc w:val="both"/>
        <w:rPr>
          <w:rFonts w:ascii="Calibri" w:hAnsi="Calibri" w:cs="Calibri"/>
          <w:b/>
          <w:color w:val="365F91"/>
          <w:lang w:val="es-GT"/>
        </w:rPr>
      </w:pPr>
      <w:r w:rsidRPr="001A01AB">
        <w:rPr>
          <w:rFonts w:ascii="Calibri" w:hAnsi="Calibri" w:cs="Calibri"/>
          <w:b/>
          <w:color w:val="365F91"/>
          <w:lang w:val="es-GT"/>
        </w:rPr>
        <w:t>CE.4.</w:t>
      </w:r>
      <w:r w:rsidRPr="001A01AB">
        <w:rPr>
          <w:rFonts w:ascii="Calibri" w:hAnsi="Calibri" w:cs="Calibri"/>
          <w:b/>
          <w:color w:val="365F91"/>
          <w:lang w:val="es-GT"/>
        </w:rPr>
        <w:tab/>
        <w:t>Atención al tema agrario</w:t>
      </w:r>
    </w:p>
    <w:p w:rsidR="00E31B19" w:rsidRPr="001A01AB" w:rsidRDefault="00E31B19" w:rsidP="00E31B19">
      <w:pPr>
        <w:spacing w:after="120"/>
        <w:ind w:left="720"/>
        <w:jc w:val="both"/>
        <w:rPr>
          <w:rFonts w:ascii="Calibri" w:hAnsi="Calibri" w:cs="Calibri"/>
          <w:lang w:val="es-GT"/>
        </w:rPr>
      </w:pPr>
      <w:r w:rsidRPr="001A01AB">
        <w:rPr>
          <w:rFonts w:ascii="Calibri" w:hAnsi="Calibri" w:cs="Calibri"/>
          <w:lang w:val="es-GT"/>
        </w:rPr>
        <w:t>Existen altas demandas de los sectores campesinos por el tema agrario que</w:t>
      </w:r>
      <w:r w:rsidR="001878DC">
        <w:rPr>
          <w:rFonts w:ascii="Calibri" w:hAnsi="Calibri" w:cs="Calibri"/>
          <w:lang w:val="es-GT"/>
        </w:rPr>
        <w:t>,</w:t>
      </w:r>
      <w:r w:rsidRPr="001A01AB">
        <w:rPr>
          <w:rFonts w:ascii="Calibri" w:hAnsi="Calibri" w:cs="Calibri"/>
          <w:lang w:val="es-GT"/>
        </w:rPr>
        <w:t xml:space="preserve"> en algunos casos, han llegado a nivel de crisis. </w:t>
      </w:r>
      <w:r w:rsidR="001878DC">
        <w:rPr>
          <w:rFonts w:ascii="Calibri" w:hAnsi="Calibri" w:cs="Calibri"/>
          <w:lang w:val="es-GT"/>
        </w:rPr>
        <w:t>S</w:t>
      </w:r>
      <w:r w:rsidRPr="001A01AB">
        <w:rPr>
          <w:rFonts w:ascii="Calibri" w:hAnsi="Calibri" w:cs="Calibri"/>
          <w:lang w:val="es-GT"/>
        </w:rPr>
        <w:t xml:space="preserve">u abordaje </w:t>
      </w:r>
      <w:r w:rsidR="001878DC">
        <w:rPr>
          <w:rFonts w:ascii="Calibri" w:hAnsi="Calibri" w:cs="Calibri"/>
          <w:lang w:val="es-GT"/>
        </w:rPr>
        <w:t>e</w:t>
      </w:r>
      <w:r w:rsidR="001878DC" w:rsidRPr="001A01AB">
        <w:rPr>
          <w:rFonts w:ascii="Calibri" w:hAnsi="Calibri" w:cs="Calibri"/>
          <w:lang w:val="es-GT"/>
        </w:rPr>
        <w:t xml:space="preserve">s indispensable </w:t>
      </w:r>
      <w:r w:rsidRPr="001A01AB">
        <w:rPr>
          <w:rFonts w:ascii="Calibri" w:hAnsi="Calibri" w:cs="Calibri"/>
          <w:lang w:val="es-GT"/>
        </w:rPr>
        <w:t>para garantizar un desarrollo a largo plazo, principalmente para evitar que estas condiciones se puedan constituir en limitantes para el desarrollo rural del país. Algunos temas a considerar son:</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Atender la demanda de acceso a la tierra por parte de las economías campesinas, como sujeto priorizado en la PNDRI</w:t>
      </w:r>
      <w:r w:rsidR="001878DC">
        <w:rPr>
          <w:rFonts w:ascii="Calibri" w:hAnsi="Calibri" w:cs="Calibri"/>
          <w:lang w:val="es-GT"/>
        </w:rPr>
        <w:t>.</w:t>
      </w:r>
    </w:p>
    <w:p w:rsidR="00E31B19" w:rsidRPr="001A01AB" w:rsidRDefault="001878DC" w:rsidP="006B0A31">
      <w:pPr>
        <w:numPr>
          <w:ilvl w:val="1"/>
          <w:numId w:val="26"/>
        </w:numPr>
        <w:tabs>
          <w:tab w:val="clear" w:pos="1440"/>
          <w:tab w:val="num" w:pos="1080"/>
        </w:tabs>
        <w:spacing w:after="120"/>
        <w:ind w:left="1080"/>
        <w:jc w:val="both"/>
        <w:rPr>
          <w:rFonts w:ascii="Calibri" w:hAnsi="Calibri" w:cs="Calibri"/>
          <w:lang w:val="es-GT"/>
        </w:rPr>
      </w:pPr>
      <w:r>
        <w:rPr>
          <w:rFonts w:ascii="Calibri" w:hAnsi="Calibri" w:cs="Calibri"/>
          <w:lang w:val="es-GT"/>
        </w:rPr>
        <w:t>Fomentar el diá</w:t>
      </w:r>
      <w:r w:rsidR="00E31B19" w:rsidRPr="001A01AB">
        <w:rPr>
          <w:rFonts w:ascii="Calibri" w:hAnsi="Calibri" w:cs="Calibri"/>
          <w:lang w:val="es-GT"/>
        </w:rPr>
        <w:t>logo intersectorial</w:t>
      </w:r>
      <w:r>
        <w:rPr>
          <w:rFonts w:ascii="Calibri" w:hAnsi="Calibri" w:cs="Calibri"/>
          <w:lang w:val="es-GT"/>
        </w:rPr>
        <w:t>.</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Reducir la conflictividad agraria</w:t>
      </w:r>
      <w:r w:rsidR="001878DC">
        <w:rPr>
          <w:rFonts w:ascii="Calibri" w:hAnsi="Calibri" w:cs="Calibri"/>
          <w:lang w:val="es-GT"/>
        </w:rPr>
        <w:t>.</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Mantener y desarrollar las relaciones entre el gobierno y las organizaciones campesinas</w:t>
      </w:r>
      <w:r w:rsidR="001878DC">
        <w:rPr>
          <w:rFonts w:ascii="Calibri" w:hAnsi="Calibri" w:cs="Calibri"/>
          <w:lang w:val="es-GT"/>
        </w:rPr>
        <w:t>.</w:t>
      </w:r>
    </w:p>
    <w:p w:rsidR="00E31B19" w:rsidRPr="001A01AB" w:rsidRDefault="001878DC" w:rsidP="006B0A31">
      <w:pPr>
        <w:numPr>
          <w:ilvl w:val="1"/>
          <w:numId w:val="26"/>
        </w:numPr>
        <w:tabs>
          <w:tab w:val="clear" w:pos="1440"/>
          <w:tab w:val="num" w:pos="1080"/>
        </w:tabs>
        <w:spacing w:after="120"/>
        <w:ind w:left="1080"/>
        <w:jc w:val="both"/>
        <w:rPr>
          <w:rFonts w:ascii="Calibri" w:hAnsi="Calibri" w:cs="Calibri"/>
          <w:lang w:val="es-GT"/>
        </w:rPr>
      </w:pPr>
      <w:r>
        <w:rPr>
          <w:rFonts w:ascii="Calibri" w:hAnsi="Calibri" w:cs="Calibri"/>
          <w:lang w:val="es-GT"/>
        </w:rPr>
        <w:t>Promover</w:t>
      </w:r>
      <w:r w:rsidR="00E31B19" w:rsidRPr="001A01AB">
        <w:rPr>
          <w:rFonts w:ascii="Calibri" w:hAnsi="Calibri" w:cs="Calibri"/>
          <w:lang w:val="es-GT"/>
        </w:rPr>
        <w:t xml:space="preserve"> la certeza jurídica sobre la propiedad, posesión y tenencia de la tierra</w:t>
      </w:r>
      <w:r>
        <w:rPr>
          <w:rFonts w:ascii="Calibri" w:hAnsi="Calibri" w:cs="Calibri"/>
          <w:lang w:val="es-GT"/>
        </w:rPr>
        <w:t>.</w:t>
      </w:r>
    </w:p>
    <w:p w:rsidR="00E31B19" w:rsidRPr="001A01AB" w:rsidRDefault="00E31B19" w:rsidP="00E31B19">
      <w:pPr>
        <w:ind w:left="360"/>
        <w:jc w:val="both"/>
        <w:rPr>
          <w:rFonts w:ascii="Calibri" w:hAnsi="Calibri" w:cs="Calibri"/>
          <w:lang w:val="es-GT"/>
        </w:rPr>
      </w:pPr>
    </w:p>
    <w:p w:rsidR="00E31B19" w:rsidRPr="001A01AB" w:rsidRDefault="00E31B19" w:rsidP="00E31B19">
      <w:pPr>
        <w:jc w:val="both"/>
        <w:rPr>
          <w:rFonts w:ascii="Calibri" w:hAnsi="Calibri" w:cs="Calibri"/>
          <w:b/>
          <w:color w:val="365F91"/>
          <w:lang w:val="es-GT"/>
        </w:rPr>
      </w:pPr>
      <w:r w:rsidRPr="001A01AB">
        <w:rPr>
          <w:rFonts w:ascii="Calibri" w:hAnsi="Calibri" w:cs="Calibri"/>
          <w:b/>
          <w:color w:val="365F91"/>
          <w:lang w:val="es-GT"/>
        </w:rPr>
        <w:t>C.E.5.</w:t>
      </w:r>
      <w:r w:rsidRPr="001A01AB">
        <w:rPr>
          <w:rFonts w:ascii="Calibri" w:hAnsi="Calibri" w:cs="Calibri"/>
          <w:b/>
          <w:color w:val="365F91"/>
          <w:lang w:val="es-GT"/>
        </w:rPr>
        <w:tab/>
        <w:t>Asegurar la sostenibilidad ambiental</w:t>
      </w:r>
    </w:p>
    <w:p w:rsidR="00E31B19" w:rsidRPr="001A01AB" w:rsidRDefault="00E31B19" w:rsidP="00E31B19">
      <w:pPr>
        <w:spacing w:after="120"/>
        <w:ind w:left="720"/>
        <w:jc w:val="both"/>
        <w:rPr>
          <w:rFonts w:ascii="Calibri" w:hAnsi="Calibri" w:cs="Calibri"/>
          <w:lang w:val="es-GT"/>
        </w:rPr>
      </w:pPr>
      <w:r w:rsidRPr="001A01AB">
        <w:rPr>
          <w:rFonts w:ascii="Calibri" w:hAnsi="Calibri" w:cs="Calibri"/>
          <w:lang w:val="es-GT"/>
        </w:rPr>
        <w:t xml:space="preserve">Las últimas evaluaciones </w:t>
      </w:r>
      <w:r w:rsidR="001878DC">
        <w:rPr>
          <w:rFonts w:ascii="Calibri" w:hAnsi="Calibri" w:cs="Calibri"/>
          <w:lang w:val="es-GT"/>
        </w:rPr>
        <w:t>de</w:t>
      </w:r>
      <w:r w:rsidRPr="001A01AB">
        <w:rPr>
          <w:rFonts w:ascii="Calibri" w:hAnsi="Calibri" w:cs="Calibri"/>
          <w:lang w:val="es-GT"/>
        </w:rPr>
        <w:t xml:space="preserve"> las condiciones ambientales del país mues</w:t>
      </w:r>
      <w:r w:rsidR="001878DC">
        <w:rPr>
          <w:rFonts w:ascii="Calibri" w:hAnsi="Calibri" w:cs="Calibri"/>
          <w:lang w:val="es-GT"/>
        </w:rPr>
        <w:t xml:space="preserve">tran un alto deterioro, con </w:t>
      </w:r>
      <w:r w:rsidRPr="001A01AB">
        <w:rPr>
          <w:rFonts w:ascii="Calibri" w:hAnsi="Calibri" w:cs="Calibri"/>
          <w:lang w:val="es-GT"/>
        </w:rPr>
        <w:t>efectos directos sobre el bienestar de la población. Por esta razón</w:t>
      </w:r>
      <w:r w:rsidR="001878DC">
        <w:rPr>
          <w:rFonts w:ascii="Calibri" w:hAnsi="Calibri" w:cs="Calibri"/>
          <w:lang w:val="es-GT"/>
        </w:rPr>
        <w:t>,</w:t>
      </w:r>
      <w:r w:rsidRPr="001A01AB">
        <w:rPr>
          <w:rFonts w:ascii="Calibri" w:hAnsi="Calibri" w:cs="Calibri"/>
          <w:lang w:val="es-GT"/>
        </w:rPr>
        <w:t xml:space="preserve"> se deben atender acciones prioritarias en temas relacionados con:</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Protección de los recursos naturales</w:t>
      </w:r>
      <w:r w:rsidR="001878DC">
        <w:rPr>
          <w:rFonts w:ascii="Calibri" w:hAnsi="Calibri" w:cs="Calibri"/>
          <w:lang w:val="es-GT"/>
        </w:rPr>
        <w:t>.</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Fomento al manejo y uso sostenible de los recursos naturales</w:t>
      </w:r>
      <w:r w:rsidR="001878DC">
        <w:rPr>
          <w:rFonts w:ascii="Calibri" w:hAnsi="Calibri" w:cs="Calibri"/>
          <w:lang w:val="es-GT"/>
        </w:rPr>
        <w:t>.</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Identificación e implementación de acciones para mitigar los impactos de las actividades productivas campesinas sobre el ambiente y los recursos naturales</w:t>
      </w:r>
      <w:r w:rsidR="001878DC">
        <w:rPr>
          <w:rFonts w:ascii="Calibri" w:hAnsi="Calibri" w:cs="Calibri"/>
          <w:lang w:val="es-GT"/>
        </w:rPr>
        <w:t>.</w:t>
      </w:r>
    </w:p>
    <w:p w:rsidR="00E31B19" w:rsidRPr="001A01AB" w:rsidRDefault="00E31B19" w:rsidP="006B0A31">
      <w:pPr>
        <w:numPr>
          <w:ilvl w:val="1"/>
          <w:numId w:val="26"/>
        </w:numPr>
        <w:tabs>
          <w:tab w:val="clear" w:pos="1440"/>
          <w:tab w:val="num" w:pos="1080"/>
        </w:tabs>
        <w:spacing w:after="120"/>
        <w:ind w:left="1080"/>
        <w:jc w:val="both"/>
        <w:rPr>
          <w:rFonts w:ascii="Calibri" w:hAnsi="Calibri" w:cs="Calibri"/>
          <w:lang w:val="es-GT"/>
        </w:rPr>
      </w:pPr>
      <w:r w:rsidRPr="001A01AB">
        <w:rPr>
          <w:rFonts w:ascii="Calibri" w:hAnsi="Calibri" w:cs="Calibri"/>
          <w:lang w:val="es-GT"/>
        </w:rPr>
        <w:t>Gestión del riesgo</w:t>
      </w:r>
      <w:r w:rsidR="001878DC">
        <w:rPr>
          <w:rFonts w:ascii="Calibri" w:hAnsi="Calibri" w:cs="Calibri"/>
          <w:lang w:val="es-GT"/>
        </w:rPr>
        <w:t>.</w:t>
      </w:r>
    </w:p>
    <w:p w:rsidR="00E31B19" w:rsidRPr="001A01AB" w:rsidRDefault="00E31B19" w:rsidP="00E31B19">
      <w:pPr>
        <w:ind w:left="360"/>
        <w:jc w:val="both"/>
        <w:rPr>
          <w:rFonts w:ascii="Calibri" w:hAnsi="Calibri" w:cs="Calibri"/>
          <w:lang w:val="es-GT"/>
        </w:rPr>
      </w:pPr>
    </w:p>
    <w:p w:rsidR="00E31B19" w:rsidRPr="001A01AB" w:rsidRDefault="00E31B19" w:rsidP="004E2482">
      <w:pPr>
        <w:pStyle w:val="Prrafodelista"/>
        <w:numPr>
          <w:ilvl w:val="1"/>
          <w:numId w:val="55"/>
        </w:numPr>
        <w:autoSpaceDE w:val="0"/>
        <w:autoSpaceDN w:val="0"/>
        <w:adjustRightInd w:val="0"/>
        <w:spacing w:after="120" w:line="264" w:lineRule="auto"/>
        <w:ind w:left="720" w:hanging="720"/>
        <w:jc w:val="both"/>
        <w:outlineLvl w:val="1"/>
        <w:rPr>
          <w:rFonts w:cs="Calibri"/>
          <w:b/>
          <w:color w:val="365F91"/>
          <w:sz w:val="28"/>
          <w:lang w:eastAsia="es-GT"/>
        </w:rPr>
      </w:pPr>
      <w:bookmarkStart w:id="154" w:name="_Toc336951332"/>
      <w:bookmarkStart w:id="155" w:name="_Toc339926604"/>
      <w:bookmarkStart w:id="156" w:name="_Toc340065172"/>
      <w:bookmarkStart w:id="157" w:name="_Toc340065264"/>
      <w:bookmarkStart w:id="158" w:name="_Toc340565857"/>
      <w:bookmarkStart w:id="159" w:name="_Toc347841307"/>
      <w:r w:rsidRPr="001A01AB">
        <w:rPr>
          <w:rFonts w:cs="Calibri"/>
          <w:b/>
          <w:color w:val="365F91"/>
          <w:sz w:val="28"/>
          <w:lang w:eastAsia="es-GT"/>
        </w:rPr>
        <w:t>Principales Aspectos Socio-Ambientales (ASA)</w:t>
      </w:r>
      <w:bookmarkEnd w:id="154"/>
      <w:bookmarkEnd w:id="155"/>
      <w:bookmarkEnd w:id="156"/>
      <w:bookmarkEnd w:id="157"/>
      <w:bookmarkEnd w:id="158"/>
      <w:bookmarkEnd w:id="159"/>
    </w:p>
    <w:p w:rsidR="00E31B19" w:rsidRPr="001A01AB" w:rsidRDefault="00E31B19" w:rsidP="00E31B19">
      <w:pPr>
        <w:ind w:left="360"/>
        <w:jc w:val="both"/>
        <w:rPr>
          <w:rFonts w:ascii="Calibri" w:hAnsi="Calibri" w:cs="Calibri"/>
          <w:lang w:val="es-GT"/>
        </w:rPr>
      </w:pPr>
    </w:p>
    <w:p w:rsidR="00E31B19" w:rsidRPr="001A01AB" w:rsidRDefault="00E31B19" w:rsidP="00FF447B">
      <w:pPr>
        <w:ind w:left="360"/>
        <w:jc w:val="both"/>
        <w:rPr>
          <w:rFonts w:ascii="Calibri" w:hAnsi="Calibri" w:cs="Calibri"/>
          <w:lang w:val="es-GT"/>
        </w:rPr>
      </w:pPr>
      <w:r w:rsidRPr="001A01AB">
        <w:rPr>
          <w:rFonts w:ascii="Calibri" w:hAnsi="Calibri" w:cs="Calibri"/>
          <w:lang w:val="es-GT"/>
        </w:rPr>
        <w:t>A partir del análisis del contexto nacional actual, y con base en el marco analítico del sistema socio-ecológico, se identificaron los principales aspectos de la problemática del ambiente y los recursos naturales de Guatemala. Asimismo, se analizaron las actividades que directamente causan los problemas identificados, y cuáles son los actores re</w:t>
      </w:r>
      <w:r w:rsidR="001878DC">
        <w:rPr>
          <w:rFonts w:ascii="Calibri" w:hAnsi="Calibri" w:cs="Calibri"/>
          <w:lang w:val="es-GT"/>
        </w:rPr>
        <w:t>sponsables de dichas</w:t>
      </w:r>
      <w:r w:rsidR="00FF447B">
        <w:rPr>
          <w:rFonts w:ascii="Calibri" w:hAnsi="Calibri" w:cs="Calibri"/>
          <w:lang w:val="es-GT"/>
        </w:rPr>
        <w:t xml:space="preserve"> actividades.</w:t>
      </w:r>
    </w:p>
    <w:p w:rsidR="00E31B19" w:rsidRPr="001A01AB" w:rsidRDefault="00E31B19" w:rsidP="00E31B19">
      <w:pPr>
        <w:ind w:left="360"/>
        <w:jc w:val="both"/>
        <w:rPr>
          <w:rFonts w:ascii="Calibri" w:hAnsi="Calibri" w:cs="Calibri"/>
          <w:lang w:val="es-GT"/>
        </w:rPr>
      </w:pPr>
    </w:p>
    <w:p w:rsidR="00E31B19" w:rsidRPr="001A01AB" w:rsidRDefault="001878DC" w:rsidP="00E31B19">
      <w:pPr>
        <w:ind w:left="360"/>
        <w:jc w:val="both"/>
        <w:rPr>
          <w:rFonts w:ascii="Calibri" w:hAnsi="Calibri" w:cs="Calibri"/>
          <w:lang w:val="es-GT"/>
        </w:rPr>
      </w:pPr>
      <w:r>
        <w:rPr>
          <w:rFonts w:ascii="Calibri" w:hAnsi="Calibri" w:cs="Calibri"/>
          <w:lang w:val="es-GT"/>
        </w:rPr>
        <w:t>S</w:t>
      </w:r>
      <w:r w:rsidR="00E31B19" w:rsidRPr="001A01AB">
        <w:rPr>
          <w:rFonts w:ascii="Calibri" w:hAnsi="Calibri" w:cs="Calibri"/>
          <w:lang w:val="es-GT"/>
        </w:rPr>
        <w:t xml:space="preserve">iguiendo la lógica del sistema socio-ecológico, se identificaron y priorizaron los aspectos socio-ambientales que pueden influir para lograr el </w:t>
      </w:r>
      <w:r w:rsidR="00E62091" w:rsidRPr="001A01AB">
        <w:rPr>
          <w:rFonts w:ascii="Calibri" w:hAnsi="Calibri" w:cs="Calibri"/>
          <w:lang w:val="es-GT"/>
        </w:rPr>
        <w:t xml:space="preserve">desarrollo rural integral </w:t>
      </w:r>
      <w:r w:rsidR="00E31B19" w:rsidRPr="001A01AB">
        <w:rPr>
          <w:rFonts w:ascii="Calibri" w:hAnsi="Calibri" w:cs="Calibri"/>
          <w:lang w:val="es-GT"/>
        </w:rPr>
        <w:t xml:space="preserve">en Guatemala (Cuadro </w:t>
      </w:r>
      <w:r w:rsidR="0006749C">
        <w:rPr>
          <w:rFonts w:ascii="Calibri" w:hAnsi="Calibri" w:cs="Calibri"/>
          <w:lang w:val="es-GT"/>
        </w:rPr>
        <w:t>7</w:t>
      </w:r>
      <w:r w:rsidR="00E31B19" w:rsidRPr="001A01AB">
        <w:rPr>
          <w:rFonts w:ascii="Calibri" w:hAnsi="Calibri" w:cs="Calibri"/>
          <w:lang w:val="es-GT"/>
        </w:rPr>
        <w:t>).</w:t>
      </w:r>
    </w:p>
    <w:p w:rsidR="00E31B19" w:rsidRPr="001A01AB" w:rsidRDefault="00E31B19" w:rsidP="00E31B19">
      <w:pPr>
        <w:jc w:val="both"/>
        <w:rPr>
          <w:rFonts w:ascii="Calibri" w:hAnsi="Calibri" w:cs="Calibri"/>
          <w:lang w:val="es-GT"/>
        </w:rPr>
      </w:pPr>
    </w:p>
    <w:p w:rsidR="00E31B19" w:rsidRPr="001A01AB" w:rsidRDefault="00E31B19" w:rsidP="00E31B19">
      <w:pPr>
        <w:jc w:val="both"/>
        <w:rPr>
          <w:rFonts w:ascii="Calibri" w:hAnsi="Calibri" w:cs="Calibri"/>
          <w:lang w:val="es-GT"/>
        </w:rPr>
        <w:sectPr w:rsidR="00E31B19" w:rsidRPr="001A01AB" w:rsidSect="00F92C0A">
          <w:pgSz w:w="12240" w:h="15840" w:code="1"/>
          <w:pgMar w:top="1440" w:right="1152" w:bottom="1440" w:left="1440" w:header="720" w:footer="720" w:gutter="0"/>
          <w:cols w:space="720"/>
          <w:docGrid w:linePitch="360"/>
        </w:sectPr>
      </w:pPr>
    </w:p>
    <w:p w:rsidR="00E31B19" w:rsidRPr="001A01AB" w:rsidRDefault="00E31B19" w:rsidP="00E31B19">
      <w:pPr>
        <w:jc w:val="both"/>
        <w:rPr>
          <w:rFonts w:ascii="Calibri" w:hAnsi="Calibri" w:cs="Calibri"/>
          <w:lang w:val="es-GT"/>
        </w:rPr>
      </w:pPr>
    </w:p>
    <w:p w:rsidR="00E31B19" w:rsidRDefault="00C54ACC" w:rsidP="00C54ACC">
      <w:pPr>
        <w:pStyle w:val="Epgrafe"/>
        <w:jc w:val="center"/>
        <w:rPr>
          <w:rFonts w:asciiTheme="minorHAnsi" w:hAnsiTheme="minorHAnsi" w:cstheme="minorHAnsi"/>
          <w:color w:val="365F91" w:themeColor="accent1" w:themeShade="BF"/>
          <w:sz w:val="22"/>
          <w:szCs w:val="22"/>
          <w:lang w:val="es-GT"/>
        </w:rPr>
      </w:pPr>
      <w:bookmarkStart w:id="160" w:name="_Toc347841189"/>
      <w:r w:rsidRPr="00B16F0F">
        <w:rPr>
          <w:rFonts w:asciiTheme="minorHAnsi" w:hAnsiTheme="minorHAnsi" w:cstheme="minorHAnsi"/>
          <w:color w:val="365F91" w:themeColor="accent1" w:themeShade="BF"/>
          <w:sz w:val="22"/>
          <w:szCs w:val="22"/>
          <w:lang w:val="es-GT"/>
        </w:rPr>
        <w:t xml:space="preserve">Cuadro </w:t>
      </w:r>
      <w:r w:rsidRPr="00B16F0F">
        <w:rPr>
          <w:rFonts w:asciiTheme="minorHAnsi" w:hAnsiTheme="minorHAnsi" w:cstheme="minorHAnsi"/>
          <w:color w:val="365F91" w:themeColor="accent1" w:themeShade="BF"/>
          <w:sz w:val="22"/>
          <w:szCs w:val="22"/>
          <w:lang w:val="es-GT"/>
        </w:rPr>
        <w:fldChar w:fldCharType="begin"/>
      </w:r>
      <w:r w:rsidRPr="00B16F0F">
        <w:rPr>
          <w:rFonts w:asciiTheme="minorHAnsi" w:hAnsiTheme="minorHAnsi" w:cstheme="minorHAnsi"/>
          <w:color w:val="365F91" w:themeColor="accent1" w:themeShade="BF"/>
          <w:sz w:val="22"/>
          <w:szCs w:val="22"/>
          <w:lang w:val="es-GT"/>
        </w:rPr>
        <w:instrText xml:space="preserve"> SEQ Cuadro \* ARABIC </w:instrText>
      </w:r>
      <w:r w:rsidRPr="00B16F0F">
        <w:rPr>
          <w:rFonts w:asciiTheme="minorHAnsi" w:hAnsiTheme="minorHAnsi" w:cstheme="minorHAnsi"/>
          <w:color w:val="365F91" w:themeColor="accent1" w:themeShade="BF"/>
          <w:sz w:val="22"/>
          <w:szCs w:val="22"/>
          <w:lang w:val="es-GT"/>
        </w:rPr>
        <w:fldChar w:fldCharType="separate"/>
      </w:r>
      <w:r w:rsidRPr="00B16F0F">
        <w:rPr>
          <w:rFonts w:asciiTheme="minorHAnsi" w:hAnsiTheme="minorHAnsi" w:cstheme="minorHAnsi"/>
          <w:color w:val="365F91" w:themeColor="accent1" w:themeShade="BF"/>
          <w:sz w:val="22"/>
          <w:szCs w:val="22"/>
          <w:lang w:val="es-GT"/>
        </w:rPr>
        <w:t>7</w:t>
      </w:r>
      <w:r w:rsidRPr="00B16F0F">
        <w:rPr>
          <w:rFonts w:asciiTheme="minorHAnsi" w:hAnsiTheme="minorHAnsi" w:cstheme="minorHAnsi"/>
          <w:color w:val="365F91" w:themeColor="accent1" w:themeShade="BF"/>
          <w:sz w:val="22"/>
          <w:szCs w:val="22"/>
          <w:lang w:val="es-GT"/>
        </w:rPr>
        <w:fldChar w:fldCharType="end"/>
      </w:r>
      <w:r w:rsidRPr="00B16F0F">
        <w:rPr>
          <w:rFonts w:asciiTheme="minorHAnsi" w:hAnsiTheme="minorHAnsi" w:cstheme="minorHAnsi"/>
          <w:color w:val="365F91" w:themeColor="accent1" w:themeShade="BF"/>
          <w:sz w:val="22"/>
          <w:szCs w:val="22"/>
          <w:lang w:val="es-GT"/>
        </w:rPr>
        <w:t>. Problemas que pueden afectar el desarrollo rural integral en Guatemala</w:t>
      </w:r>
      <w:bookmarkEnd w:id="160"/>
    </w:p>
    <w:p w:rsidR="00B16F0F" w:rsidRPr="00B16F0F" w:rsidRDefault="00B16F0F" w:rsidP="00B16F0F">
      <w:pPr>
        <w:rPr>
          <w:rFonts w:eastAsia="Calibri"/>
          <w:lang w:val="es-GT"/>
        </w:rPr>
      </w:pPr>
    </w:p>
    <w:tbl>
      <w:tblPr>
        <w:tblW w:w="135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4"/>
        <w:gridCol w:w="2200"/>
        <w:gridCol w:w="9810"/>
      </w:tblGrid>
      <w:tr w:rsidR="00E31B19" w:rsidRPr="00C54ACC" w:rsidTr="001A01AB">
        <w:trPr>
          <w:tblHeader/>
          <w:jc w:val="center"/>
        </w:trPr>
        <w:tc>
          <w:tcPr>
            <w:tcW w:w="1544" w:type="dxa"/>
            <w:shd w:val="clear" w:color="auto" w:fill="17365D"/>
            <w:vAlign w:val="center"/>
          </w:tcPr>
          <w:p w:rsidR="00E31B19" w:rsidRPr="001A01AB" w:rsidRDefault="00E31B19" w:rsidP="007A5355">
            <w:pPr>
              <w:jc w:val="center"/>
              <w:rPr>
                <w:rFonts w:ascii="Calibri" w:hAnsi="Calibri" w:cs="Calibri"/>
                <w:b/>
                <w:color w:val="FFFFFF"/>
                <w:lang w:val="es-GT"/>
              </w:rPr>
            </w:pPr>
            <w:r w:rsidRPr="001A01AB">
              <w:rPr>
                <w:rFonts w:ascii="Calibri" w:hAnsi="Calibri" w:cs="Calibri"/>
                <w:b/>
                <w:color w:val="FFFFFF"/>
                <w:lang w:val="es-GT"/>
              </w:rPr>
              <w:t>Subsistema</w:t>
            </w:r>
          </w:p>
        </w:tc>
        <w:tc>
          <w:tcPr>
            <w:tcW w:w="2200" w:type="dxa"/>
            <w:shd w:val="clear" w:color="auto" w:fill="17365D"/>
            <w:vAlign w:val="center"/>
          </w:tcPr>
          <w:p w:rsidR="00E31B19" w:rsidRPr="001A01AB" w:rsidRDefault="00E31B19" w:rsidP="007A5355">
            <w:pPr>
              <w:jc w:val="center"/>
              <w:rPr>
                <w:rFonts w:ascii="Calibri" w:hAnsi="Calibri" w:cs="Calibri"/>
                <w:b/>
                <w:color w:val="FFFFFF"/>
                <w:lang w:val="es-GT"/>
              </w:rPr>
            </w:pPr>
            <w:r w:rsidRPr="001A01AB">
              <w:rPr>
                <w:rFonts w:ascii="Calibri" w:hAnsi="Calibri" w:cs="Calibri"/>
                <w:b/>
                <w:color w:val="FFFFFF"/>
                <w:lang w:val="es-GT"/>
              </w:rPr>
              <w:t>Componente</w:t>
            </w:r>
          </w:p>
        </w:tc>
        <w:tc>
          <w:tcPr>
            <w:tcW w:w="9810" w:type="dxa"/>
            <w:shd w:val="clear" w:color="auto" w:fill="17365D"/>
            <w:vAlign w:val="center"/>
          </w:tcPr>
          <w:p w:rsidR="00E31B19" w:rsidRPr="001A01AB" w:rsidRDefault="00E31B19" w:rsidP="007A5355">
            <w:pPr>
              <w:jc w:val="center"/>
              <w:rPr>
                <w:rFonts w:ascii="Calibri" w:hAnsi="Calibri" w:cs="Calibri"/>
                <w:b/>
                <w:color w:val="FFFFFF"/>
                <w:lang w:val="es-GT"/>
              </w:rPr>
            </w:pPr>
            <w:r w:rsidRPr="001A01AB">
              <w:rPr>
                <w:rFonts w:ascii="Calibri" w:hAnsi="Calibri" w:cs="Calibri"/>
                <w:b/>
                <w:color w:val="FFFFFF"/>
                <w:lang w:val="es-GT"/>
              </w:rPr>
              <w:t>Problemática</w:t>
            </w:r>
          </w:p>
        </w:tc>
      </w:tr>
      <w:tr w:rsidR="00E31B19" w:rsidRPr="000364C9" w:rsidTr="007A5355">
        <w:trPr>
          <w:jc w:val="center"/>
        </w:trPr>
        <w:tc>
          <w:tcPr>
            <w:tcW w:w="1544" w:type="dxa"/>
          </w:tcPr>
          <w:p w:rsidR="00E31B19" w:rsidRPr="001A01AB" w:rsidRDefault="00E31B19" w:rsidP="007A5355">
            <w:pPr>
              <w:jc w:val="both"/>
              <w:rPr>
                <w:rFonts w:ascii="Calibri" w:hAnsi="Calibri" w:cs="Calibri"/>
                <w:lang w:val="es-GT"/>
              </w:rPr>
            </w:pPr>
            <w:r w:rsidRPr="001A01AB">
              <w:rPr>
                <w:rFonts w:ascii="Calibri" w:hAnsi="Calibri" w:cs="Calibri"/>
                <w:lang w:val="es-GT"/>
              </w:rPr>
              <w:t>Institucional</w:t>
            </w:r>
          </w:p>
        </w:tc>
        <w:tc>
          <w:tcPr>
            <w:tcW w:w="2200" w:type="dxa"/>
          </w:tcPr>
          <w:p w:rsidR="00E31B19" w:rsidRPr="001A01AB" w:rsidRDefault="00E31B19" w:rsidP="007A5355">
            <w:pPr>
              <w:jc w:val="both"/>
              <w:rPr>
                <w:rFonts w:ascii="Calibri" w:hAnsi="Calibri" w:cs="Calibri"/>
                <w:lang w:val="es-GT"/>
              </w:rPr>
            </w:pPr>
            <w:r w:rsidRPr="001A01AB">
              <w:rPr>
                <w:rFonts w:ascii="Calibri" w:hAnsi="Calibri" w:cs="Calibri"/>
                <w:lang w:val="es-GT"/>
              </w:rPr>
              <w:t>Institucionalidad para la gestión ambiental</w:t>
            </w:r>
          </w:p>
        </w:tc>
        <w:tc>
          <w:tcPr>
            <w:tcW w:w="9810" w:type="dxa"/>
          </w:tcPr>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 xml:space="preserve">Existencia de vacíos, traslapes, duplicidad de competencias y dispersión temática y geográfica entre los distintos actores. </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Problemas de autonomía, jerarquía y contradicciones entre las instituciones limitan la claridad con que se desarrollan las actividades del gobierno en los tres niveles de gestión pública.</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Falta de mecanismos eficientes de coordinación interinstitucional (actores gubernamentales y de la sociedad civil) para concertar y acordar objetivos comunes de desarrollo nacional, así como de la provisión suficiente de recursos.</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El limitado gasto ambiental del sector público ambiental se caracteriza por tener poca consistencia y efectividad.</w:t>
            </w:r>
          </w:p>
        </w:tc>
      </w:tr>
      <w:tr w:rsidR="00E31B19" w:rsidRPr="000364C9" w:rsidTr="007A5355">
        <w:trPr>
          <w:jc w:val="center"/>
        </w:trPr>
        <w:tc>
          <w:tcPr>
            <w:tcW w:w="1544" w:type="dxa"/>
            <w:vMerge w:val="restart"/>
          </w:tcPr>
          <w:p w:rsidR="00E31B19" w:rsidRPr="001A01AB" w:rsidRDefault="00E31B19" w:rsidP="007A5355">
            <w:pPr>
              <w:jc w:val="both"/>
              <w:rPr>
                <w:rFonts w:ascii="Calibri" w:hAnsi="Calibri" w:cs="Calibri"/>
                <w:lang w:val="es-GT"/>
              </w:rPr>
            </w:pPr>
            <w:r w:rsidRPr="001A01AB">
              <w:rPr>
                <w:rFonts w:ascii="Calibri" w:hAnsi="Calibri" w:cs="Calibri"/>
                <w:lang w:val="es-GT"/>
              </w:rPr>
              <w:t>Natural</w:t>
            </w:r>
          </w:p>
        </w:tc>
        <w:tc>
          <w:tcPr>
            <w:tcW w:w="2200" w:type="dxa"/>
          </w:tcPr>
          <w:p w:rsidR="00E31B19" w:rsidRPr="001A01AB" w:rsidRDefault="00E31B19" w:rsidP="007A5355">
            <w:pPr>
              <w:jc w:val="both"/>
              <w:rPr>
                <w:rFonts w:ascii="Calibri" w:hAnsi="Calibri" w:cs="Calibri"/>
                <w:lang w:val="es-GT"/>
              </w:rPr>
            </w:pPr>
            <w:r w:rsidRPr="001A01AB">
              <w:rPr>
                <w:rFonts w:ascii="Calibri" w:hAnsi="Calibri" w:cs="Calibri"/>
                <w:lang w:val="es-GT"/>
              </w:rPr>
              <w:t>Territorio y tierras</w:t>
            </w:r>
          </w:p>
        </w:tc>
        <w:tc>
          <w:tcPr>
            <w:tcW w:w="9810" w:type="dxa"/>
          </w:tcPr>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Las políticas públicas adolecen de falta de una visión sistémica donde el territorio se entienda como un espacio construido socialmente por sus actores y las relaciones entre ellos, lo que redunda en una limitada capacidad de gestión del territorio.</w:t>
            </w:r>
          </w:p>
        </w:tc>
      </w:tr>
      <w:tr w:rsidR="00E31B19" w:rsidRPr="000364C9" w:rsidTr="007A5355">
        <w:trPr>
          <w:jc w:val="center"/>
        </w:trPr>
        <w:tc>
          <w:tcPr>
            <w:tcW w:w="1544" w:type="dxa"/>
            <w:vMerge/>
          </w:tcPr>
          <w:p w:rsidR="00E31B19" w:rsidRPr="001A01AB" w:rsidRDefault="00E31B19" w:rsidP="007A5355">
            <w:pPr>
              <w:jc w:val="both"/>
              <w:rPr>
                <w:rFonts w:ascii="Calibri" w:hAnsi="Calibri" w:cs="Calibri"/>
                <w:lang w:val="es-GT"/>
              </w:rPr>
            </w:pPr>
          </w:p>
        </w:tc>
        <w:tc>
          <w:tcPr>
            <w:tcW w:w="2200" w:type="dxa"/>
          </w:tcPr>
          <w:p w:rsidR="00E31B19" w:rsidRPr="001A01AB" w:rsidRDefault="00E31B19" w:rsidP="007A5355">
            <w:pPr>
              <w:jc w:val="both"/>
              <w:rPr>
                <w:rFonts w:ascii="Calibri" w:hAnsi="Calibri" w:cs="Calibri"/>
                <w:lang w:val="es-GT"/>
              </w:rPr>
            </w:pPr>
            <w:r w:rsidRPr="001A01AB">
              <w:rPr>
                <w:rFonts w:ascii="Calibri" w:hAnsi="Calibri" w:cs="Calibri"/>
                <w:lang w:val="es-GT"/>
              </w:rPr>
              <w:t>Bosques</w:t>
            </w:r>
          </w:p>
        </w:tc>
        <w:tc>
          <w:tcPr>
            <w:tcW w:w="9810" w:type="dxa"/>
          </w:tcPr>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Deforestación incon</w:t>
            </w:r>
            <w:r w:rsidR="00E62091">
              <w:rPr>
                <w:rFonts w:ascii="Calibri" w:hAnsi="Calibri" w:cs="Calibri"/>
                <w:lang w:val="es-GT"/>
              </w:rPr>
              <w:t>tenible (actualmente asociada a</w:t>
            </w:r>
            <w:r w:rsidRPr="001A01AB">
              <w:rPr>
                <w:rFonts w:ascii="Calibri" w:hAnsi="Calibri" w:cs="Calibri"/>
                <w:lang w:val="es-GT"/>
              </w:rPr>
              <w:t xml:space="preserve"> la ganadería extensiva; la agricultura de pequeña, mediana y gran escala; los incendios forestales; los asentamientos humanos producto de la migración rural-rural; la narco actividad; y las combinaciones entre éstas)</w:t>
            </w:r>
            <w:r w:rsidR="00E62091">
              <w:rPr>
                <w:rFonts w:ascii="Calibri" w:hAnsi="Calibri" w:cs="Calibri"/>
                <w:lang w:val="es-GT"/>
              </w:rPr>
              <w:t>.</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Falta de dirección y control institucional sobre la regeneración natural de bosques, como pieza clave de la dinámica de la cobertura forestal.</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Esfuerzos públicos y privados de reforestación, muy por debajo del ritmo de deforestación.</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Alta incidencia de aprovechamientos ilegales.</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Altos volúmenes de aprovechamiento de leña</w:t>
            </w:r>
            <w:r w:rsidR="00E62091">
              <w:rPr>
                <w:rFonts w:ascii="Calibri" w:hAnsi="Calibri" w:cs="Calibri"/>
                <w:lang w:val="es-GT"/>
              </w:rPr>
              <w:t>,</w:t>
            </w:r>
            <w:r w:rsidRPr="001A01AB">
              <w:rPr>
                <w:rFonts w:ascii="Calibri" w:hAnsi="Calibri" w:cs="Calibri"/>
                <w:lang w:val="es-GT"/>
              </w:rPr>
              <w:t xml:space="preserve"> que</w:t>
            </w:r>
            <w:r w:rsidR="00141A70">
              <w:rPr>
                <w:rFonts w:ascii="Calibri" w:hAnsi="Calibri" w:cs="Calibri"/>
                <w:lang w:val="es-GT"/>
              </w:rPr>
              <w:t xml:space="preserve"> </w:t>
            </w:r>
            <w:r w:rsidRPr="001A01AB">
              <w:rPr>
                <w:rFonts w:ascii="Calibri" w:hAnsi="Calibri" w:cs="Calibri"/>
                <w:lang w:val="es-GT"/>
              </w:rPr>
              <w:t>contribuye al deterioro de la cantidad y calidad de los bosques.</w:t>
            </w:r>
          </w:p>
        </w:tc>
      </w:tr>
      <w:tr w:rsidR="00E31B19" w:rsidRPr="000364C9" w:rsidTr="007A5355">
        <w:trPr>
          <w:jc w:val="center"/>
        </w:trPr>
        <w:tc>
          <w:tcPr>
            <w:tcW w:w="1544" w:type="dxa"/>
            <w:vMerge/>
          </w:tcPr>
          <w:p w:rsidR="00E31B19" w:rsidRPr="001A01AB" w:rsidRDefault="00E31B19" w:rsidP="007A5355">
            <w:pPr>
              <w:jc w:val="both"/>
              <w:rPr>
                <w:rFonts w:ascii="Calibri" w:hAnsi="Calibri" w:cs="Calibri"/>
                <w:lang w:val="es-GT"/>
              </w:rPr>
            </w:pPr>
          </w:p>
        </w:tc>
        <w:tc>
          <w:tcPr>
            <w:tcW w:w="2200" w:type="dxa"/>
          </w:tcPr>
          <w:p w:rsidR="00E31B19" w:rsidRPr="001A01AB" w:rsidRDefault="00E31B19" w:rsidP="007A5355">
            <w:pPr>
              <w:jc w:val="both"/>
              <w:rPr>
                <w:rFonts w:ascii="Calibri" w:hAnsi="Calibri" w:cs="Calibri"/>
                <w:lang w:val="es-GT"/>
              </w:rPr>
            </w:pPr>
            <w:r w:rsidRPr="001A01AB">
              <w:rPr>
                <w:rFonts w:ascii="Calibri" w:hAnsi="Calibri" w:cs="Calibri"/>
                <w:lang w:val="es-GT"/>
              </w:rPr>
              <w:t>Biodiversidad</w:t>
            </w:r>
          </w:p>
        </w:tc>
        <w:tc>
          <w:tcPr>
            <w:tcW w:w="9810" w:type="dxa"/>
          </w:tcPr>
          <w:p w:rsidR="00E31B19" w:rsidRPr="001A01AB" w:rsidRDefault="00E62091" w:rsidP="00E7258A">
            <w:pPr>
              <w:numPr>
                <w:ilvl w:val="0"/>
                <w:numId w:val="5"/>
              </w:numPr>
              <w:jc w:val="both"/>
              <w:rPr>
                <w:rFonts w:ascii="Calibri" w:hAnsi="Calibri" w:cs="Calibri"/>
                <w:lang w:val="es-GT"/>
              </w:rPr>
            </w:pPr>
            <w:r>
              <w:rPr>
                <w:rFonts w:ascii="Calibri" w:hAnsi="Calibri" w:cs="Calibri"/>
                <w:lang w:val="es-GT"/>
              </w:rPr>
              <w:t>La d</w:t>
            </w:r>
            <w:r w:rsidR="00E31B19" w:rsidRPr="001A01AB">
              <w:rPr>
                <w:rFonts w:ascii="Calibri" w:hAnsi="Calibri" w:cs="Calibri"/>
                <w:lang w:val="es-GT"/>
              </w:rPr>
              <w:t>estrucción, degradación y fragmentación de los ecosistemas naturales se ha incrementado de manera sustancial, generando condiciones desfavorables para la permanencia de la biodiversidad en el tiempo.</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Deforestación en áreas protegidas</w:t>
            </w:r>
            <w:r w:rsidR="00E62091">
              <w:rPr>
                <w:rFonts w:ascii="Calibri" w:hAnsi="Calibri" w:cs="Calibri"/>
                <w:lang w:val="es-GT"/>
              </w:rPr>
              <w:t>.</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Baja capacidad de gestión institucional, asociada al bajo apoyo financiero institucional.</w:t>
            </w:r>
          </w:p>
        </w:tc>
      </w:tr>
      <w:tr w:rsidR="00E31B19" w:rsidRPr="000364C9" w:rsidTr="007A5355">
        <w:trPr>
          <w:jc w:val="center"/>
        </w:trPr>
        <w:tc>
          <w:tcPr>
            <w:tcW w:w="1544" w:type="dxa"/>
            <w:vMerge/>
          </w:tcPr>
          <w:p w:rsidR="00E31B19" w:rsidRPr="001A01AB" w:rsidRDefault="00E31B19" w:rsidP="007A5355">
            <w:pPr>
              <w:jc w:val="both"/>
              <w:rPr>
                <w:rFonts w:ascii="Calibri" w:hAnsi="Calibri" w:cs="Calibri"/>
                <w:lang w:val="es-GT"/>
              </w:rPr>
            </w:pPr>
          </w:p>
        </w:tc>
        <w:tc>
          <w:tcPr>
            <w:tcW w:w="2200" w:type="dxa"/>
          </w:tcPr>
          <w:p w:rsidR="00E31B19" w:rsidRPr="001A01AB" w:rsidRDefault="00E31B19" w:rsidP="007A5355">
            <w:pPr>
              <w:jc w:val="both"/>
              <w:rPr>
                <w:rFonts w:ascii="Calibri" w:hAnsi="Calibri" w:cs="Calibri"/>
                <w:lang w:val="es-GT"/>
              </w:rPr>
            </w:pPr>
            <w:r w:rsidRPr="001A01AB">
              <w:rPr>
                <w:rFonts w:ascii="Calibri" w:hAnsi="Calibri" w:cs="Calibri"/>
                <w:lang w:val="es-GT"/>
              </w:rPr>
              <w:t>Recursos hídricos</w:t>
            </w:r>
          </w:p>
        </w:tc>
        <w:tc>
          <w:tcPr>
            <w:tcW w:w="9810" w:type="dxa"/>
          </w:tcPr>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Elevados índices de contaminación del recurso hídrico (asociados</w:t>
            </w:r>
            <w:r w:rsidR="00E62091">
              <w:rPr>
                <w:rFonts w:ascii="Calibri" w:hAnsi="Calibri" w:cs="Calibri"/>
                <w:lang w:val="es-GT"/>
              </w:rPr>
              <w:t xml:space="preserve"> principalmente a</w:t>
            </w:r>
            <w:r w:rsidRPr="001A01AB">
              <w:rPr>
                <w:rFonts w:ascii="Calibri" w:hAnsi="Calibri" w:cs="Calibri"/>
                <w:lang w:val="es-GT"/>
              </w:rPr>
              <w:t xml:space="preserve"> las descargas no-tratadas de aguas residuales de los centros urbanos, el uso de agroquímicos y las descargas industriales)</w:t>
            </w:r>
            <w:r w:rsidR="00E62091">
              <w:rPr>
                <w:rFonts w:ascii="Calibri" w:hAnsi="Calibri" w:cs="Calibri"/>
                <w:lang w:val="es-GT"/>
              </w:rPr>
              <w:t>.</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lastRenderedPageBreak/>
              <w:t>Elevada incidencia de conflictos derivados de la falta de acceso a fuentes seguras de agua potable, principalmente en el áre</w:t>
            </w:r>
            <w:r w:rsidR="00E62091">
              <w:rPr>
                <w:rFonts w:ascii="Calibri" w:hAnsi="Calibri" w:cs="Calibri"/>
                <w:lang w:val="es-GT"/>
              </w:rPr>
              <w:t xml:space="preserve">a rural, donde el 24.73% </w:t>
            </w:r>
            <w:r w:rsidRPr="001A01AB">
              <w:rPr>
                <w:rFonts w:ascii="Calibri" w:hAnsi="Calibri" w:cs="Calibri"/>
                <w:lang w:val="es-GT"/>
              </w:rPr>
              <w:t>no posee servicio de agua potable</w:t>
            </w:r>
            <w:r w:rsidR="00E62091">
              <w:rPr>
                <w:rFonts w:ascii="Calibri" w:hAnsi="Calibri" w:cs="Calibri"/>
                <w:lang w:val="es-GT"/>
              </w:rPr>
              <w:t xml:space="preserve"> (2011)</w:t>
            </w:r>
            <w:r w:rsidRPr="001A01AB">
              <w:rPr>
                <w:rFonts w:ascii="Calibri" w:hAnsi="Calibri" w:cs="Calibri"/>
                <w:lang w:val="es-GT"/>
              </w:rPr>
              <w:t xml:space="preserve">. </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Con un escaso manejo de la oferta, la demanda de agua se incrementa en el país conforme crecen la economía y la población.</w:t>
            </w:r>
            <w:r w:rsidR="00E62091">
              <w:rPr>
                <w:rFonts w:ascii="Calibri" w:hAnsi="Calibri" w:cs="Calibri"/>
                <w:lang w:val="es-GT"/>
              </w:rPr>
              <w:t xml:space="preserve"> </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Limitada y decreciente cobertura de servicios de agua y saneamiento para la población</w:t>
            </w:r>
            <w:r w:rsidR="00E62091">
              <w:rPr>
                <w:rFonts w:ascii="Calibri" w:hAnsi="Calibri" w:cs="Calibri"/>
                <w:lang w:val="es-GT"/>
              </w:rPr>
              <w:t>.</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Poca eficiencia en el uso de los recursos hídricos, ya sea como bien de consumo, factor de producción o receptor de desechos.</w:t>
            </w:r>
          </w:p>
          <w:p w:rsidR="00E31B19" w:rsidRPr="001A01AB" w:rsidRDefault="00E62091" w:rsidP="00E7258A">
            <w:pPr>
              <w:numPr>
                <w:ilvl w:val="0"/>
                <w:numId w:val="5"/>
              </w:numPr>
              <w:jc w:val="both"/>
              <w:rPr>
                <w:rFonts w:ascii="Calibri" w:hAnsi="Calibri" w:cs="Calibri"/>
                <w:lang w:val="es-GT"/>
              </w:rPr>
            </w:pPr>
            <w:r>
              <w:rPr>
                <w:rFonts w:ascii="Calibri" w:hAnsi="Calibri" w:cs="Calibri"/>
                <w:lang w:val="es-GT"/>
              </w:rPr>
              <w:t>La p</w:t>
            </w:r>
            <w:r w:rsidR="00E31B19" w:rsidRPr="001A01AB">
              <w:rPr>
                <w:rFonts w:ascii="Calibri" w:hAnsi="Calibri" w:cs="Calibri"/>
                <w:lang w:val="es-GT"/>
              </w:rPr>
              <w:t>érdida de cobertura forestal en las tierras forestales de alta importancia hidrológica provoca mayores vo</w:t>
            </w:r>
            <w:r>
              <w:rPr>
                <w:rFonts w:ascii="Calibri" w:hAnsi="Calibri" w:cs="Calibri"/>
                <w:lang w:val="es-GT"/>
              </w:rPr>
              <w:t>lúmenes de suelo erosionado y</w:t>
            </w:r>
            <w:r w:rsidR="00E31B19" w:rsidRPr="001A01AB">
              <w:rPr>
                <w:rFonts w:ascii="Calibri" w:hAnsi="Calibri" w:cs="Calibri"/>
                <w:lang w:val="es-GT"/>
              </w:rPr>
              <w:t xml:space="preserve"> sedimentos en los cuerpos </w:t>
            </w:r>
            <w:r>
              <w:rPr>
                <w:rFonts w:ascii="Calibri" w:hAnsi="Calibri" w:cs="Calibri"/>
                <w:lang w:val="es-GT"/>
              </w:rPr>
              <w:t>de agua, principalmente asociados</w:t>
            </w:r>
            <w:r w:rsidR="00E31B19" w:rsidRPr="001A01AB">
              <w:rPr>
                <w:rFonts w:ascii="Calibri" w:hAnsi="Calibri" w:cs="Calibri"/>
                <w:lang w:val="es-GT"/>
              </w:rPr>
              <w:t xml:space="preserve"> a las prácticas agrícolas convencionales.</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Inexistencia de mecanismos que garanticen la cobertura forestal y el mantenimiento de condiciones adecuadas de las tierra</w:t>
            </w:r>
            <w:r w:rsidR="00B850BA">
              <w:rPr>
                <w:rFonts w:ascii="Calibri" w:hAnsi="Calibri" w:cs="Calibri"/>
                <w:lang w:val="es-GT"/>
              </w:rPr>
              <w:t>s forestales crí</w:t>
            </w:r>
            <w:r w:rsidRPr="001A01AB">
              <w:rPr>
                <w:rFonts w:ascii="Calibri" w:hAnsi="Calibri" w:cs="Calibri"/>
                <w:lang w:val="es-GT"/>
              </w:rPr>
              <w:t>ticas</w:t>
            </w:r>
            <w:r w:rsidR="00141A70">
              <w:rPr>
                <w:rFonts w:ascii="Calibri" w:hAnsi="Calibri" w:cs="Calibri"/>
                <w:lang w:val="es-GT"/>
              </w:rPr>
              <w:t xml:space="preserve"> </w:t>
            </w:r>
            <w:r w:rsidRPr="001A01AB">
              <w:rPr>
                <w:rFonts w:ascii="Calibri" w:hAnsi="Calibri" w:cs="Calibri"/>
                <w:lang w:val="es-GT"/>
              </w:rPr>
              <w:t xml:space="preserve">para el mantenimiento y regulación del ciclo hidrológico. </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Falta de instrumentos institucionales y normativos que garanticen una efectiva gobernabilidad del agua y una participación amplia y responsable de toda la sociedad.</w:t>
            </w:r>
          </w:p>
        </w:tc>
      </w:tr>
      <w:tr w:rsidR="00E31B19" w:rsidRPr="000364C9" w:rsidTr="007A5355">
        <w:trPr>
          <w:jc w:val="center"/>
        </w:trPr>
        <w:tc>
          <w:tcPr>
            <w:tcW w:w="1544" w:type="dxa"/>
            <w:vMerge/>
          </w:tcPr>
          <w:p w:rsidR="00E31B19" w:rsidRPr="001A01AB" w:rsidRDefault="00E31B19" w:rsidP="007A5355">
            <w:pPr>
              <w:jc w:val="both"/>
              <w:rPr>
                <w:rFonts w:ascii="Calibri" w:hAnsi="Calibri" w:cs="Calibri"/>
                <w:lang w:val="es-GT"/>
              </w:rPr>
            </w:pPr>
          </w:p>
        </w:tc>
        <w:tc>
          <w:tcPr>
            <w:tcW w:w="2200" w:type="dxa"/>
          </w:tcPr>
          <w:p w:rsidR="00E31B19" w:rsidRPr="001A01AB" w:rsidRDefault="00E31B19" w:rsidP="007A5355">
            <w:pPr>
              <w:jc w:val="both"/>
              <w:rPr>
                <w:rFonts w:ascii="Calibri" w:hAnsi="Calibri" w:cs="Calibri"/>
                <w:lang w:val="es-GT"/>
              </w:rPr>
            </w:pPr>
            <w:r w:rsidRPr="001A01AB">
              <w:rPr>
                <w:rFonts w:ascii="Calibri" w:hAnsi="Calibri" w:cs="Calibri"/>
                <w:lang w:val="es-GT"/>
              </w:rPr>
              <w:t>Zonas marino-costeras</w:t>
            </w:r>
            <w:r w:rsidR="00E62091">
              <w:rPr>
                <w:rFonts w:ascii="Calibri" w:hAnsi="Calibri" w:cs="Calibri"/>
                <w:lang w:val="es-GT"/>
              </w:rPr>
              <w:t xml:space="preserve"> (ZMC)</w:t>
            </w:r>
          </w:p>
        </w:tc>
        <w:tc>
          <w:tcPr>
            <w:tcW w:w="9810" w:type="dxa"/>
          </w:tcPr>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 xml:space="preserve">Falta de capacidad institucional para establecer regulaciones hacia el logro de un uso sustentable de los bienes y servicios que proporciona la </w:t>
            </w:r>
            <w:r w:rsidR="00E62091">
              <w:rPr>
                <w:rFonts w:ascii="Calibri" w:hAnsi="Calibri" w:cs="Calibri"/>
                <w:lang w:val="es-GT"/>
              </w:rPr>
              <w:t>ZMC.</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 xml:space="preserve">Los recursos de las </w:t>
            </w:r>
            <w:r w:rsidR="00E62091">
              <w:rPr>
                <w:rFonts w:ascii="Calibri" w:hAnsi="Calibri" w:cs="Calibri"/>
                <w:lang w:val="es-GT"/>
              </w:rPr>
              <w:t>ZMC</w:t>
            </w:r>
            <w:r w:rsidRPr="001A01AB">
              <w:rPr>
                <w:rFonts w:ascii="Calibri" w:hAnsi="Calibri" w:cs="Calibri"/>
                <w:lang w:val="es-GT"/>
              </w:rPr>
              <w:t xml:space="preserve"> son utilizados abiertamente y sin control </w:t>
            </w:r>
            <w:r w:rsidR="00E62091">
              <w:rPr>
                <w:rFonts w:ascii="Calibri" w:hAnsi="Calibri" w:cs="Calibri"/>
                <w:lang w:val="es-GT"/>
              </w:rPr>
              <w:t xml:space="preserve">tanto </w:t>
            </w:r>
            <w:r w:rsidRPr="001A01AB">
              <w:rPr>
                <w:rFonts w:ascii="Calibri" w:hAnsi="Calibri" w:cs="Calibri"/>
                <w:lang w:val="es-GT"/>
              </w:rPr>
              <w:t>por la gran industria</w:t>
            </w:r>
            <w:r w:rsidR="00E62091">
              <w:rPr>
                <w:rFonts w:ascii="Calibri" w:hAnsi="Calibri" w:cs="Calibri"/>
                <w:lang w:val="es-GT"/>
              </w:rPr>
              <w:t>,</w:t>
            </w:r>
            <w:r w:rsidRPr="001A01AB">
              <w:rPr>
                <w:rFonts w:ascii="Calibri" w:hAnsi="Calibri" w:cs="Calibri"/>
                <w:lang w:val="es-GT"/>
              </w:rPr>
              <w:t xml:space="preserve"> como por las comunidades locales, y en algunos casos generan la sobreexplotación y destrucción de los ecosistemas de estuarios y manglares.</w:t>
            </w:r>
          </w:p>
          <w:p w:rsidR="00E31B19" w:rsidRPr="001A01AB" w:rsidRDefault="00E31B19" w:rsidP="00E7258A">
            <w:pPr>
              <w:numPr>
                <w:ilvl w:val="0"/>
                <w:numId w:val="5"/>
              </w:numPr>
              <w:jc w:val="both"/>
              <w:rPr>
                <w:rFonts w:ascii="Calibri" w:hAnsi="Calibri" w:cs="Calibri"/>
                <w:lang w:val="es-GT"/>
              </w:rPr>
            </w:pPr>
            <w:r w:rsidRPr="001A01AB">
              <w:rPr>
                <w:rFonts w:ascii="Calibri" w:hAnsi="Calibri" w:cs="Calibri"/>
                <w:lang w:val="es-GT"/>
              </w:rPr>
              <w:t>La amenaza que representa para las ZMC la minería de hierro en las arenas de la costa del Pacífico</w:t>
            </w:r>
            <w:r w:rsidR="00E62091">
              <w:rPr>
                <w:rFonts w:ascii="Calibri" w:hAnsi="Calibri" w:cs="Calibri"/>
                <w:lang w:val="es-GT"/>
              </w:rPr>
              <w:t>.</w:t>
            </w:r>
          </w:p>
        </w:tc>
      </w:tr>
    </w:tbl>
    <w:p w:rsidR="00E31B19" w:rsidRPr="001A01AB" w:rsidRDefault="00E31B19" w:rsidP="00E31B19">
      <w:pPr>
        <w:jc w:val="right"/>
        <w:rPr>
          <w:rFonts w:ascii="Calibri" w:hAnsi="Calibri" w:cs="Calibri"/>
          <w:sz w:val="20"/>
          <w:szCs w:val="20"/>
          <w:lang w:val="es-GT"/>
        </w:rPr>
      </w:pPr>
      <w:r w:rsidRPr="001A01AB">
        <w:rPr>
          <w:rFonts w:ascii="Calibri" w:eastAsia="Calibri" w:hAnsi="Calibri" w:cs="Calibri"/>
          <w:sz w:val="20"/>
          <w:szCs w:val="20"/>
          <w:lang w:val="es-GT"/>
        </w:rPr>
        <w:t>Fuente:</w:t>
      </w:r>
      <w:r w:rsidRPr="001A01AB">
        <w:rPr>
          <w:rFonts w:ascii="Calibri" w:hAnsi="Calibri" w:cs="Calibri"/>
          <w:sz w:val="20"/>
          <w:szCs w:val="20"/>
          <w:lang w:val="es-GT"/>
        </w:rPr>
        <w:t xml:space="preserve"> Elaboración propia.</w:t>
      </w:r>
    </w:p>
    <w:p w:rsidR="00E31B19" w:rsidRPr="001A01AB" w:rsidRDefault="00E31B19" w:rsidP="00E31B19">
      <w:pPr>
        <w:jc w:val="both"/>
        <w:rPr>
          <w:rFonts w:ascii="Calibri" w:hAnsi="Calibri" w:cs="Calibri"/>
          <w:lang w:val="es-GT"/>
        </w:rPr>
      </w:pPr>
    </w:p>
    <w:p w:rsidR="00E31B19" w:rsidRPr="001A01AB" w:rsidRDefault="00E31B19" w:rsidP="00E31B19">
      <w:pPr>
        <w:jc w:val="both"/>
        <w:rPr>
          <w:rFonts w:ascii="Calibri" w:hAnsi="Calibri" w:cs="Calibri"/>
          <w:b/>
          <w:lang w:val="es-GT"/>
        </w:rPr>
        <w:sectPr w:rsidR="00E31B19" w:rsidRPr="001A01AB" w:rsidSect="00577CC5">
          <w:pgSz w:w="15840" w:h="12240" w:orient="landscape" w:code="1"/>
          <w:pgMar w:top="1152" w:right="1440" w:bottom="1152" w:left="1440" w:header="720" w:footer="720" w:gutter="0"/>
          <w:cols w:space="720"/>
          <w:docGrid w:linePitch="360"/>
        </w:sectPr>
      </w:pPr>
    </w:p>
    <w:p w:rsidR="00E31B19" w:rsidRPr="001A01AB" w:rsidRDefault="00E31B19" w:rsidP="004E2482">
      <w:pPr>
        <w:pStyle w:val="Prrafodelista"/>
        <w:numPr>
          <w:ilvl w:val="1"/>
          <w:numId w:val="55"/>
        </w:numPr>
        <w:autoSpaceDE w:val="0"/>
        <w:autoSpaceDN w:val="0"/>
        <w:adjustRightInd w:val="0"/>
        <w:spacing w:after="120" w:line="264" w:lineRule="auto"/>
        <w:ind w:left="720" w:hanging="720"/>
        <w:jc w:val="both"/>
        <w:outlineLvl w:val="1"/>
        <w:rPr>
          <w:rFonts w:cs="Calibri"/>
          <w:b/>
          <w:color w:val="365F91"/>
          <w:sz w:val="28"/>
          <w:lang w:eastAsia="es-GT"/>
        </w:rPr>
      </w:pPr>
      <w:bookmarkStart w:id="161" w:name="_Toc336951333"/>
      <w:bookmarkStart w:id="162" w:name="_Toc339926605"/>
      <w:bookmarkStart w:id="163" w:name="_Toc340065173"/>
      <w:bookmarkStart w:id="164" w:name="_Toc340065265"/>
      <w:bookmarkStart w:id="165" w:name="_Toc340565858"/>
      <w:bookmarkStart w:id="166" w:name="_Toc347841308"/>
      <w:r w:rsidRPr="001A01AB">
        <w:rPr>
          <w:rFonts w:cs="Calibri"/>
          <w:b/>
          <w:color w:val="365F91"/>
          <w:sz w:val="28"/>
          <w:lang w:eastAsia="es-GT"/>
        </w:rPr>
        <w:lastRenderedPageBreak/>
        <w:t>Factores Críticos para la Decisión (FCD)</w:t>
      </w:r>
      <w:bookmarkEnd w:id="161"/>
      <w:bookmarkEnd w:id="162"/>
      <w:bookmarkEnd w:id="163"/>
      <w:bookmarkEnd w:id="164"/>
      <w:bookmarkEnd w:id="165"/>
      <w:bookmarkEnd w:id="166"/>
    </w:p>
    <w:p w:rsidR="00E31B19" w:rsidRPr="001A01AB" w:rsidRDefault="00E31B19" w:rsidP="00E31B19">
      <w:pPr>
        <w:jc w:val="both"/>
        <w:rPr>
          <w:rFonts w:ascii="Calibri" w:hAnsi="Calibri" w:cs="Calibri"/>
          <w:sz w:val="22"/>
          <w:lang w:val="es-GT"/>
        </w:rPr>
      </w:pPr>
    </w:p>
    <w:p w:rsidR="00E31B19" w:rsidRPr="001A01AB" w:rsidRDefault="00E31B19" w:rsidP="00E31B19">
      <w:pPr>
        <w:jc w:val="both"/>
        <w:rPr>
          <w:rFonts w:ascii="Calibri" w:hAnsi="Calibri" w:cs="Calibri"/>
          <w:lang w:val="es-GT"/>
        </w:rPr>
      </w:pPr>
      <w:r w:rsidRPr="001A01AB">
        <w:rPr>
          <w:rFonts w:ascii="Calibri" w:hAnsi="Calibri" w:cs="Calibri"/>
          <w:lang w:val="es-GT"/>
        </w:rPr>
        <w:t>Los Factores Críticos para la Decisión (FCD) son los temas integradores que reflejan los asuntos involucrados en los lineamientos del marco de referencia estratégico, las cuestiones estratégicas del objeto de evaluación y los aspectos socio-ambiental</w:t>
      </w:r>
      <w:r w:rsidR="00E62091">
        <w:rPr>
          <w:rFonts w:ascii="Calibri" w:hAnsi="Calibri" w:cs="Calibri"/>
          <w:lang w:val="es-GT"/>
        </w:rPr>
        <w:t>es</w:t>
      </w:r>
      <w:r w:rsidRPr="001A01AB">
        <w:rPr>
          <w:rFonts w:ascii="Calibri" w:hAnsi="Calibri" w:cs="Calibri"/>
          <w:lang w:val="es-GT"/>
        </w:rPr>
        <w:t>.</w:t>
      </w:r>
    </w:p>
    <w:p w:rsidR="00E31B19" w:rsidRPr="001A01AB" w:rsidRDefault="00E31B19" w:rsidP="00E31B19">
      <w:pPr>
        <w:jc w:val="both"/>
        <w:rPr>
          <w:rFonts w:ascii="Calibri" w:hAnsi="Calibri" w:cs="Calibri"/>
          <w:sz w:val="22"/>
          <w:lang w:val="es-GT"/>
        </w:rPr>
      </w:pPr>
    </w:p>
    <w:p w:rsidR="00E31B19" w:rsidRPr="001A01AB" w:rsidRDefault="00E31B19" w:rsidP="00E31B19">
      <w:pPr>
        <w:jc w:val="both"/>
        <w:rPr>
          <w:rFonts w:ascii="Calibri" w:hAnsi="Calibri" w:cs="Calibri"/>
          <w:lang w:val="es-GT"/>
        </w:rPr>
      </w:pPr>
      <w:r w:rsidRPr="001A01AB">
        <w:rPr>
          <w:rFonts w:ascii="Calibri" w:hAnsi="Calibri" w:cs="Calibri"/>
          <w:lang w:val="es-GT"/>
        </w:rPr>
        <w:t xml:space="preserve">Estos factores constituyen los descriptores clave para desarrollar el perfil y realizar el análisis de riesgos y oportunidades para el </w:t>
      </w:r>
      <w:r w:rsidR="00CC7F2D" w:rsidRPr="001A01AB">
        <w:rPr>
          <w:rFonts w:ascii="Calibri" w:hAnsi="Calibri" w:cs="Calibri"/>
          <w:lang w:val="es-GT"/>
        </w:rPr>
        <w:t xml:space="preserve">desarrollo rural integral </w:t>
      </w:r>
      <w:r w:rsidRPr="001A01AB">
        <w:rPr>
          <w:rFonts w:ascii="Calibri" w:hAnsi="Calibri" w:cs="Calibri"/>
          <w:lang w:val="es-GT"/>
        </w:rPr>
        <w:t xml:space="preserve">en el país. </w:t>
      </w:r>
      <w:r w:rsidR="00CC7F2D">
        <w:rPr>
          <w:rFonts w:ascii="Calibri" w:hAnsi="Calibri" w:cs="Calibri"/>
          <w:lang w:val="es-GT"/>
        </w:rPr>
        <w:t>F</w:t>
      </w:r>
      <w:r w:rsidRPr="001A01AB">
        <w:rPr>
          <w:rFonts w:ascii="Calibri" w:hAnsi="Calibri" w:cs="Calibri"/>
          <w:lang w:val="es-GT"/>
        </w:rPr>
        <w:t>ueron obtenidos del análisis realizado</w:t>
      </w:r>
      <w:r w:rsidR="00CC7F2D">
        <w:rPr>
          <w:rFonts w:ascii="Calibri" w:hAnsi="Calibri" w:cs="Calibri"/>
          <w:lang w:val="es-GT"/>
        </w:rPr>
        <w:t>,</w:t>
      </w:r>
      <w:r w:rsidRPr="001A01AB">
        <w:rPr>
          <w:rFonts w:ascii="Calibri" w:hAnsi="Calibri" w:cs="Calibri"/>
          <w:lang w:val="es-GT"/>
        </w:rPr>
        <w:t xml:space="preserve"> y adecuados a la información y análisis desarrollados por el equipo evaluador que participa en la elaboración de la EAE del COSOP-BR de FIDA en Guatemala. Los resultados obten</w:t>
      </w:r>
      <w:r w:rsidR="0006749C">
        <w:rPr>
          <w:rFonts w:ascii="Calibri" w:hAnsi="Calibri" w:cs="Calibri"/>
          <w:lang w:val="es-GT"/>
        </w:rPr>
        <w:t>idos se presentan en el Cuadro 8</w:t>
      </w:r>
      <w:r w:rsidRPr="001A01AB">
        <w:rPr>
          <w:rFonts w:ascii="Calibri" w:hAnsi="Calibri" w:cs="Calibri"/>
          <w:lang w:val="es-GT"/>
        </w:rPr>
        <w:t>.</w:t>
      </w:r>
    </w:p>
    <w:p w:rsidR="00E31B19" w:rsidRPr="001A01AB" w:rsidRDefault="00E31B19" w:rsidP="00E31B19">
      <w:pPr>
        <w:jc w:val="both"/>
        <w:rPr>
          <w:rFonts w:ascii="Calibri" w:hAnsi="Calibri" w:cs="Calibri"/>
          <w:sz w:val="22"/>
          <w:lang w:val="es-GT"/>
        </w:rPr>
      </w:pPr>
    </w:p>
    <w:p w:rsidR="00E31B19" w:rsidRDefault="00C54ACC" w:rsidP="00B16F0F">
      <w:pPr>
        <w:pStyle w:val="Epgrafe"/>
        <w:jc w:val="center"/>
        <w:rPr>
          <w:rFonts w:asciiTheme="minorHAnsi" w:hAnsiTheme="minorHAnsi" w:cstheme="minorHAnsi"/>
          <w:color w:val="365F91" w:themeColor="accent1" w:themeShade="BF"/>
          <w:sz w:val="22"/>
          <w:szCs w:val="22"/>
          <w:lang w:val="es-GT"/>
        </w:rPr>
      </w:pPr>
      <w:bookmarkStart w:id="167" w:name="_Toc336952023"/>
      <w:bookmarkStart w:id="168" w:name="_Toc339698766"/>
      <w:bookmarkStart w:id="169" w:name="_Toc347841190"/>
      <w:r w:rsidRPr="00B16F0F">
        <w:rPr>
          <w:rFonts w:asciiTheme="minorHAnsi" w:hAnsiTheme="minorHAnsi" w:cstheme="minorHAnsi"/>
          <w:color w:val="365F91" w:themeColor="accent1" w:themeShade="BF"/>
          <w:sz w:val="22"/>
          <w:szCs w:val="22"/>
          <w:lang w:val="es-GT"/>
        </w:rPr>
        <w:t xml:space="preserve">Cuadro </w:t>
      </w:r>
      <w:r w:rsidRPr="00B16F0F">
        <w:rPr>
          <w:rFonts w:asciiTheme="minorHAnsi" w:hAnsiTheme="minorHAnsi" w:cstheme="minorHAnsi"/>
          <w:color w:val="365F91" w:themeColor="accent1" w:themeShade="BF"/>
          <w:sz w:val="22"/>
          <w:szCs w:val="22"/>
          <w:lang w:val="es-GT"/>
        </w:rPr>
        <w:fldChar w:fldCharType="begin"/>
      </w:r>
      <w:r w:rsidRPr="00B16F0F">
        <w:rPr>
          <w:rFonts w:asciiTheme="minorHAnsi" w:hAnsiTheme="minorHAnsi" w:cstheme="minorHAnsi"/>
          <w:color w:val="365F91" w:themeColor="accent1" w:themeShade="BF"/>
          <w:sz w:val="22"/>
          <w:szCs w:val="22"/>
          <w:lang w:val="es-GT"/>
        </w:rPr>
        <w:instrText xml:space="preserve"> SEQ Cuadro \* ARABIC </w:instrText>
      </w:r>
      <w:r w:rsidRPr="00B16F0F">
        <w:rPr>
          <w:rFonts w:asciiTheme="minorHAnsi" w:hAnsiTheme="minorHAnsi" w:cstheme="minorHAnsi"/>
          <w:color w:val="365F91" w:themeColor="accent1" w:themeShade="BF"/>
          <w:sz w:val="22"/>
          <w:szCs w:val="22"/>
          <w:lang w:val="es-GT"/>
        </w:rPr>
        <w:fldChar w:fldCharType="separate"/>
      </w:r>
      <w:r w:rsidRPr="00B16F0F">
        <w:rPr>
          <w:rFonts w:asciiTheme="minorHAnsi" w:hAnsiTheme="minorHAnsi" w:cstheme="minorHAnsi"/>
          <w:color w:val="365F91" w:themeColor="accent1" w:themeShade="BF"/>
          <w:sz w:val="22"/>
          <w:szCs w:val="22"/>
          <w:lang w:val="es-GT"/>
        </w:rPr>
        <w:t>8</w:t>
      </w:r>
      <w:r w:rsidRPr="00B16F0F">
        <w:rPr>
          <w:rFonts w:asciiTheme="minorHAnsi" w:hAnsiTheme="minorHAnsi" w:cstheme="minorHAnsi"/>
          <w:color w:val="365F91" w:themeColor="accent1" w:themeShade="BF"/>
          <w:sz w:val="22"/>
          <w:szCs w:val="22"/>
          <w:lang w:val="es-GT"/>
        </w:rPr>
        <w:fldChar w:fldCharType="end"/>
      </w:r>
      <w:r w:rsidR="00E31B19" w:rsidRPr="00B16F0F">
        <w:rPr>
          <w:rFonts w:asciiTheme="minorHAnsi" w:hAnsiTheme="minorHAnsi" w:cstheme="minorHAnsi"/>
          <w:color w:val="365F91" w:themeColor="accent1" w:themeShade="BF"/>
          <w:sz w:val="22"/>
          <w:szCs w:val="22"/>
          <w:lang w:val="es-GT"/>
        </w:rPr>
        <w:t>. Factores Críticos para la Decisión identificados</w:t>
      </w:r>
      <w:bookmarkEnd w:id="167"/>
      <w:bookmarkEnd w:id="168"/>
      <w:bookmarkEnd w:id="169"/>
    </w:p>
    <w:p w:rsidR="00B16F0F" w:rsidRPr="00B16F0F" w:rsidRDefault="00B16F0F" w:rsidP="00B16F0F">
      <w:pPr>
        <w:rPr>
          <w:rFonts w:eastAsia="Calibri"/>
          <w:lang w:val="es-GT"/>
        </w:rPr>
      </w:pPr>
    </w:p>
    <w:tbl>
      <w:tblPr>
        <w:tblW w:w="9500" w:type="dxa"/>
        <w:jc w:val="center"/>
        <w:tblCellMar>
          <w:left w:w="0" w:type="dxa"/>
          <w:right w:w="0" w:type="dxa"/>
        </w:tblCellMar>
        <w:tblLook w:val="04A0" w:firstRow="1" w:lastRow="0" w:firstColumn="1" w:lastColumn="0" w:noHBand="0" w:noVBand="1"/>
      </w:tblPr>
      <w:tblGrid>
        <w:gridCol w:w="2300"/>
        <w:gridCol w:w="7200"/>
      </w:tblGrid>
      <w:tr w:rsidR="00E31B19" w:rsidRPr="00C870E7" w:rsidTr="001A01AB">
        <w:trPr>
          <w:trHeight w:val="160"/>
          <w:tblHeader/>
          <w:jc w:val="center"/>
        </w:trPr>
        <w:tc>
          <w:tcPr>
            <w:tcW w:w="2300" w:type="dxa"/>
            <w:tcBorders>
              <w:top w:val="single" w:sz="8" w:space="0" w:color="000000"/>
              <w:left w:val="single" w:sz="8" w:space="0" w:color="000000"/>
              <w:bottom w:val="single" w:sz="8" w:space="0" w:color="000000"/>
              <w:right w:val="single" w:sz="8" w:space="0" w:color="000000"/>
            </w:tcBorders>
            <w:shd w:val="clear" w:color="auto" w:fill="17365D"/>
            <w:tcMar>
              <w:top w:w="15" w:type="dxa"/>
              <w:left w:w="50" w:type="dxa"/>
              <w:bottom w:w="0" w:type="dxa"/>
              <w:right w:w="50" w:type="dxa"/>
            </w:tcMar>
            <w:vAlign w:val="center"/>
            <w:hideMark/>
          </w:tcPr>
          <w:p w:rsidR="00E31B19" w:rsidRPr="001A01AB" w:rsidRDefault="00CC7F2D" w:rsidP="007A5355">
            <w:pPr>
              <w:spacing w:before="40" w:after="40"/>
              <w:jc w:val="center"/>
              <w:rPr>
                <w:rFonts w:ascii="Calibri" w:hAnsi="Calibri" w:cs="Calibri"/>
                <w:color w:val="FFFFFF"/>
                <w:lang w:val="es-ES"/>
              </w:rPr>
            </w:pPr>
            <w:r>
              <w:rPr>
                <w:rFonts w:ascii="Calibri" w:hAnsi="Calibri" w:cs="Calibri"/>
                <w:b/>
                <w:bCs/>
                <w:color w:val="FFFFFF"/>
                <w:lang w:val="es-GT"/>
              </w:rPr>
              <w:t>Factor Crítico de Decisión</w:t>
            </w:r>
          </w:p>
        </w:tc>
        <w:tc>
          <w:tcPr>
            <w:tcW w:w="7200" w:type="dxa"/>
            <w:tcBorders>
              <w:top w:val="single" w:sz="8" w:space="0" w:color="000000"/>
              <w:left w:val="single" w:sz="8" w:space="0" w:color="000000"/>
              <w:bottom w:val="single" w:sz="8" w:space="0" w:color="000000"/>
              <w:right w:val="single" w:sz="8" w:space="0" w:color="000000"/>
            </w:tcBorders>
            <w:shd w:val="clear" w:color="auto" w:fill="17365D"/>
            <w:tcMar>
              <w:top w:w="15" w:type="dxa"/>
              <w:left w:w="50" w:type="dxa"/>
              <w:bottom w:w="0" w:type="dxa"/>
              <w:right w:w="50" w:type="dxa"/>
            </w:tcMar>
            <w:vAlign w:val="center"/>
            <w:hideMark/>
          </w:tcPr>
          <w:p w:rsidR="00E31B19" w:rsidRPr="001A01AB" w:rsidRDefault="00E31B19" w:rsidP="007A5355">
            <w:pPr>
              <w:spacing w:before="40" w:after="40"/>
              <w:jc w:val="center"/>
              <w:rPr>
                <w:rFonts w:ascii="Calibri" w:hAnsi="Calibri" w:cs="Calibri"/>
                <w:color w:val="FFFFFF"/>
                <w:lang w:val="es-ES"/>
              </w:rPr>
            </w:pPr>
            <w:r w:rsidRPr="001A01AB">
              <w:rPr>
                <w:rFonts w:ascii="Calibri" w:hAnsi="Calibri" w:cs="Calibri"/>
                <w:b/>
                <w:bCs/>
                <w:color w:val="FFFFFF"/>
                <w:lang w:val="es-GT"/>
              </w:rPr>
              <w:t>Objetivo y enfoque</w:t>
            </w:r>
            <w:r w:rsidRPr="001A01AB">
              <w:rPr>
                <w:rFonts w:ascii="Calibri" w:hAnsi="Calibri" w:cs="Calibri"/>
                <w:color w:val="FFFFFF"/>
                <w:lang w:val="es-ES"/>
              </w:rPr>
              <w:t xml:space="preserve"> </w:t>
            </w:r>
          </w:p>
        </w:tc>
      </w:tr>
      <w:tr w:rsidR="00E31B19" w:rsidRPr="000364C9" w:rsidTr="007A5355">
        <w:trPr>
          <w:trHeight w:val="319"/>
          <w:jc w:val="center"/>
        </w:trPr>
        <w:tc>
          <w:tcPr>
            <w:tcW w:w="23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50" w:type="dxa"/>
              <w:bottom w:w="0" w:type="dxa"/>
              <w:right w:w="50" w:type="dxa"/>
            </w:tcMar>
            <w:vAlign w:val="center"/>
            <w:hideMark/>
          </w:tcPr>
          <w:p w:rsidR="00E31B19" w:rsidRPr="001A01AB" w:rsidRDefault="00E31B19" w:rsidP="007A5355">
            <w:pPr>
              <w:spacing w:before="20" w:after="20"/>
              <w:ind w:left="144"/>
              <w:rPr>
                <w:rFonts w:ascii="Calibri" w:hAnsi="Calibri" w:cs="Calibri"/>
                <w:lang w:val="es-GT"/>
              </w:rPr>
            </w:pPr>
            <w:r w:rsidRPr="001A01AB">
              <w:rPr>
                <w:rFonts w:ascii="Calibri" w:hAnsi="Calibri" w:cs="Calibri"/>
                <w:lang w:val="es-GT"/>
              </w:rPr>
              <w:t xml:space="preserve">Recursos naturales estratégicos (agua, suelo y bosque) </w:t>
            </w: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CC7F2D">
            <w:pPr>
              <w:spacing w:before="20" w:after="20"/>
              <w:ind w:left="144"/>
              <w:jc w:val="both"/>
              <w:rPr>
                <w:rFonts w:ascii="Calibri" w:hAnsi="Calibri" w:cs="Calibri"/>
                <w:lang w:val="es-GT"/>
              </w:rPr>
            </w:pPr>
            <w:r w:rsidRPr="001A01AB">
              <w:rPr>
                <w:rFonts w:ascii="Calibri" w:hAnsi="Calibri" w:cs="Calibri"/>
                <w:lang w:val="es-GT"/>
              </w:rPr>
              <w:t>R</w:t>
            </w:r>
            <w:r w:rsidR="00CC7F2D">
              <w:rPr>
                <w:rFonts w:ascii="Calibri" w:hAnsi="Calibri" w:cs="Calibri"/>
                <w:lang w:val="es-GT"/>
              </w:rPr>
              <w:t>ecursos naturales</w:t>
            </w:r>
            <w:r w:rsidRPr="001A01AB">
              <w:rPr>
                <w:rFonts w:ascii="Calibri" w:hAnsi="Calibri" w:cs="Calibri"/>
                <w:lang w:val="es-GT"/>
              </w:rPr>
              <w:t xml:space="preserve"> estratégicos para revitalizar los sistemas productivos de los productores de los segmento</w:t>
            </w:r>
            <w:r w:rsidR="00CC7F2D">
              <w:rPr>
                <w:rFonts w:ascii="Calibri" w:hAnsi="Calibri" w:cs="Calibri"/>
                <w:lang w:val="es-GT"/>
              </w:rPr>
              <w:t>s</w:t>
            </w:r>
            <w:r w:rsidRPr="001A01AB">
              <w:rPr>
                <w:rFonts w:ascii="Calibri" w:hAnsi="Calibri" w:cs="Calibri"/>
                <w:lang w:val="es-GT"/>
              </w:rPr>
              <w:t xml:space="preserve"> en infrasubsistencia, subsistencia y pequeños excedentarios</w:t>
            </w:r>
            <w:r w:rsidR="00CC7F2D">
              <w:rPr>
                <w:rFonts w:ascii="Calibri" w:hAnsi="Calibri" w:cs="Calibri"/>
                <w:lang w:val="es-GT"/>
              </w:rPr>
              <w:t>:</w:t>
            </w:r>
            <w:r w:rsidRPr="001A01AB">
              <w:rPr>
                <w:rFonts w:ascii="Calibri" w:hAnsi="Calibri" w:cs="Calibri"/>
                <w:lang w:val="es-GT"/>
              </w:rPr>
              <w:t xml:space="preserve"> </w:t>
            </w:r>
          </w:p>
        </w:tc>
      </w:tr>
      <w:tr w:rsidR="00E31B19" w:rsidRPr="00CC7F2D"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C7F2D" w:rsidRDefault="00E31B19" w:rsidP="00E7258A">
            <w:pPr>
              <w:numPr>
                <w:ilvl w:val="0"/>
                <w:numId w:val="6"/>
              </w:numPr>
              <w:spacing w:before="20" w:after="20"/>
              <w:jc w:val="both"/>
              <w:rPr>
                <w:rFonts w:ascii="Calibri" w:hAnsi="Calibri" w:cs="Calibri"/>
                <w:lang w:val="es-GT"/>
              </w:rPr>
            </w:pPr>
            <w:r w:rsidRPr="001A01AB">
              <w:rPr>
                <w:rFonts w:ascii="Calibri" w:hAnsi="Calibri" w:cs="Calibri"/>
                <w:lang w:val="es-GT"/>
              </w:rPr>
              <w:t>Sistemas agroforestales</w:t>
            </w:r>
            <w:r w:rsidR="00CC7F2D">
              <w:rPr>
                <w:rFonts w:ascii="Calibri" w:hAnsi="Calibri" w:cs="Calibri"/>
                <w:lang w:val="es-GT"/>
              </w:rPr>
              <w:t>.</w:t>
            </w:r>
            <w:r w:rsidRPr="00CC7F2D">
              <w:rPr>
                <w:rFonts w:ascii="Calibri" w:hAnsi="Calibri" w:cs="Calibri"/>
                <w:lang w:val="es-GT"/>
              </w:rPr>
              <w:t xml:space="preserve"> </w:t>
            </w:r>
          </w:p>
        </w:tc>
      </w:tr>
      <w:tr w:rsidR="00E31B19" w:rsidRPr="00CC7F2D"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C7F2D"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C7F2D" w:rsidRDefault="00E31B19" w:rsidP="00E7258A">
            <w:pPr>
              <w:numPr>
                <w:ilvl w:val="0"/>
                <w:numId w:val="6"/>
              </w:numPr>
              <w:spacing w:before="20" w:after="20"/>
              <w:jc w:val="both"/>
              <w:rPr>
                <w:rFonts w:ascii="Calibri" w:hAnsi="Calibri" w:cs="Calibri"/>
                <w:lang w:val="es-GT"/>
              </w:rPr>
            </w:pPr>
            <w:r w:rsidRPr="001A01AB">
              <w:rPr>
                <w:rFonts w:ascii="Calibri" w:hAnsi="Calibri" w:cs="Calibri"/>
                <w:lang w:val="es-GT"/>
              </w:rPr>
              <w:t>Conservación de suelos</w:t>
            </w:r>
            <w:r w:rsidR="00CC7F2D">
              <w:rPr>
                <w:rFonts w:ascii="Calibri" w:hAnsi="Calibri" w:cs="Calibri"/>
                <w:lang w:val="es-GT"/>
              </w:rPr>
              <w:t>.</w:t>
            </w:r>
            <w:r w:rsidRPr="00CC7F2D">
              <w:rPr>
                <w:rFonts w:ascii="Calibri" w:hAnsi="Calibri" w:cs="Calibri"/>
                <w:lang w:val="es-GT"/>
              </w:rPr>
              <w:t xml:space="preserve"> </w:t>
            </w:r>
          </w:p>
        </w:tc>
      </w:tr>
      <w:tr w:rsidR="00E31B19" w:rsidRPr="00CC7F2D"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C7F2D"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CC7F2D" w:rsidRDefault="00E31B19" w:rsidP="00E7258A">
            <w:pPr>
              <w:numPr>
                <w:ilvl w:val="0"/>
                <w:numId w:val="6"/>
              </w:numPr>
              <w:spacing w:before="20" w:after="20"/>
              <w:jc w:val="both"/>
              <w:rPr>
                <w:rFonts w:ascii="Calibri" w:hAnsi="Calibri" w:cs="Calibri"/>
                <w:lang w:val="es-GT"/>
              </w:rPr>
            </w:pPr>
            <w:r w:rsidRPr="001A01AB">
              <w:rPr>
                <w:rFonts w:ascii="Calibri" w:hAnsi="Calibri" w:cs="Calibri"/>
                <w:lang w:val="es-GT"/>
              </w:rPr>
              <w:t>Recuperación de suelos degradados</w:t>
            </w:r>
            <w:r w:rsidR="00CC7F2D">
              <w:rPr>
                <w:rFonts w:ascii="Calibri" w:hAnsi="Calibri" w:cs="Calibri"/>
                <w:lang w:val="es-GT"/>
              </w:rPr>
              <w:t>.</w:t>
            </w:r>
            <w:r w:rsidRPr="00CC7F2D">
              <w:rPr>
                <w:rFonts w:ascii="Calibri" w:hAnsi="Calibri" w:cs="Calibri"/>
                <w:lang w:val="es-GT"/>
              </w:rPr>
              <w:t xml:space="preserve"> </w:t>
            </w:r>
          </w:p>
        </w:tc>
      </w:tr>
      <w:tr w:rsidR="00E31B19" w:rsidRPr="000364C9"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CC7F2D" w:rsidRDefault="00E31B19" w:rsidP="007A5355">
            <w:pPr>
              <w:spacing w:before="20" w:after="20"/>
              <w:ind w:left="144"/>
              <w:rPr>
                <w:rFonts w:ascii="Calibri" w:hAnsi="Calibri" w:cs="Calibr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6"/>
              </w:numPr>
              <w:spacing w:before="20" w:after="20"/>
              <w:jc w:val="both"/>
              <w:rPr>
                <w:rFonts w:ascii="Calibri" w:hAnsi="Calibri" w:cs="Calibri"/>
                <w:lang w:val="es-GT"/>
              </w:rPr>
            </w:pPr>
            <w:r w:rsidRPr="001A01AB">
              <w:rPr>
                <w:rFonts w:ascii="Calibri" w:hAnsi="Calibri" w:cs="Calibri"/>
                <w:lang w:val="es-GT"/>
              </w:rPr>
              <w:t>Protección y restauración de fuentes de agua para abastecimiento a pequeños mini-riegos</w:t>
            </w:r>
            <w:r w:rsidR="00CC7F2D">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CC7F2D">
            <w:pPr>
              <w:spacing w:before="20" w:after="20"/>
              <w:ind w:left="144"/>
              <w:jc w:val="both"/>
              <w:rPr>
                <w:rFonts w:ascii="Calibri" w:hAnsi="Calibri" w:cs="Calibri"/>
                <w:lang w:val="es-GT"/>
              </w:rPr>
            </w:pPr>
            <w:r w:rsidRPr="001A01AB">
              <w:rPr>
                <w:rFonts w:ascii="Calibri" w:hAnsi="Calibri" w:cs="Calibri"/>
                <w:lang w:val="es-GT"/>
              </w:rPr>
              <w:t xml:space="preserve">Reducir la presión de los sistema productivos sobre los </w:t>
            </w:r>
            <w:r w:rsidR="00CC7F2D">
              <w:rPr>
                <w:rFonts w:ascii="Calibri" w:hAnsi="Calibri" w:cs="Calibri"/>
                <w:lang w:val="es-GT"/>
              </w:rPr>
              <w:t>recursos naturales:</w:t>
            </w:r>
            <w:r w:rsidRPr="001A01AB">
              <w:rPr>
                <w:rFonts w:ascii="Calibri" w:hAnsi="Calibri" w:cs="Calibri"/>
                <w:lang w:val="es-GT"/>
              </w:rPr>
              <w:t xml:space="preserve"> </w:t>
            </w:r>
          </w:p>
        </w:tc>
      </w:tr>
      <w:tr w:rsidR="00E31B19" w:rsidRPr="000364C9"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7"/>
              </w:numPr>
              <w:spacing w:before="20" w:after="20"/>
              <w:jc w:val="both"/>
              <w:rPr>
                <w:rFonts w:ascii="Calibri" w:hAnsi="Calibri" w:cs="Calibri"/>
                <w:lang w:val="es-GT"/>
              </w:rPr>
            </w:pPr>
            <w:r w:rsidRPr="001A01AB">
              <w:rPr>
                <w:rFonts w:ascii="Calibri" w:hAnsi="Calibri" w:cs="Calibri"/>
                <w:lang w:val="es-GT"/>
              </w:rPr>
              <w:t>Identificación de áreas prioritarias de manejo, restauración y conservación forestal</w:t>
            </w:r>
            <w:r w:rsidR="00CC7F2D">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7"/>
              </w:numPr>
              <w:spacing w:before="20" w:after="20"/>
              <w:jc w:val="both"/>
              <w:rPr>
                <w:rFonts w:ascii="Calibri" w:hAnsi="Calibri" w:cs="Calibri"/>
                <w:lang w:val="es-GT"/>
              </w:rPr>
            </w:pPr>
            <w:r w:rsidRPr="001A01AB">
              <w:rPr>
                <w:rFonts w:ascii="Calibri" w:hAnsi="Calibri" w:cs="Calibri"/>
                <w:lang w:val="es-GT"/>
              </w:rPr>
              <w:t>Promoción del manejo forestal sostenible</w:t>
            </w:r>
            <w:r w:rsidR="00CC7F2D">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7"/>
              </w:numPr>
              <w:spacing w:before="20" w:after="20"/>
              <w:jc w:val="both"/>
              <w:rPr>
                <w:rFonts w:ascii="Calibri" w:hAnsi="Calibri" w:cs="Calibri"/>
                <w:lang w:val="es-GT"/>
              </w:rPr>
            </w:pPr>
            <w:r w:rsidRPr="001A01AB">
              <w:rPr>
                <w:rFonts w:ascii="Calibri" w:hAnsi="Calibri" w:cs="Calibri"/>
                <w:lang w:val="es-GT"/>
              </w:rPr>
              <w:t>Promoción de la silvicultura de plantaciones</w:t>
            </w:r>
            <w:r w:rsidR="00CC7F2D">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1A01AB" w:rsidRDefault="00CC7F2D" w:rsidP="00E7258A">
            <w:pPr>
              <w:numPr>
                <w:ilvl w:val="0"/>
                <w:numId w:val="7"/>
              </w:numPr>
              <w:spacing w:before="20" w:after="20"/>
              <w:jc w:val="both"/>
              <w:rPr>
                <w:rFonts w:ascii="Calibri" w:hAnsi="Calibri" w:cs="Calibri"/>
                <w:lang w:val="es-GT"/>
              </w:rPr>
            </w:pPr>
            <w:r>
              <w:rPr>
                <w:rFonts w:ascii="Calibri" w:hAnsi="Calibri" w:cs="Calibri"/>
                <w:lang w:val="es-GT"/>
              </w:rPr>
              <w:t>Promoción de</w:t>
            </w:r>
            <w:r w:rsidR="00E31B19" w:rsidRPr="001A01AB">
              <w:rPr>
                <w:rFonts w:ascii="Calibri" w:hAnsi="Calibri" w:cs="Calibri"/>
                <w:lang w:val="es-GT"/>
              </w:rPr>
              <w:t xml:space="preserve"> la eficiencia energética de la leña</w:t>
            </w:r>
            <w:r>
              <w:rPr>
                <w:rFonts w:ascii="Calibri" w:hAnsi="Calibri" w:cs="Calibri"/>
                <w:lang w:val="es-GT"/>
              </w:rPr>
              <w:t>.</w:t>
            </w:r>
            <w:r w:rsidR="00E31B19" w:rsidRPr="001A01AB">
              <w:rPr>
                <w:rFonts w:ascii="Calibri" w:hAnsi="Calibri" w:cs="Calibri"/>
                <w:lang w:val="es-GT"/>
              </w:rPr>
              <w:t xml:space="preserve"> </w:t>
            </w:r>
          </w:p>
        </w:tc>
      </w:tr>
      <w:tr w:rsidR="00E31B19" w:rsidRPr="000364C9" w:rsidTr="007A5355">
        <w:trPr>
          <w:trHeight w:val="319"/>
          <w:jc w:val="center"/>
        </w:trPr>
        <w:tc>
          <w:tcPr>
            <w:tcW w:w="23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50" w:type="dxa"/>
              <w:bottom w:w="0" w:type="dxa"/>
              <w:right w:w="50" w:type="dxa"/>
            </w:tcMar>
            <w:vAlign w:val="center"/>
            <w:hideMark/>
          </w:tcPr>
          <w:p w:rsidR="00E31B19" w:rsidRPr="001A01AB" w:rsidRDefault="00E31B19" w:rsidP="007A5355">
            <w:pPr>
              <w:spacing w:before="20" w:after="20"/>
              <w:ind w:left="144"/>
              <w:rPr>
                <w:rFonts w:ascii="Calibri" w:hAnsi="Calibri" w:cs="Calibri"/>
                <w:lang w:val="es-GT"/>
              </w:rPr>
            </w:pPr>
          </w:p>
          <w:p w:rsidR="00E31B19" w:rsidRPr="001A01AB" w:rsidRDefault="00E31B19" w:rsidP="007A5355">
            <w:pPr>
              <w:spacing w:before="20" w:after="20"/>
              <w:ind w:left="144"/>
              <w:rPr>
                <w:rFonts w:ascii="Calibri" w:hAnsi="Calibri" w:cs="Calibri"/>
                <w:lang w:val="es-GT"/>
              </w:rPr>
            </w:pPr>
          </w:p>
          <w:p w:rsidR="00E31B19" w:rsidRPr="001A01AB" w:rsidRDefault="00E31B19" w:rsidP="007A5355">
            <w:pPr>
              <w:spacing w:before="20" w:after="20"/>
              <w:ind w:left="144"/>
              <w:rPr>
                <w:rFonts w:ascii="Calibri" w:hAnsi="Calibri" w:cs="Calibri"/>
                <w:lang w:val="es-GT"/>
              </w:rPr>
            </w:pPr>
          </w:p>
          <w:p w:rsidR="00E31B19" w:rsidRPr="001A01AB" w:rsidRDefault="00E31B19" w:rsidP="007A5355">
            <w:pPr>
              <w:spacing w:before="20" w:after="20"/>
              <w:ind w:left="144"/>
              <w:rPr>
                <w:rFonts w:ascii="Calibri" w:hAnsi="Calibri" w:cs="Calibri"/>
                <w:lang w:val="es-GT"/>
              </w:rPr>
            </w:pPr>
          </w:p>
          <w:p w:rsidR="00E31B19" w:rsidRPr="001A01AB" w:rsidRDefault="00E31B19" w:rsidP="007A5355">
            <w:pPr>
              <w:spacing w:before="20" w:after="20"/>
              <w:ind w:left="144"/>
              <w:rPr>
                <w:rFonts w:ascii="Calibri" w:hAnsi="Calibri" w:cs="Calibri"/>
                <w:lang w:val="es-GT"/>
              </w:rPr>
            </w:pPr>
          </w:p>
          <w:p w:rsidR="00E31B19" w:rsidRPr="001A01AB" w:rsidRDefault="00E31B19" w:rsidP="007A5355">
            <w:pPr>
              <w:spacing w:before="20" w:after="20"/>
              <w:ind w:left="144"/>
              <w:rPr>
                <w:rFonts w:ascii="Calibri" w:hAnsi="Calibri" w:cs="Calibri"/>
                <w:lang w:val="es-GT"/>
              </w:rPr>
            </w:pPr>
            <w:r w:rsidRPr="001A01AB">
              <w:rPr>
                <w:rFonts w:ascii="Calibri" w:hAnsi="Calibri" w:cs="Calibri"/>
                <w:lang w:val="es-GT"/>
              </w:rPr>
              <w:t xml:space="preserve">Productividad rural campesina </w:t>
            </w:r>
          </w:p>
          <w:p w:rsidR="00E31B19" w:rsidRPr="001A01AB" w:rsidRDefault="00E31B19" w:rsidP="007A5355">
            <w:pPr>
              <w:spacing w:before="20" w:after="20"/>
              <w:ind w:left="144"/>
              <w:rPr>
                <w:rFonts w:ascii="Calibri" w:hAnsi="Calibri" w:cs="Calibri"/>
                <w:sz w:val="20"/>
                <w:szCs w:val="23"/>
                <w:lang w:val="es-GT"/>
              </w:rPr>
            </w:pPr>
          </w:p>
          <w:p w:rsidR="00E31B19" w:rsidRPr="001A01AB" w:rsidRDefault="00E31B19" w:rsidP="007A5355">
            <w:pPr>
              <w:spacing w:before="20" w:after="20"/>
              <w:ind w:left="144"/>
              <w:rPr>
                <w:rFonts w:ascii="Calibri" w:hAnsi="Calibri" w:cs="Calibri"/>
                <w:sz w:val="20"/>
                <w:szCs w:val="23"/>
                <w:lang w:val="es-GT"/>
              </w:rPr>
            </w:pPr>
          </w:p>
          <w:p w:rsidR="00E31B19" w:rsidRPr="001A01AB" w:rsidRDefault="00E31B19" w:rsidP="007A5355">
            <w:pPr>
              <w:spacing w:before="20" w:after="20"/>
              <w:ind w:left="144"/>
              <w:rPr>
                <w:rFonts w:ascii="Calibri" w:hAnsi="Calibri" w:cs="Calibri"/>
                <w:sz w:val="20"/>
                <w:szCs w:val="23"/>
                <w:lang w:val="es-GT"/>
              </w:rPr>
            </w:pPr>
          </w:p>
          <w:p w:rsidR="00E31B19" w:rsidRPr="001A01AB" w:rsidRDefault="00E31B19" w:rsidP="007A5355">
            <w:pPr>
              <w:spacing w:before="20" w:after="20"/>
              <w:ind w:left="144"/>
              <w:rPr>
                <w:rFonts w:ascii="Calibri" w:hAnsi="Calibri" w:cs="Calibri"/>
                <w:sz w:val="20"/>
                <w:szCs w:val="23"/>
                <w:lang w:val="es-GT"/>
              </w:rPr>
            </w:pPr>
          </w:p>
          <w:p w:rsidR="00E31B19" w:rsidRPr="001A01AB" w:rsidRDefault="00E31B19" w:rsidP="007A5355">
            <w:pPr>
              <w:spacing w:before="20" w:after="20"/>
              <w:ind w:left="144"/>
              <w:rPr>
                <w:rFonts w:ascii="Calibri" w:hAnsi="Calibri" w:cs="Calibri"/>
                <w:sz w:val="20"/>
                <w:szCs w:val="23"/>
                <w:lang w:val="es-GT"/>
              </w:rPr>
            </w:pPr>
          </w:p>
          <w:p w:rsidR="00E31B19" w:rsidRPr="001A01AB" w:rsidRDefault="00E31B19" w:rsidP="007A5355">
            <w:pPr>
              <w:spacing w:before="20" w:after="20"/>
              <w:ind w:left="144"/>
              <w:rPr>
                <w:rFonts w:ascii="Calibri" w:hAnsi="Calibri" w:cs="Calibri"/>
                <w:sz w:val="20"/>
                <w:szCs w:val="23"/>
                <w:lang w:val="es-GT"/>
              </w:rPr>
            </w:pPr>
          </w:p>
          <w:p w:rsidR="00E31B19" w:rsidRPr="001A01AB" w:rsidRDefault="00E31B19" w:rsidP="007A5355">
            <w:pPr>
              <w:spacing w:before="20" w:after="20"/>
              <w:ind w:left="144"/>
              <w:rPr>
                <w:rFonts w:ascii="Calibri" w:hAnsi="Calibri" w:cs="Calibri"/>
                <w:lang w:val="es-GT"/>
              </w:rPr>
            </w:pPr>
            <w:r w:rsidRPr="001A01AB">
              <w:rPr>
                <w:rFonts w:ascii="Calibri" w:hAnsi="Calibri" w:cs="Calibri"/>
                <w:lang w:val="es-GT"/>
              </w:rPr>
              <w:t>Productividad rural campesina</w:t>
            </w: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7A5355">
            <w:pPr>
              <w:spacing w:before="20" w:after="20"/>
              <w:ind w:left="144"/>
              <w:jc w:val="both"/>
              <w:rPr>
                <w:rFonts w:ascii="Calibri" w:hAnsi="Calibri" w:cs="Calibri"/>
                <w:lang w:val="es-GT"/>
              </w:rPr>
            </w:pPr>
            <w:r w:rsidRPr="001A01AB">
              <w:rPr>
                <w:rFonts w:ascii="Calibri" w:hAnsi="Calibri" w:cs="Calibri"/>
                <w:lang w:val="es-GT"/>
              </w:rPr>
              <w:lastRenderedPageBreak/>
              <w:t>Infraestructura productiva orientada al desarrollo de los pequeños productores rurales, en territorios prioritarios</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8"/>
              </w:numPr>
              <w:spacing w:before="20" w:after="20"/>
              <w:jc w:val="both"/>
              <w:rPr>
                <w:rFonts w:ascii="Calibri" w:hAnsi="Calibri" w:cs="Calibri"/>
                <w:lang w:val="es-GT"/>
              </w:rPr>
            </w:pPr>
            <w:r w:rsidRPr="001A01AB">
              <w:rPr>
                <w:rFonts w:ascii="Calibri" w:hAnsi="Calibri" w:cs="Calibri"/>
                <w:lang w:val="es-GT"/>
              </w:rPr>
              <w:t>Inversiones en riego y centros de acopio</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8"/>
              </w:numPr>
              <w:spacing w:before="20" w:after="20"/>
              <w:jc w:val="both"/>
              <w:rPr>
                <w:rFonts w:ascii="Calibri" w:hAnsi="Calibri" w:cs="Calibri"/>
                <w:lang w:val="es-GT"/>
              </w:rPr>
            </w:pPr>
            <w:r w:rsidRPr="001A01AB">
              <w:rPr>
                <w:rFonts w:ascii="Calibri" w:hAnsi="Calibri" w:cs="Calibri"/>
                <w:lang w:val="es-GT"/>
              </w:rPr>
              <w:t>Introducción y rehabilitación de caminos rurales</w:t>
            </w:r>
            <w:r w:rsidR="003646D2">
              <w:rPr>
                <w:rFonts w:ascii="Calibri" w:hAnsi="Calibri" w:cs="Calibri"/>
                <w:lang w:val="es-GT"/>
              </w:rPr>
              <w:t>.</w:t>
            </w:r>
            <w:r w:rsidRPr="001A01AB">
              <w:rPr>
                <w:rFonts w:ascii="Calibri" w:hAnsi="Calibri" w:cs="Calibri"/>
                <w:lang w:val="es-GT"/>
              </w:rPr>
              <w:t xml:space="preserve"> </w:t>
            </w:r>
          </w:p>
        </w:tc>
      </w:tr>
      <w:tr w:rsidR="00E31B19" w:rsidRPr="000364C9" w:rsidTr="000D70BF">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8"/>
              </w:numPr>
              <w:spacing w:before="20" w:after="20"/>
              <w:jc w:val="both"/>
              <w:rPr>
                <w:rFonts w:ascii="Calibri" w:hAnsi="Calibri" w:cs="Calibri"/>
                <w:lang w:val="es-GT"/>
              </w:rPr>
            </w:pPr>
            <w:r w:rsidRPr="001A01AB">
              <w:rPr>
                <w:rFonts w:ascii="Calibri" w:hAnsi="Calibri" w:cs="Calibri"/>
                <w:lang w:val="es-GT"/>
              </w:rPr>
              <w:t>Inversiones en plantas de proceso primario</w:t>
            </w:r>
            <w:r w:rsidR="003646D2">
              <w:rPr>
                <w:rFonts w:ascii="Calibri" w:hAnsi="Calibri" w:cs="Calibri"/>
                <w:lang w:val="es-GT"/>
              </w:rPr>
              <w:t>.</w:t>
            </w:r>
            <w:r w:rsidRPr="001A01AB">
              <w:rPr>
                <w:rFonts w:ascii="Calibri" w:hAnsi="Calibri" w:cs="Calibri"/>
                <w:lang w:val="es-GT"/>
              </w:rPr>
              <w:t xml:space="preserve"> </w:t>
            </w:r>
          </w:p>
        </w:tc>
      </w:tr>
      <w:tr w:rsidR="00E31B19" w:rsidRPr="000364C9" w:rsidTr="000D70BF">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single" w:sz="8" w:space="0" w:color="000000"/>
              <w:left w:val="single" w:sz="8" w:space="0" w:color="000000"/>
              <w:right w:val="single" w:sz="8" w:space="0" w:color="000000"/>
            </w:tcBorders>
            <w:shd w:val="clear" w:color="auto" w:fill="auto"/>
            <w:tcMar>
              <w:top w:w="15" w:type="dxa"/>
              <w:left w:w="50" w:type="dxa"/>
              <w:bottom w:w="0" w:type="dxa"/>
              <w:right w:w="50" w:type="dxa"/>
            </w:tcMar>
            <w:hideMark/>
          </w:tcPr>
          <w:p w:rsidR="00E31B19" w:rsidRPr="001A01AB" w:rsidRDefault="00E31B19" w:rsidP="007A5355">
            <w:pPr>
              <w:spacing w:before="20" w:after="20"/>
              <w:ind w:left="144"/>
              <w:jc w:val="both"/>
              <w:rPr>
                <w:rFonts w:ascii="Calibri" w:hAnsi="Calibri" w:cs="Calibri"/>
                <w:lang w:val="es-GT"/>
              </w:rPr>
            </w:pPr>
            <w:r w:rsidRPr="001A01AB">
              <w:rPr>
                <w:rFonts w:ascii="Calibri" w:hAnsi="Calibri" w:cs="Calibri"/>
                <w:lang w:val="es-GT"/>
              </w:rPr>
              <w:t>Empresarialidad rural para la generación de empleo e ingresos agrícola</w:t>
            </w:r>
            <w:r w:rsidR="003646D2">
              <w:rPr>
                <w:rFonts w:ascii="Calibri" w:hAnsi="Calibri" w:cs="Calibri"/>
                <w:lang w:val="es-GT"/>
              </w:rPr>
              <w:t>s</w:t>
            </w:r>
            <w:r w:rsidRPr="001A01AB">
              <w:rPr>
                <w:rFonts w:ascii="Calibri" w:hAnsi="Calibri" w:cs="Calibri"/>
                <w:lang w:val="es-GT"/>
              </w:rPr>
              <w:t xml:space="preserve"> y no agrícola</w:t>
            </w:r>
            <w:r w:rsidR="003646D2">
              <w:rPr>
                <w:rFonts w:ascii="Calibri" w:hAnsi="Calibri" w:cs="Calibri"/>
                <w:lang w:val="es-GT"/>
              </w:rPr>
              <w:t>s:</w:t>
            </w:r>
            <w:r w:rsidRPr="001A01AB">
              <w:rPr>
                <w:rFonts w:ascii="Calibri" w:hAnsi="Calibri" w:cs="Calibri"/>
                <w:lang w:val="es-GT"/>
              </w:rPr>
              <w:t xml:space="preserve"> </w:t>
            </w:r>
          </w:p>
        </w:tc>
      </w:tr>
      <w:tr w:rsidR="00E31B19" w:rsidRPr="003646D2" w:rsidTr="000D70BF">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left w:val="single" w:sz="8" w:space="0" w:color="000000"/>
              <w:bottom w:val="single" w:sz="4" w:space="0" w:color="auto"/>
              <w:right w:val="single" w:sz="8" w:space="0" w:color="000000"/>
            </w:tcBorders>
            <w:shd w:val="clear" w:color="auto" w:fill="auto"/>
            <w:tcMar>
              <w:top w:w="15" w:type="dxa"/>
              <w:left w:w="50" w:type="dxa"/>
              <w:bottom w:w="0" w:type="dxa"/>
              <w:right w:w="50" w:type="dxa"/>
            </w:tcMar>
            <w:hideMark/>
          </w:tcPr>
          <w:p w:rsidR="00E31B19" w:rsidRPr="003646D2" w:rsidRDefault="00E31B19" w:rsidP="00E7258A">
            <w:pPr>
              <w:numPr>
                <w:ilvl w:val="0"/>
                <w:numId w:val="9"/>
              </w:numPr>
              <w:spacing w:before="20" w:after="20"/>
              <w:jc w:val="both"/>
              <w:rPr>
                <w:rFonts w:ascii="Calibri" w:hAnsi="Calibri" w:cs="Calibri"/>
                <w:lang w:val="es-GT"/>
              </w:rPr>
            </w:pPr>
            <w:r w:rsidRPr="001A01AB">
              <w:rPr>
                <w:rFonts w:ascii="Calibri" w:hAnsi="Calibri" w:cs="Calibri"/>
                <w:lang w:val="es-GT"/>
              </w:rPr>
              <w:t>Encadenamientos productivos</w:t>
            </w:r>
            <w:r w:rsidR="003646D2">
              <w:rPr>
                <w:rFonts w:ascii="Calibri" w:hAnsi="Calibri" w:cs="Calibri"/>
                <w:lang w:val="es-GT"/>
              </w:rPr>
              <w:t>.</w:t>
            </w:r>
            <w:r w:rsidRPr="003646D2">
              <w:rPr>
                <w:rFonts w:ascii="Calibri" w:hAnsi="Calibri" w:cs="Calibri"/>
                <w:lang w:val="es-GT"/>
              </w:rPr>
              <w:t xml:space="preserve"> </w:t>
            </w:r>
          </w:p>
        </w:tc>
      </w:tr>
      <w:tr w:rsidR="00E31B19" w:rsidRPr="000364C9" w:rsidTr="000D70BF">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3646D2" w:rsidRDefault="00E31B19" w:rsidP="007A5355">
            <w:pPr>
              <w:spacing w:before="20" w:after="20"/>
              <w:ind w:left="144"/>
              <w:rPr>
                <w:rFonts w:ascii="Calibri" w:hAnsi="Calibri" w:cs="Calibri"/>
                <w:lang w:val="es-GT"/>
              </w:rPr>
            </w:pPr>
          </w:p>
        </w:tc>
        <w:tc>
          <w:tcPr>
            <w:tcW w:w="7200" w:type="dxa"/>
            <w:tcBorders>
              <w:top w:val="single" w:sz="4" w:space="0" w:color="auto"/>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9"/>
              </w:numPr>
              <w:spacing w:before="20" w:after="20"/>
              <w:jc w:val="both"/>
              <w:rPr>
                <w:rFonts w:ascii="Calibri" w:hAnsi="Calibri" w:cs="Calibri"/>
                <w:lang w:val="es-GT"/>
              </w:rPr>
            </w:pPr>
            <w:r w:rsidRPr="001A01AB">
              <w:rPr>
                <w:rFonts w:ascii="Calibri" w:hAnsi="Calibri" w:cs="Calibri"/>
                <w:lang w:val="es-GT"/>
              </w:rPr>
              <w:t>Sistemas de créditos, servicios financieros y seguro agrícola</w:t>
            </w:r>
            <w:r w:rsidR="003646D2">
              <w:rPr>
                <w:rFonts w:ascii="Calibri" w:hAnsi="Calibri" w:cs="Calibri"/>
                <w:lang w:val="es-GT"/>
              </w:rPr>
              <w:t>.</w:t>
            </w:r>
          </w:p>
        </w:tc>
      </w:tr>
      <w:tr w:rsidR="00E31B19" w:rsidRPr="000364C9"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9"/>
              </w:numPr>
              <w:spacing w:before="20" w:after="20"/>
              <w:jc w:val="both"/>
              <w:rPr>
                <w:rFonts w:ascii="Calibri" w:hAnsi="Calibri" w:cs="Calibri"/>
                <w:lang w:val="es-GT"/>
              </w:rPr>
            </w:pPr>
            <w:r w:rsidRPr="001A01AB">
              <w:rPr>
                <w:rFonts w:ascii="Calibri" w:hAnsi="Calibri" w:cs="Calibri"/>
                <w:lang w:val="es-GT"/>
              </w:rPr>
              <w:t>Promoción de la organización de base (PYMES rurales, cooperativas y asociaciones de productores)</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7A5355">
            <w:pPr>
              <w:spacing w:before="20" w:after="20"/>
              <w:ind w:left="144"/>
              <w:jc w:val="both"/>
              <w:rPr>
                <w:rFonts w:ascii="Calibri" w:hAnsi="Calibri" w:cs="Calibri"/>
                <w:lang w:val="es-GT"/>
              </w:rPr>
            </w:pPr>
            <w:r w:rsidRPr="001A01AB">
              <w:rPr>
                <w:rFonts w:ascii="Calibri" w:hAnsi="Calibri" w:cs="Calibri"/>
                <w:lang w:val="es-GT"/>
              </w:rPr>
              <w:t>Dinamización de las economías campesinas</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10"/>
              </w:numPr>
              <w:spacing w:before="20" w:after="20"/>
              <w:jc w:val="both"/>
              <w:rPr>
                <w:rFonts w:ascii="Calibri" w:hAnsi="Calibri" w:cs="Calibri"/>
                <w:lang w:val="es-GT"/>
              </w:rPr>
            </w:pPr>
            <w:r w:rsidRPr="001A01AB">
              <w:rPr>
                <w:rFonts w:ascii="Calibri" w:hAnsi="Calibri" w:cs="Calibri"/>
                <w:lang w:val="es-GT"/>
              </w:rPr>
              <w:t>Sistema de extensión y asistencia técnica rural orientada a los sectores más vulnerables</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160"/>
          <w:jc w:val="center"/>
        </w:trPr>
        <w:tc>
          <w:tcPr>
            <w:tcW w:w="23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50" w:type="dxa"/>
              <w:bottom w:w="0" w:type="dxa"/>
              <w:right w:w="50" w:type="dxa"/>
            </w:tcMar>
            <w:vAlign w:val="center"/>
            <w:hideMark/>
          </w:tcPr>
          <w:p w:rsidR="00E31B19" w:rsidRPr="001A01AB" w:rsidRDefault="00E31B19" w:rsidP="007A5355">
            <w:pPr>
              <w:spacing w:before="20" w:after="20"/>
              <w:ind w:left="144"/>
              <w:rPr>
                <w:rFonts w:ascii="Calibri" w:hAnsi="Calibri" w:cs="Calibri"/>
              </w:rPr>
            </w:pPr>
            <w:r w:rsidRPr="001A01AB">
              <w:rPr>
                <w:rFonts w:ascii="Calibri" w:hAnsi="Calibri" w:cs="Calibri"/>
                <w:lang w:val="es-GT"/>
              </w:rPr>
              <w:t>Seguridad alimentaria y nutricional</w:t>
            </w:r>
            <w:r w:rsidRPr="001A01AB">
              <w:rPr>
                <w:rFonts w:ascii="Calibri" w:hAnsi="Calibri" w:cs="Calibri"/>
              </w:rPr>
              <w:t xml:space="preserve"> </w:t>
            </w: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7A5355">
            <w:pPr>
              <w:spacing w:before="20" w:after="20"/>
              <w:ind w:left="144"/>
              <w:jc w:val="both"/>
              <w:rPr>
                <w:rFonts w:ascii="Calibri" w:hAnsi="Calibri" w:cs="Calibri"/>
                <w:lang w:val="es-GT"/>
              </w:rPr>
            </w:pPr>
            <w:r w:rsidRPr="001A01AB">
              <w:rPr>
                <w:rFonts w:ascii="Calibri" w:hAnsi="Calibri" w:cs="Calibri"/>
                <w:lang w:val="es-GT"/>
              </w:rPr>
              <w:t>Asegurar la provisión de alimentos esenciales para la familia rural</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11"/>
              </w:numPr>
              <w:spacing w:before="20" w:after="20"/>
              <w:jc w:val="both"/>
              <w:rPr>
                <w:rFonts w:ascii="Calibri" w:hAnsi="Calibri" w:cs="Calibri"/>
                <w:lang w:val="es-GT"/>
              </w:rPr>
            </w:pPr>
            <w:r w:rsidRPr="001A01AB">
              <w:rPr>
                <w:rFonts w:ascii="Calibri" w:hAnsi="Calibri" w:cs="Calibri"/>
                <w:lang w:val="es-GT"/>
              </w:rPr>
              <w:t>Asistencia alimentaria y nutricional a grupos vulnerables</w:t>
            </w:r>
            <w:r w:rsidR="003646D2">
              <w:rPr>
                <w:rFonts w:ascii="Calibri" w:hAnsi="Calibri" w:cs="Calibri"/>
                <w:lang w:val="es-GT"/>
              </w:rPr>
              <w:t>.</w:t>
            </w:r>
            <w:r w:rsidRPr="001A01AB">
              <w:rPr>
                <w:rFonts w:ascii="Calibri" w:hAnsi="Calibri" w:cs="Calibri"/>
                <w:lang w:val="es-GT"/>
              </w:rPr>
              <w:t xml:space="preserve"> </w:t>
            </w:r>
          </w:p>
        </w:tc>
      </w:tr>
      <w:tr w:rsidR="00E31B19" w:rsidRPr="003646D2" w:rsidTr="007A5355">
        <w:trPr>
          <w:trHeight w:val="160"/>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single" w:sz="4" w:space="0" w:color="auto"/>
              <w:right w:val="single" w:sz="8" w:space="0" w:color="000000"/>
            </w:tcBorders>
            <w:shd w:val="clear" w:color="auto" w:fill="auto"/>
            <w:tcMar>
              <w:top w:w="15" w:type="dxa"/>
              <w:left w:w="50" w:type="dxa"/>
              <w:bottom w:w="0" w:type="dxa"/>
              <w:right w:w="50" w:type="dxa"/>
            </w:tcMar>
            <w:hideMark/>
          </w:tcPr>
          <w:p w:rsidR="00E31B19" w:rsidRPr="003646D2" w:rsidRDefault="00E31B19" w:rsidP="00E7258A">
            <w:pPr>
              <w:numPr>
                <w:ilvl w:val="0"/>
                <w:numId w:val="11"/>
              </w:numPr>
              <w:spacing w:before="20" w:after="20"/>
              <w:jc w:val="both"/>
              <w:rPr>
                <w:rFonts w:ascii="Calibri" w:hAnsi="Calibri" w:cs="Calibri"/>
                <w:lang w:val="es-GT"/>
              </w:rPr>
            </w:pPr>
            <w:r w:rsidRPr="001A01AB">
              <w:rPr>
                <w:rFonts w:ascii="Calibri" w:hAnsi="Calibri" w:cs="Calibri"/>
                <w:lang w:val="es-GT"/>
              </w:rPr>
              <w:t>Manejo post-cosecha</w:t>
            </w:r>
            <w:r w:rsidR="003646D2">
              <w:rPr>
                <w:rFonts w:ascii="Calibri" w:hAnsi="Calibri" w:cs="Calibri"/>
                <w:lang w:val="es-GT"/>
              </w:rPr>
              <w:t>.</w:t>
            </w:r>
            <w:r w:rsidRPr="003646D2">
              <w:rPr>
                <w:rFonts w:ascii="Calibri" w:hAnsi="Calibri" w:cs="Calibri"/>
                <w:lang w:val="es-GT"/>
              </w:rPr>
              <w:t xml:space="preserve"> </w:t>
            </w:r>
          </w:p>
        </w:tc>
      </w:tr>
      <w:tr w:rsidR="00E31B19" w:rsidRPr="000364C9" w:rsidTr="007A5355">
        <w:trPr>
          <w:trHeight w:val="319"/>
          <w:jc w:val="center"/>
        </w:trPr>
        <w:tc>
          <w:tcPr>
            <w:tcW w:w="2300" w:type="dxa"/>
            <w:vMerge w:val="restart"/>
            <w:tcBorders>
              <w:top w:val="single" w:sz="8" w:space="0" w:color="000000"/>
              <w:left w:val="single" w:sz="8" w:space="0" w:color="000000"/>
              <w:right w:val="single" w:sz="4" w:space="0" w:color="auto"/>
            </w:tcBorders>
            <w:shd w:val="clear" w:color="auto" w:fill="auto"/>
            <w:tcMar>
              <w:top w:w="15" w:type="dxa"/>
              <w:left w:w="50" w:type="dxa"/>
              <w:bottom w:w="0" w:type="dxa"/>
              <w:right w:w="50" w:type="dxa"/>
            </w:tcMar>
            <w:vAlign w:val="center"/>
            <w:hideMark/>
          </w:tcPr>
          <w:p w:rsidR="00E31B19" w:rsidRPr="001A01AB" w:rsidRDefault="00E31B19" w:rsidP="007A5355">
            <w:pPr>
              <w:spacing w:before="20" w:after="20"/>
              <w:ind w:left="144"/>
              <w:rPr>
                <w:rFonts w:ascii="Calibri" w:hAnsi="Calibri" w:cs="Calibri"/>
                <w:lang w:val="es-GT"/>
              </w:rPr>
            </w:pPr>
            <w:r w:rsidRPr="001A01AB">
              <w:rPr>
                <w:rFonts w:ascii="Calibri" w:hAnsi="Calibri" w:cs="Calibri"/>
                <w:lang w:val="es-GT"/>
              </w:rPr>
              <w:t xml:space="preserve">Vulnerabilidad sistémica y cambio climático </w:t>
            </w:r>
          </w:p>
        </w:tc>
        <w:tc>
          <w:tcPr>
            <w:tcW w:w="7200" w:type="dxa"/>
            <w:tcBorders>
              <w:top w:val="single" w:sz="4" w:space="0" w:color="auto"/>
              <w:left w:val="single" w:sz="4" w:space="0" w:color="auto"/>
              <w:bottom w:val="nil"/>
              <w:right w:val="single" w:sz="4" w:space="0" w:color="auto"/>
            </w:tcBorders>
            <w:shd w:val="clear" w:color="auto" w:fill="auto"/>
            <w:tcMar>
              <w:top w:w="15" w:type="dxa"/>
              <w:left w:w="50" w:type="dxa"/>
              <w:bottom w:w="0" w:type="dxa"/>
              <w:right w:w="50" w:type="dxa"/>
            </w:tcMar>
            <w:hideMark/>
          </w:tcPr>
          <w:p w:rsidR="00E31B19" w:rsidRPr="001A01AB" w:rsidRDefault="00E31B19" w:rsidP="007A5355">
            <w:pPr>
              <w:spacing w:before="20" w:after="20"/>
              <w:ind w:left="144"/>
              <w:jc w:val="both"/>
              <w:rPr>
                <w:rFonts w:ascii="Calibri" w:hAnsi="Calibri" w:cs="Calibri"/>
                <w:lang w:val="es-GT"/>
              </w:rPr>
            </w:pPr>
            <w:r w:rsidRPr="001A01AB">
              <w:rPr>
                <w:rFonts w:ascii="Calibri" w:hAnsi="Calibri" w:cs="Calibri"/>
                <w:lang w:val="es-GT"/>
              </w:rPr>
              <w:t>Fortalecer los sistemas de información climática, que aseguren la captura de información confiable y precisa, a fin de modelar los cambios en el clima y alimentar los sistemas de alerta temprana locales</w:t>
            </w:r>
            <w:r w:rsidR="003646D2">
              <w:rPr>
                <w:rFonts w:ascii="Calibri" w:hAnsi="Calibri" w:cs="Calibri"/>
                <w:lang w:val="es-GT"/>
              </w:rPr>
              <w:t>:</w:t>
            </w:r>
          </w:p>
        </w:tc>
      </w:tr>
      <w:tr w:rsidR="00E31B19" w:rsidRPr="000364C9" w:rsidTr="007A5355">
        <w:trPr>
          <w:trHeight w:val="319"/>
          <w:jc w:val="center"/>
        </w:trPr>
        <w:tc>
          <w:tcPr>
            <w:tcW w:w="2300" w:type="dxa"/>
            <w:vMerge/>
            <w:tcBorders>
              <w:left w:val="single" w:sz="8" w:space="0" w:color="000000"/>
              <w:right w:val="single" w:sz="4" w:space="0" w:color="auto"/>
            </w:tcBorders>
            <w:shd w:val="clear" w:color="auto" w:fill="auto"/>
            <w:tcMar>
              <w:top w:w="15" w:type="dxa"/>
              <w:left w:w="50" w:type="dxa"/>
              <w:bottom w:w="0" w:type="dxa"/>
              <w:right w:w="50" w:type="dxa"/>
            </w:tcMar>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left w:val="single" w:sz="4" w:space="0" w:color="auto"/>
              <w:bottom w:val="nil"/>
              <w:right w:val="single" w:sz="4" w:space="0" w:color="auto"/>
            </w:tcBorders>
            <w:shd w:val="clear" w:color="auto" w:fill="auto"/>
            <w:tcMar>
              <w:top w:w="15" w:type="dxa"/>
              <w:left w:w="50" w:type="dxa"/>
              <w:bottom w:w="0" w:type="dxa"/>
              <w:right w:w="50" w:type="dxa"/>
            </w:tcMar>
            <w:hideMark/>
          </w:tcPr>
          <w:p w:rsidR="00E31B19" w:rsidRPr="001A01AB" w:rsidRDefault="00E31B19" w:rsidP="00E7258A">
            <w:pPr>
              <w:numPr>
                <w:ilvl w:val="0"/>
                <w:numId w:val="12"/>
              </w:numPr>
              <w:spacing w:before="20" w:after="20"/>
              <w:jc w:val="both"/>
              <w:rPr>
                <w:rFonts w:ascii="Calibri" w:hAnsi="Calibri" w:cs="Calibri"/>
                <w:lang w:val="es-GT"/>
              </w:rPr>
            </w:pPr>
            <w:r w:rsidRPr="001A01AB">
              <w:rPr>
                <w:rFonts w:ascii="Calibri" w:hAnsi="Calibri" w:cs="Calibri"/>
                <w:lang w:val="es-GT"/>
              </w:rPr>
              <w:t>Inversiones en estaciones me</w:t>
            </w:r>
            <w:r w:rsidR="003646D2">
              <w:rPr>
                <w:rFonts w:ascii="Calibri" w:hAnsi="Calibri" w:cs="Calibri"/>
                <w:lang w:val="es-GT"/>
              </w:rPr>
              <w:t>teorológicas para</w:t>
            </w:r>
            <w:r w:rsidRPr="001A01AB">
              <w:rPr>
                <w:rFonts w:ascii="Calibri" w:hAnsi="Calibri" w:cs="Calibri"/>
                <w:lang w:val="es-GT"/>
              </w:rPr>
              <w:t xml:space="preserve"> sitios prioritarios por vulnerabilidad ambiental</w:t>
            </w:r>
            <w:r w:rsidR="003646D2">
              <w:rPr>
                <w:rFonts w:ascii="Calibri" w:hAnsi="Calibri" w:cs="Calibri"/>
                <w:lang w:val="es-GT"/>
              </w:rPr>
              <w:t>.</w:t>
            </w:r>
          </w:p>
        </w:tc>
      </w:tr>
      <w:tr w:rsidR="00E31B19" w:rsidRPr="000364C9" w:rsidTr="007A5355">
        <w:trPr>
          <w:trHeight w:val="319"/>
          <w:jc w:val="center"/>
        </w:trPr>
        <w:tc>
          <w:tcPr>
            <w:tcW w:w="2300" w:type="dxa"/>
            <w:vMerge/>
            <w:tcBorders>
              <w:left w:val="single" w:sz="8" w:space="0" w:color="000000"/>
              <w:right w:val="single" w:sz="4" w:space="0" w:color="auto"/>
            </w:tcBorders>
            <w:shd w:val="clear" w:color="auto" w:fill="auto"/>
            <w:tcMar>
              <w:top w:w="15" w:type="dxa"/>
              <w:left w:w="50" w:type="dxa"/>
              <w:bottom w:w="0" w:type="dxa"/>
              <w:right w:w="50" w:type="dxa"/>
            </w:tcMar>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left w:val="single" w:sz="4" w:space="0" w:color="auto"/>
              <w:bottom w:val="nil"/>
              <w:right w:val="single" w:sz="4" w:space="0" w:color="auto"/>
            </w:tcBorders>
            <w:shd w:val="clear" w:color="auto" w:fill="auto"/>
            <w:tcMar>
              <w:top w:w="15" w:type="dxa"/>
              <w:left w:w="50" w:type="dxa"/>
              <w:bottom w:w="0" w:type="dxa"/>
              <w:right w:w="50" w:type="dxa"/>
            </w:tcMar>
            <w:hideMark/>
          </w:tcPr>
          <w:p w:rsidR="00E31B19" w:rsidRPr="001A01AB" w:rsidRDefault="00E31B19" w:rsidP="00E7258A">
            <w:pPr>
              <w:numPr>
                <w:ilvl w:val="0"/>
                <w:numId w:val="12"/>
              </w:numPr>
              <w:spacing w:before="20" w:after="20"/>
              <w:jc w:val="both"/>
              <w:rPr>
                <w:rFonts w:ascii="Calibri" w:hAnsi="Calibri" w:cs="Calibri"/>
                <w:lang w:val="es-GT"/>
              </w:rPr>
            </w:pPr>
            <w:r w:rsidRPr="001A01AB">
              <w:rPr>
                <w:rFonts w:ascii="Calibri" w:hAnsi="Calibri" w:cs="Calibri"/>
                <w:lang w:val="es-GT"/>
              </w:rPr>
              <w:t xml:space="preserve">Promoción de los sistemas </w:t>
            </w:r>
            <w:r w:rsidR="003646D2">
              <w:rPr>
                <w:rFonts w:ascii="Calibri" w:hAnsi="Calibri" w:cs="Calibri"/>
                <w:lang w:val="es-GT"/>
              </w:rPr>
              <w:t>locales de gestión de riesgo.</w:t>
            </w:r>
          </w:p>
        </w:tc>
      </w:tr>
      <w:tr w:rsidR="00E31B19" w:rsidRPr="000364C9" w:rsidTr="007A5355">
        <w:trPr>
          <w:trHeight w:val="319"/>
          <w:jc w:val="center"/>
        </w:trPr>
        <w:tc>
          <w:tcPr>
            <w:tcW w:w="2300" w:type="dxa"/>
            <w:vMerge/>
            <w:tcBorders>
              <w:left w:val="single" w:sz="8" w:space="0" w:color="000000"/>
              <w:right w:val="single" w:sz="4" w:space="0" w:color="auto"/>
            </w:tcBorders>
            <w:shd w:val="clear" w:color="auto" w:fill="auto"/>
            <w:tcMar>
              <w:top w:w="15" w:type="dxa"/>
              <w:left w:w="50" w:type="dxa"/>
              <w:bottom w:w="0" w:type="dxa"/>
              <w:right w:w="50" w:type="dxa"/>
            </w:tcMar>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left w:val="single" w:sz="4" w:space="0" w:color="auto"/>
              <w:bottom w:val="nil"/>
              <w:right w:val="single" w:sz="4" w:space="0" w:color="auto"/>
            </w:tcBorders>
            <w:shd w:val="clear" w:color="auto" w:fill="auto"/>
            <w:tcMar>
              <w:top w:w="15" w:type="dxa"/>
              <w:left w:w="50" w:type="dxa"/>
              <w:bottom w:w="0" w:type="dxa"/>
              <w:right w:w="50" w:type="dxa"/>
            </w:tcMar>
            <w:hideMark/>
          </w:tcPr>
          <w:p w:rsidR="00E31B19" w:rsidRPr="001A01AB" w:rsidRDefault="00E31B19" w:rsidP="003646D2">
            <w:pPr>
              <w:numPr>
                <w:ilvl w:val="0"/>
                <w:numId w:val="12"/>
              </w:numPr>
              <w:spacing w:before="20" w:after="20"/>
              <w:jc w:val="both"/>
              <w:rPr>
                <w:rFonts w:ascii="Calibri" w:hAnsi="Calibri" w:cs="Calibri"/>
                <w:lang w:val="es-GT"/>
              </w:rPr>
            </w:pPr>
            <w:r w:rsidRPr="001A01AB">
              <w:rPr>
                <w:rFonts w:ascii="Calibri" w:hAnsi="Calibri" w:cs="Calibri"/>
                <w:lang w:val="es-GT"/>
              </w:rPr>
              <w:t>Caracterización de las amenazas y la vulnerabilidad a distintos niveles territoriales</w:t>
            </w:r>
            <w:r w:rsidR="003646D2">
              <w:rPr>
                <w:rFonts w:ascii="Calibri" w:hAnsi="Calibri" w:cs="Calibri"/>
                <w:lang w:val="es-GT"/>
              </w:rPr>
              <w:t xml:space="preserve">: local, cuenca y </w:t>
            </w:r>
            <w:r w:rsidRPr="001A01AB">
              <w:rPr>
                <w:rFonts w:ascii="Calibri" w:hAnsi="Calibri" w:cs="Calibri"/>
                <w:lang w:val="es-GT"/>
              </w:rPr>
              <w:t>región</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319"/>
          <w:jc w:val="center"/>
        </w:trPr>
        <w:tc>
          <w:tcPr>
            <w:tcW w:w="2300" w:type="dxa"/>
            <w:vMerge/>
            <w:tcBorders>
              <w:left w:val="single" w:sz="8" w:space="0" w:color="000000"/>
              <w:right w:val="single" w:sz="4" w:space="0" w:color="auto"/>
            </w:tcBorders>
            <w:shd w:val="clear" w:color="auto" w:fill="auto"/>
            <w:tcMar>
              <w:top w:w="15" w:type="dxa"/>
              <w:left w:w="50" w:type="dxa"/>
              <w:bottom w:w="0" w:type="dxa"/>
              <w:right w:w="50" w:type="dxa"/>
            </w:tcMar>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left w:val="single" w:sz="4" w:space="0" w:color="auto"/>
              <w:bottom w:val="single" w:sz="4" w:space="0" w:color="auto"/>
              <w:right w:val="single" w:sz="4" w:space="0" w:color="auto"/>
            </w:tcBorders>
            <w:shd w:val="clear" w:color="auto" w:fill="auto"/>
            <w:tcMar>
              <w:top w:w="15" w:type="dxa"/>
              <w:left w:w="50" w:type="dxa"/>
              <w:bottom w:w="0" w:type="dxa"/>
              <w:right w:w="50" w:type="dxa"/>
            </w:tcMar>
            <w:hideMark/>
          </w:tcPr>
          <w:p w:rsidR="00E31B19" w:rsidRPr="001A01AB" w:rsidRDefault="00E31B19" w:rsidP="00E7258A">
            <w:pPr>
              <w:numPr>
                <w:ilvl w:val="0"/>
                <w:numId w:val="12"/>
              </w:numPr>
              <w:spacing w:before="20" w:after="20"/>
              <w:jc w:val="both"/>
              <w:rPr>
                <w:rFonts w:ascii="Calibri" w:hAnsi="Calibri" w:cs="Calibri"/>
                <w:lang w:val="es-GT"/>
              </w:rPr>
            </w:pPr>
            <w:r w:rsidRPr="001A01AB">
              <w:rPr>
                <w:rFonts w:ascii="Calibri" w:hAnsi="Calibri" w:cs="Calibri"/>
                <w:lang w:val="es-GT"/>
              </w:rPr>
              <w:t>Creación de sistemas de alerta temprana</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319"/>
          <w:jc w:val="center"/>
        </w:trPr>
        <w:tc>
          <w:tcPr>
            <w:tcW w:w="2300" w:type="dxa"/>
            <w:vMerge/>
            <w:tcBorders>
              <w:left w:val="single" w:sz="8" w:space="0" w:color="000000"/>
              <w:right w:val="single" w:sz="8" w:space="0" w:color="000000"/>
            </w:tcBorders>
            <w:shd w:val="clear" w:color="auto" w:fill="auto"/>
            <w:tcMar>
              <w:top w:w="15" w:type="dxa"/>
              <w:left w:w="50" w:type="dxa"/>
              <w:bottom w:w="0" w:type="dxa"/>
              <w:right w:w="50" w:type="dxa"/>
            </w:tcMar>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single" w:sz="4" w:space="0" w:color="auto"/>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7A5355">
            <w:pPr>
              <w:spacing w:before="20" w:after="20"/>
              <w:ind w:left="144"/>
              <w:jc w:val="both"/>
              <w:rPr>
                <w:rFonts w:ascii="Calibri" w:hAnsi="Calibri" w:cs="Calibri"/>
                <w:lang w:val="es-GT"/>
              </w:rPr>
            </w:pPr>
            <w:r w:rsidRPr="001A01AB">
              <w:rPr>
                <w:rFonts w:ascii="Calibri" w:hAnsi="Calibri" w:cs="Calibri"/>
                <w:lang w:val="es-GT"/>
              </w:rPr>
              <w:t>Adaptación de los sistemas productivos de pequeños productores rurales a la variabilidad climática</w:t>
            </w:r>
            <w:r w:rsidR="003646D2">
              <w:rPr>
                <w:rFonts w:ascii="Calibri" w:hAnsi="Calibri" w:cs="Calibri"/>
                <w:lang w:val="es-GT"/>
              </w:rPr>
              <w:t>:</w:t>
            </w:r>
          </w:p>
        </w:tc>
      </w:tr>
      <w:tr w:rsidR="00E31B19" w:rsidRPr="000364C9" w:rsidTr="007A5355">
        <w:trPr>
          <w:trHeight w:val="319"/>
          <w:jc w:val="center"/>
        </w:trPr>
        <w:tc>
          <w:tcPr>
            <w:tcW w:w="2300" w:type="dxa"/>
            <w:vMerge/>
            <w:tcBorders>
              <w:left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12"/>
              </w:numPr>
              <w:spacing w:before="20" w:after="20"/>
              <w:jc w:val="both"/>
              <w:rPr>
                <w:rFonts w:ascii="Calibri" w:hAnsi="Calibri" w:cs="Calibri"/>
                <w:lang w:val="es-GT"/>
              </w:rPr>
            </w:pPr>
            <w:r w:rsidRPr="001A01AB">
              <w:rPr>
                <w:rFonts w:ascii="Calibri" w:hAnsi="Calibri" w:cs="Calibri"/>
                <w:lang w:val="es-GT"/>
              </w:rPr>
              <w:t>Inversiones para el mejoramiento de los paquetes tecnológicos agropecuarios</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319"/>
          <w:jc w:val="center"/>
        </w:trPr>
        <w:tc>
          <w:tcPr>
            <w:tcW w:w="2300" w:type="dxa"/>
            <w:vMerge/>
            <w:tcBorders>
              <w:left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12"/>
              </w:numPr>
              <w:spacing w:before="20" w:after="20"/>
              <w:jc w:val="both"/>
              <w:rPr>
                <w:rFonts w:ascii="Calibri" w:hAnsi="Calibri" w:cs="Calibri"/>
                <w:lang w:val="es-GT"/>
              </w:rPr>
            </w:pPr>
            <w:r w:rsidRPr="001A01AB">
              <w:rPr>
                <w:rFonts w:ascii="Calibri" w:hAnsi="Calibri" w:cs="Calibri"/>
                <w:lang w:val="es-GT"/>
              </w:rPr>
              <w:t>Inversiones para la protección y resguardo de infraestructura productiva vulnerable</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319"/>
          <w:jc w:val="center"/>
        </w:trPr>
        <w:tc>
          <w:tcPr>
            <w:tcW w:w="2300" w:type="dxa"/>
            <w:vMerge/>
            <w:tcBorders>
              <w:left w:val="single" w:sz="8" w:space="0" w:color="000000"/>
              <w:right w:val="single" w:sz="8" w:space="0" w:color="000000"/>
            </w:tcBorders>
            <w:vAlign w:val="center"/>
            <w:hideMark/>
          </w:tcPr>
          <w:p w:rsidR="00E31B19" w:rsidRPr="001A01AB" w:rsidRDefault="00E31B19" w:rsidP="007A5355">
            <w:pPr>
              <w:spacing w:before="20" w:after="20"/>
              <w:ind w:left="144"/>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12"/>
              </w:numPr>
              <w:spacing w:before="20" w:after="20"/>
              <w:jc w:val="both"/>
              <w:rPr>
                <w:rFonts w:ascii="Calibri" w:hAnsi="Calibri" w:cs="Calibri"/>
                <w:lang w:val="es-GT"/>
              </w:rPr>
            </w:pPr>
            <w:r w:rsidRPr="001A01AB">
              <w:rPr>
                <w:rFonts w:ascii="Calibri" w:hAnsi="Calibri" w:cs="Calibri"/>
                <w:lang w:val="es-GT"/>
              </w:rPr>
              <w:t>Inversiones para el embalse de agua de lluvias e implementación de sistemas de riego de temporada</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319"/>
          <w:jc w:val="center"/>
        </w:trPr>
        <w:tc>
          <w:tcPr>
            <w:tcW w:w="23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50" w:type="dxa"/>
              <w:bottom w:w="0" w:type="dxa"/>
              <w:right w:w="50" w:type="dxa"/>
            </w:tcMar>
            <w:vAlign w:val="center"/>
            <w:hideMark/>
          </w:tcPr>
          <w:p w:rsidR="00E31B19" w:rsidRPr="001A01AB" w:rsidRDefault="00E31B19" w:rsidP="007A5355">
            <w:pPr>
              <w:spacing w:before="20" w:after="20"/>
              <w:ind w:left="144"/>
              <w:rPr>
                <w:rFonts w:ascii="Calibri" w:hAnsi="Calibri" w:cs="Calibri"/>
              </w:rPr>
            </w:pPr>
            <w:r w:rsidRPr="001A01AB">
              <w:rPr>
                <w:rFonts w:ascii="Calibri" w:hAnsi="Calibri" w:cs="Calibri"/>
                <w:lang w:val="es-GT"/>
              </w:rPr>
              <w:t xml:space="preserve">Desarrollo institucional </w:t>
            </w:r>
          </w:p>
        </w:tc>
        <w:tc>
          <w:tcPr>
            <w:tcW w:w="7200" w:type="dxa"/>
            <w:tcBorders>
              <w:top w:val="single" w:sz="8" w:space="0" w:color="000000"/>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7A5355">
            <w:pPr>
              <w:spacing w:before="20" w:after="20"/>
              <w:ind w:left="144"/>
              <w:jc w:val="both"/>
              <w:rPr>
                <w:rFonts w:ascii="Calibri" w:hAnsi="Calibri" w:cs="Calibri"/>
                <w:lang w:val="es-GT"/>
              </w:rPr>
            </w:pPr>
            <w:r w:rsidRPr="001A01AB">
              <w:rPr>
                <w:rFonts w:ascii="Calibri" w:hAnsi="Calibri" w:cs="Calibri"/>
                <w:lang w:val="es-GT"/>
              </w:rPr>
              <w:t>Fortalecimiento de la capacidad de respuesta de las instituciones del Estado para impulsar el desarrollo rural integral</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316"/>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360"/>
              <w:jc w:val="both"/>
              <w:rPr>
                <w:rFonts w:ascii="Calibri" w:hAnsi="Calibri" w:cs="Calibri"/>
                <w:lang w:val="es-GT"/>
              </w:rPr>
            </w:pPr>
          </w:p>
        </w:tc>
        <w:tc>
          <w:tcPr>
            <w:tcW w:w="7200" w:type="dxa"/>
            <w:tcBorders>
              <w:top w:val="nil"/>
              <w:left w:val="single" w:sz="8" w:space="0" w:color="000000"/>
              <w:bottom w:val="nil"/>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13"/>
              </w:numPr>
              <w:spacing w:before="20" w:after="20"/>
              <w:jc w:val="both"/>
              <w:rPr>
                <w:rFonts w:ascii="Calibri" w:hAnsi="Calibri" w:cs="Calibri"/>
                <w:lang w:val="es-GT"/>
              </w:rPr>
            </w:pPr>
            <w:r w:rsidRPr="001A01AB">
              <w:rPr>
                <w:rFonts w:ascii="Calibri" w:hAnsi="Calibri" w:cs="Calibri"/>
                <w:lang w:val="es-GT"/>
              </w:rPr>
              <w:t>Promoción de la organización de agricultores de infra y subsistencia</w:t>
            </w:r>
            <w:r w:rsidR="003646D2">
              <w:rPr>
                <w:rFonts w:ascii="Calibri" w:hAnsi="Calibri" w:cs="Calibri"/>
                <w:lang w:val="es-GT"/>
              </w:rPr>
              <w:t>.</w:t>
            </w:r>
            <w:r w:rsidRPr="001A01AB">
              <w:rPr>
                <w:rFonts w:ascii="Calibri" w:hAnsi="Calibri" w:cs="Calibri"/>
                <w:lang w:val="es-GT"/>
              </w:rPr>
              <w:t xml:space="preserve"> </w:t>
            </w:r>
          </w:p>
        </w:tc>
      </w:tr>
      <w:tr w:rsidR="00E31B19" w:rsidRPr="000364C9" w:rsidTr="007A5355">
        <w:trPr>
          <w:trHeight w:val="319"/>
          <w:jc w:val="center"/>
        </w:trPr>
        <w:tc>
          <w:tcPr>
            <w:tcW w:w="2300" w:type="dxa"/>
            <w:vMerge/>
            <w:tcBorders>
              <w:top w:val="single" w:sz="8" w:space="0" w:color="000000"/>
              <w:left w:val="single" w:sz="8" w:space="0" w:color="000000"/>
              <w:bottom w:val="single" w:sz="8" w:space="0" w:color="000000"/>
              <w:right w:val="single" w:sz="8" w:space="0" w:color="000000"/>
            </w:tcBorders>
            <w:vAlign w:val="center"/>
            <w:hideMark/>
          </w:tcPr>
          <w:p w:rsidR="00E31B19" w:rsidRPr="001A01AB" w:rsidRDefault="00E31B19" w:rsidP="007A5355">
            <w:pPr>
              <w:spacing w:before="20" w:after="20"/>
              <w:ind w:left="360"/>
              <w:jc w:val="both"/>
              <w:rPr>
                <w:rFonts w:ascii="Calibri" w:hAnsi="Calibri" w:cs="Calibri"/>
                <w:lang w:val="es-GT"/>
              </w:rPr>
            </w:pPr>
          </w:p>
        </w:tc>
        <w:tc>
          <w:tcPr>
            <w:tcW w:w="7200" w:type="dxa"/>
            <w:tcBorders>
              <w:top w:val="nil"/>
              <w:left w:val="single" w:sz="8" w:space="0" w:color="000000"/>
              <w:bottom w:val="single" w:sz="8" w:space="0" w:color="000000"/>
              <w:right w:val="single" w:sz="8" w:space="0" w:color="000000"/>
            </w:tcBorders>
            <w:shd w:val="clear" w:color="auto" w:fill="auto"/>
            <w:tcMar>
              <w:top w:w="15" w:type="dxa"/>
              <w:left w:w="50" w:type="dxa"/>
              <w:bottom w:w="0" w:type="dxa"/>
              <w:right w:w="50" w:type="dxa"/>
            </w:tcMar>
            <w:hideMark/>
          </w:tcPr>
          <w:p w:rsidR="00E31B19" w:rsidRPr="001A01AB" w:rsidRDefault="00E31B19" w:rsidP="00E7258A">
            <w:pPr>
              <w:numPr>
                <w:ilvl w:val="0"/>
                <w:numId w:val="13"/>
              </w:numPr>
              <w:spacing w:before="20" w:after="20"/>
              <w:jc w:val="both"/>
              <w:rPr>
                <w:rFonts w:ascii="Calibri" w:hAnsi="Calibri" w:cs="Calibri"/>
                <w:lang w:val="es-GT"/>
              </w:rPr>
            </w:pPr>
            <w:r w:rsidRPr="001A01AB">
              <w:rPr>
                <w:rFonts w:ascii="Calibri" w:hAnsi="Calibri" w:cs="Calibri"/>
                <w:lang w:val="es-GT"/>
              </w:rPr>
              <w:t>Fortalecimiento de las instituciones estatales responsables de la implementación</w:t>
            </w:r>
            <w:r w:rsidR="003646D2">
              <w:rPr>
                <w:rFonts w:ascii="Calibri" w:hAnsi="Calibri" w:cs="Calibri"/>
                <w:lang w:val="es-GT"/>
              </w:rPr>
              <w:t>.</w:t>
            </w:r>
            <w:r w:rsidRPr="001A01AB">
              <w:rPr>
                <w:rFonts w:ascii="Calibri" w:hAnsi="Calibri" w:cs="Calibri"/>
                <w:lang w:val="es-GT"/>
              </w:rPr>
              <w:t xml:space="preserve"> </w:t>
            </w:r>
          </w:p>
        </w:tc>
      </w:tr>
    </w:tbl>
    <w:p w:rsidR="00E31B19" w:rsidRPr="001A01AB" w:rsidRDefault="00E31B19" w:rsidP="00E31B19">
      <w:pPr>
        <w:ind w:left="360" w:right="288"/>
        <w:jc w:val="right"/>
        <w:rPr>
          <w:rFonts w:ascii="Calibri" w:hAnsi="Calibri" w:cs="Calibri"/>
          <w:sz w:val="20"/>
          <w:szCs w:val="20"/>
          <w:lang w:val="es-GT"/>
        </w:rPr>
      </w:pPr>
      <w:r w:rsidRPr="001A01AB">
        <w:rPr>
          <w:rFonts w:ascii="Calibri" w:eastAsia="Calibri" w:hAnsi="Calibri" w:cs="Calibri"/>
          <w:sz w:val="20"/>
          <w:szCs w:val="20"/>
          <w:lang w:val="es-GT"/>
        </w:rPr>
        <w:t>Fuente:</w:t>
      </w:r>
      <w:r w:rsidRPr="001A01AB">
        <w:rPr>
          <w:rFonts w:ascii="Calibri" w:hAnsi="Calibri" w:cs="Calibri"/>
          <w:sz w:val="20"/>
          <w:szCs w:val="20"/>
          <w:lang w:val="es-GT"/>
        </w:rPr>
        <w:t xml:space="preserve"> Elaboración propia.</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p>
    <w:p w:rsidR="00E31B19" w:rsidRPr="001A01AB" w:rsidRDefault="00E31B19" w:rsidP="004E2482">
      <w:pPr>
        <w:pStyle w:val="Prrafodelista"/>
        <w:numPr>
          <w:ilvl w:val="2"/>
          <w:numId w:val="55"/>
        </w:numPr>
        <w:spacing w:after="120"/>
        <w:jc w:val="both"/>
        <w:rPr>
          <w:rFonts w:cs="Calibri"/>
          <w:b/>
          <w:i/>
          <w:color w:val="365F91"/>
          <w:sz w:val="24"/>
          <w:szCs w:val="24"/>
        </w:rPr>
      </w:pPr>
      <w:bookmarkStart w:id="170" w:name="_Toc339926606"/>
      <w:r w:rsidRPr="001A01AB">
        <w:rPr>
          <w:rFonts w:cs="Calibri"/>
          <w:b/>
          <w:i/>
          <w:color w:val="365F91"/>
          <w:sz w:val="24"/>
          <w:szCs w:val="24"/>
        </w:rPr>
        <w:lastRenderedPageBreak/>
        <w:t>Evaluación de los Factores Críticos para la Decisión</w:t>
      </w:r>
      <w:bookmarkEnd w:id="170"/>
      <w:r w:rsidRPr="001A01AB">
        <w:rPr>
          <w:rFonts w:cs="Calibri"/>
          <w:b/>
          <w:i/>
          <w:color w:val="365F91"/>
          <w:sz w:val="24"/>
          <w:szCs w:val="24"/>
        </w:rPr>
        <w:t xml:space="preserve"> </w:t>
      </w:r>
      <w:r w:rsidR="00A613B6">
        <w:rPr>
          <w:rFonts w:cs="Calibri"/>
          <w:b/>
          <w:i/>
          <w:color w:val="365F91"/>
          <w:sz w:val="24"/>
          <w:szCs w:val="24"/>
        </w:rPr>
        <w:t>(FCD)</w:t>
      </w:r>
    </w:p>
    <w:p w:rsidR="00E31B19" w:rsidRPr="001A01AB" w:rsidRDefault="00A613B6" w:rsidP="00E31B19">
      <w:pPr>
        <w:ind w:left="360"/>
        <w:jc w:val="both"/>
        <w:rPr>
          <w:rFonts w:ascii="Calibri" w:hAnsi="Calibri" w:cs="Calibri"/>
          <w:lang w:val="es-GT"/>
        </w:rPr>
      </w:pPr>
      <w:r>
        <w:rPr>
          <w:rFonts w:ascii="Calibri" w:hAnsi="Calibri" w:cs="Calibri"/>
          <w:lang w:val="es-GT"/>
        </w:rPr>
        <w:t xml:space="preserve">Es necesario evaluar </w:t>
      </w:r>
      <w:r w:rsidR="00E31B19" w:rsidRPr="001A01AB">
        <w:rPr>
          <w:rFonts w:ascii="Calibri" w:hAnsi="Calibri" w:cs="Calibri"/>
          <w:lang w:val="es-GT"/>
        </w:rPr>
        <w:t>los Factores Críticos para la Decisión identificados</w:t>
      </w:r>
      <w:r>
        <w:rPr>
          <w:rFonts w:ascii="Calibri" w:hAnsi="Calibri" w:cs="Calibri"/>
          <w:lang w:val="es-GT"/>
        </w:rPr>
        <w:t xml:space="preserve"> para</w:t>
      </w:r>
      <w:r w:rsidR="00E31B19" w:rsidRPr="001A01AB">
        <w:rPr>
          <w:rFonts w:ascii="Calibri" w:hAnsi="Calibri" w:cs="Calibri"/>
          <w:lang w:val="es-GT"/>
        </w:rPr>
        <w:t xml:space="preserve"> demostrar que efectivamente </w:t>
      </w:r>
      <w:r w:rsidRPr="001A01AB">
        <w:rPr>
          <w:rFonts w:ascii="Calibri" w:hAnsi="Calibri" w:cs="Calibri"/>
          <w:lang w:val="es-GT"/>
        </w:rPr>
        <w:t xml:space="preserve">son </w:t>
      </w:r>
      <w:r w:rsidR="00E31B19" w:rsidRPr="001A01AB">
        <w:rPr>
          <w:rFonts w:ascii="Calibri" w:hAnsi="Calibri" w:cs="Calibri"/>
          <w:lang w:val="es-GT"/>
        </w:rPr>
        <w:t>críticos para la implementación de las Cuestiones Estratégicas como medio para alcanzar los objetivos estratégicos del</w:t>
      </w:r>
      <w:r>
        <w:rPr>
          <w:rFonts w:ascii="Calibri" w:hAnsi="Calibri" w:cs="Calibri"/>
          <w:lang w:val="es-GT"/>
        </w:rPr>
        <w:t xml:space="preserve"> sujeto de evaluación de la EAE</w:t>
      </w:r>
      <w:r w:rsidR="00E31B19" w:rsidRPr="001A01AB">
        <w:rPr>
          <w:rFonts w:ascii="Calibri" w:hAnsi="Calibri" w:cs="Calibri"/>
          <w:lang w:val="es-GT"/>
        </w:rPr>
        <w:t xml:space="preserve"> que</w:t>
      </w:r>
      <w:r>
        <w:rPr>
          <w:rFonts w:ascii="Calibri" w:hAnsi="Calibri" w:cs="Calibri"/>
          <w:lang w:val="es-GT"/>
        </w:rPr>
        <w:t>,</w:t>
      </w:r>
      <w:r w:rsidR="00E31B19" w:rsidRPr="001A01AB">
        <w:rPr>
          <w:rFonts w:ascii="Calibri" w:hAnsi="Calibri" w:cs="Calibri"/>
          <w:lang w:val="es-GT"/>
        </w:rPr>
        <w:t xml:space="preserve"> en este caso, </w:t>
      </w:r>
      <w:r>
        <w:rPr>
          <w:rFonts w:ascii="Calibri" w:hAnsi="Calibri" w:cs="Calibri"/>
          <w:lang w:val="es-GT"/>
        </w:rPr>
        <w:t>es el</w:t>
      </w:r>
      <w:r w:rsidR="00E31B19" w:rsidRPr="001A01AB">
        <w:rPr>
          <w:rFonts w:ascii="Calibri" w:hAnsi="Calibri" w:cs="Calibri"/>
          <w:lang w:val="es-GT"/>
        </w:rPr>
        <w:t xml:space="preserve"> desarrollo rural.</w:t>
      </w:r>
      <w:r>
        <w:rPr>
          <w:rFonts w:ascii="Calibri" w:hAnsi="Calibri" w:cs="Calibri"/>
          <w:lang w:val="es-GT"/>
        </w:rPr>
        <w:t xml:space="preserve"> </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Lo anterior se refiere a caracterizar lo que está sucediendo en el territorio con cada uno de los Factores Críticos y determinar las tendencias de los problemas.</w:t>
      </w:r>
      <w:r w:rsidR="00141A70">
        <w:rPr>
          <w:rFonts w:ascii="Calibri" w:hAnsi="Calibri" w:cs="Calibri"/>
          <w:lang w:val="es-GT"/>
        </w:rPr>
        <w:t xml:space="preserve"> </w:t>
      </w:r>
      <w:r w:rsidRPr="001A01AB">
        <w:rPr>
          <w:rFonts w:ascii="Calibri" w:hAnsi="Calibri" w:cs="Calibri"/>
          <w:lang w:val="es-GT"/>
        </w:rPr>
        <w:t>El análisis y evaluación de los FCD persigue desarrollar diagnósticos analíticos, teniendo en cuenta los problemas ambientales relevantes para el programa en evaluación.</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En la medida en que la disponibilidad de dato lo permite, se deben considerar tres momentos clave para el análisis tendencial de las problemáticas: antecedentes, situación actual y tendencias futuras. La consideración de la evolución que conduce a la situación actual es fundamental para el análisis. </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Dentro de este contexto, esta evaluación se desarrolla a través de la selección de un conjunto de criterios de evaluación</w:t>
      </w:r>
      <w:r w:rsidR="00A613B6">
        <w:rPr>
          <w:rFonts w:ascii="Calibri" w:hAnsi="Calibri" w:cs="Calibri"/>
          <w:lang w:val="es-GT"/>
        </w:rPr>
        <w:t xml:space="preserve"> que</w:t>
      </w:r>
      <w:r w:rsidRPr="001A01AB">
        <w:rPr>
          <w:rFonts w:ascii="Calibri" w:hAnsi="Calibri" w:cs="Calibri"/>
          <w:lang w:val="es-GT"/>
        </w:rPr>
        <w:t xml:space="preserve"> a su vez, se describen a través de un conjunto de indicadores, seleccionados de manera que permitan mostrar de forma efectiva que en los factores críticos a los que corresponden, existen circunstancias trascendentales que tienen el potencial de obstaculizar, impedir, facilitar o propiciar el logro del objetivo estratégico planteado.</w:t>
      </w:r>
    </w:p>
    <w:p w:rsidR="00E31B19" w:rsidRPr="001A01AB" w:rsidRDefault="00E31B19" w:rsidP="00E31B19">
      <w:pPr>
        <w:ind w:left="360"/>
        <w:jc w:val="both"/>
        <w:rPr>
          <w:rFonts w:ascii="Calibri" w:hAnsi="Calibri" w:cs="Calibri"/>
          <w:lang w:val="es-GT"/>
        </w:rPr>
      </w:pPr>
    </w:p>
    <w:p w:rsidR="00E31B19" w:rsidRPr="001A01AB" w:rsidRDefault="00E31B19" w:rsidP="00E31B19">
      <w:pPr>
        <w:ind w:left="360"/>
        <w:jc w:val="both"/>
        <w:rPr>
          <w:rFonts w:ascii="Calibri" w:hAnsi="Calibri" w:cs="Calibri"/>
          <w:lang w:val="es-GT"/>
        </w:rPr>
      </w:pPr>
      <w:r w:rsidRPr="001A01AB">
        <w:rPr>
          <w:rFonts w:ascii="Calibri" w:hAnsi="Calibri" w:cs="Calibri"/>
          <w:lang w:val="es-GT"/>
        </w:rPr>
        <w:t xml:space="preserve">A partir de una extensa revisión de información disponible en Guatemala sobre las temáticas de desarrollo rural y ambiente, se </w:t>
      </w:r>
      <w:r w:rsidR="007C4162">
        <w:rPr>
          <w:rFonts w:ascii="Calibri" w:hAnsi="Calibri" w:cs="Calibri"/>
          <w:lang w:val="es-GT"/>
        </w:rPr>
        <w:t>seleccionó un</w:t>
      </w:r>
      <w:r w:rsidRPr="001A01AB">
        <w:rPr>
          <w:rFonts w:ascii="Calibri" w:hAnsi="Calibri" w:cs="Calibri"/>
          <w:lang w:val="es-GT"/>
        </w:rPr>
        <w:t xml:space="preserve"> conjunto de criterios de evaluación e indicadores para cada factor crítico identificado.</w:t>
      </w:r>
      <w:r w:rsidR="00141A70">
        <w:rPr>
          <w:rFonts w:ascii="Calibri" w:hAnsi="Calibri" w:cs="Calibri"/>
          <w:lang w:val="es-GT"/>
        </w:rPr>
        <w:t xml:space="preserve"> </w:t>
      </w:r>
      <w:r w:rsidRPr="001A01AB">
        <w:rPr>
          <w:rFonts w:ascii="Calibri" w:hAnsi="Calibri" w:cs="Calibri"/>
          <w:lang w:val="es-GT"/>
        </w:rPr>
        <w:t>Los criterios de evaluación seleccionados, así como sus respectivos indicadores propue</w:t>
      </w:r>
      <w:r w:rsidR="00F60963">
        <w:rPr>
          <w:rFonts w:ascii="Calibri" w:hAnsi="Calibri" w:cs="Calibri"/>
          <w:lang w:val="es-GT"/>
        </w:rPr>
        <w:t>stos, se muestran en el Cuadro 9</w:t>
      </w:r>
      <w:r w:rsidRPr="001A01AB">
        <w:rPr>
          <w:rFonts w:ascii="Calibri" w:hAnsi="Calibri" w:cs="Calibri"/>
          <w:lang w:val="es-GT"/>
        </w:rPr>
        <w:t xml:space="preserve">. </w:t>
      </w:r>
    </w:p>
    <w:p w:rsidR="00E31B19" w:rsidRPr="001A01AB" w:rsidRDefault="00E31B19" w:rsidP="00E31B19">
      <w:pPr>
        <w:ind w:left="360"/>
        <w:jc w:val="both"/>
        <w:rPr>
          <w:rFonts w:ascii="Calibri" w:hAnsi="Calibri" w:cs="Calibri"/>
          <w:lang w:val="es-GT"/>
        </w:rPr>
      </w:pPr>
    </w:p>
    <w:p w:rsidR="00E31B19" w:rsidRDefault="00C54ACC" w:rsidP="00B16F0F">
      <w:pPr>
        <w:pStyle w:val="Epgrafe"/>
        <w:jc w:val="center"/>
        <w:rPr>
          <w:rFonts w:asciiTheme="minorHAnsi" w:hAnsiTheme="minorHAnsi" w:cstheme="minorHAnsi"/>
          <w:color w:val="365F91" w:themeColor="accent1" w:themeShade="BF"/>
          <w:sz w:val="22"/>
          <w:szCs w:val="22"/>
          <w:lang w:val="es-GT"/>
        </w:rPr>
      </w:pPr>
      <w:bookmarkStart w:id="171" w:name="_Toc336933415"/>
      <w:bookmarkStart w:id="172" w:name="_Toc336952024"/>
      <w:bookmarkStart w:id="173" w:name="_Toc339698767"/>
      <w:bookmarkStart w:id="174" w:name="_Toc347841191"/>
      <w:r w:rsidRPr="00B16F0F">
        <w:rPr>
          <w:rFonts w:asciiTheme="minorHAnsi" w:hAnsiTheme="minorHAnsi" w:cstheme="minorHAnsi"/>
          <w:color w:val="365F91" w:themeColor="accent1" w:themeShade="BF"/>
          <w:sz w:val="22"/>
          <w:szCs w:val="22"/>
          <w:lang w:val="es-GT"/>
        </w:rPr>
        <w:t xml:space="preserve">Cuadro </w:t>
      </w:r>
      <w:r w:rsidRPr="00B16F0F">
        <w:rPr>
          <w:rFonts w:asciiTheme="minorHAnsi" w:hAnsiTheme="minorHAnsi" w:cstheme="minorHAnsi"/>
          <w:color w:val="365F91" w:themeColor="accent1" w:themeShade="BF"/>
          <w:sz w:val="22"/>
          <w:szCs w:val="22"/>
          <w:lang w:val="es-GT"/>
        </w:rPr>
        <w:fldChar w:fldCharType="begin"/>
      </w:r>
      <w:r w:rsidRPr="00B16F0F">
        <w:rPr>
          <w:rFonts w:asciiTheme="minorHAnsi" w:hAnsiTheme="minorHAnsi" w:cstheme="minorHAnsi"/>
          <w:color w:val="365F91" w:themeColor="accent1" w:themeShade="BF"/>
          <w:sz w:val="22"/>
          <w:szCs w:val="22"/>
          <w:lang w:val="es-GT"/>
        </w:rPr>
        <w:instrText xml:space="preserve"> SEQ Cuadro \* ARABIC </w:instrText>
      </w:r>
      <w:r w:rsidRPr="00B16F0F">
        <w:rPr>
          <w:rFonts w:asciiTheme="minorHAnsi" w:hAnsiTheme="minorHAnsi" w:cstheme="minorHAnsi"/>
          <w:color w:val="365F91" w:themeColor="accent1" w:themeShade="BF"/>
          <w:sz w:val="22"/>
          <w:szCs w:val="22"/>
          <w:lang w:val="es-GT"/>
        </w:rPr>
        <w:fldChar w:fldCharType="separate"/>
      </w:r>
      <w:r w:rsidRPr="00B16F0F">
        <w:rPr>
          <w:rFonts w:asciiTheme="minorHAnsi" w:hAnsiTheme="minorHAnsi" w:cstheme="minorHAnsi"/>
          <w:color w:val="365F91" w:themeColor="accent1" w:themeShade="BF"/>
          <w:sz w:val="22"/>
          <w:szCs w:val="22"/>
          <w:lang w:val="es-GT"/>
        </w:rPr>
        <w:t>9</w:t>
      </w:r>
      <w:r w:rsidRPr="00B16F0F">
        <w:rPr>
          <w:rFonts w:asciiTheme="minorHAnsi" w:hAnsiTheme="minorHAnsi" w:cstheme="minorHAnsi"/>
          <w:color w:val="365F91" w:themeColor="accent1" w:themeShade="BF"/>
          <w:sz w:val="22"/>
          <w:szCs w:val="22"/>
          <w:lang w:val="es-GT"/>
        </w:rPr>
        <w:fldChar w:fldCharType="end"/>
      </w:r>
      <w:r w:rsidRPr="00B16F0F">
        <w:rPr>
          <w:rFonts w:asciiTheme="minorHAnsi" w:hAnsiTheme="minorHAnsi" w:cstheme="minorHAnsi"/>
          <w:color w:val="365F91" w:themeColor="accent1" w:themeShade="BF"/>
          <w:sz w:val="22"/>
          <w:szCs w:val="22"/>
          <w:lang w:val="es-GT"/>
        </w:rPr>
        <w:t xml:space="preserve">. </w:t>
      </w:r>
      <w:r w:rsidR="00E31B19" w:rsidRPr="00B16F0F">
        <w:rPr>
          <w:rFonts w:asciiTheme="minorHAnsi" w:hAnsiTheme="minorHAnsi" w:cstheme="minorHAnsi"/>
          <w:color w:val="365F91" w:themeColor="accent1" w:themeShade="BF"/>
          <w:sz w:val="22"/>
          <w:szCs w:val="22"/>
          <w:lang w:val="es-GT"/>
        </w:rPr>
        <w:t>Criterios de evaluación de los Factores Críticos para la Decisión</w:t>
      </w:r>
      <w:bookmarkEnd w:id="171"/>
      <w:bookmarkEnd w:id="172"/>
      <w:bookmarkEnd w:id="173"/>
      <w:bookmarkEnd w:id="174"/>
    </w:p>
    <w:p w:rsidR="00B16F0F" w:rsidRPr="00B16F0F" w:rsidRDefault="00B16F0F" w:rsidP="00B16F0F">
      <w:pPr>
        <w:rPr>
          <w:rFonts w:eastAsia="Calibri"/>
          <w:lang w:val="es-GT"/>
        </w:rPr>
      </w:pPr>
    </w:p>
    <w:tbl>
      <w:tblPr>
        <w:tblW w:w="9070" w:type="dxa"/>
        <w:tblInd w:w="61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0A0" w:firstRow="1" w:lastRow="0" w:firstColumn="1" w:lastColumn="0" w:noHBand="0" w:noVBand="0"/>
      </w:tblPr>
      <w:tblGrid>
        <w:gridCol w:w="2483"/>
        <w:gridCol w:w="2484"/>
        <w:gridCol w:w="4103"/>
      </w:tblGrid>
      <w:tr w:rsidR="00E31B19" w:rsidRPr="00C870E7" w:rsidTr="001A01AB">
        <w:trPr>
          <w:trHeight w:val="160"/>
          <w:tblHeader/>
        </w:trPr>
        <w:tc>
          <w:tcPr>
            <w:tcW w:w="2483" w:type="dxa"/>
            <w:shd w:val="clear" w:color="auto" w:fill="17365D"/>
            <w:tcMar>
              <w:top w:w="15" w:type="dxa"/>
              <w:left w:w="50" w:type="dxa"/>
              <w:bottom w:w="0" w:type="dxa"/>
              <w:right w:w="50" w:type="dxa"/>
            </w:tcMar>
            <w:vAlign w:val="center"/>
          </w:tcPr>
          <w:p w:rsidR="00E31B19" w:rsidRPr="001A01AB" w:rsidRDefault="007C4162" w:rsidP="007A5355">
            <w:pPr>
              <w:spacing w:before="40" w:after="40"/>
              <w:jc w:val="center"/>
              <w:rPr>
                <w:rFonts w:ascii="Calibri" w:hAnsi="Calibri" w:cs="Calibri"/>
                <w:b/>
                <w:bCs/>
                <w:color w:val="FFFFFF"/>
                <w:sz w:val="22"/>
                <w:szCs w:val="22"/>
                <w:lang w:val="es-GT"/>
              </w:rPr>
            </w:pPr>
            <w:r>
              <w:rPr>
                <w:rFonts w:ascii="Calibri" w:hAnsi="Calibri" w:cs="Calibri"/>
                <w:b/>
                <w:bCs/>
                <w:color w:val="FFFFFF"/>
                <w:sz w:val="22"/>
                <w:szCs w:val="22"/>
                <w:lang w:val="es-GT"/>
              </w:rPr>
              <w:t>Factor Crítico para la Decisión</w:t>
            </w:r>
          </w:p>
        </w:tc>
        <w:tc>
          <w:tcPr>
            <w:tcW w:w="2484" w:type="dxa"/>
            <w:shd w:val="clear" w:color="auto" w:fill="17365D"/>
          </w:tcPr>
          <w:p w:rsidR="00E31B19" w:rsidRPr="001A01AB" w:rsidRDefault="00E31B19" w:rsidP="007A5355">
            <w:pPr>
              <w:spacing w:before="40" w:after="40"/>
              <w:jc w:val="center"/>
              <w:rPr>
                <w:rFonts w:ascii="Calibri" w:hAnsi="Calibri" w:cs="Calibri"/>
                <w:b/>
                <w:bCs/>
                <w:color w:val="FFFFFF"/>
                <w:sz w:val="22"/>
                <w:szCs w:val="22"/>
                <w:lang w:val="es-GT"/>
              </w:rPr>
            </w:pPr>
            <w:r w:rsidRPr="001A01AB">
              <w:rPr>
                <w:rFonts w:ascii="Calibri" w:hAnsi="Calibri" w:cs="Calibri"/>
                <w:b/>
                <w:bCs/>
                <w:color w:val="FFFFFF"/>
                <w:sz w:val="22"/>
                <w:szCs w:val="22"/>
                <w:lang w:val="es-GT"/>
              </w:rPr>
              <w:t>Criterios de evaluación</w:t>
            </w:r>
          </w:p>
        </w:tc>
        <w:tc>
          <w:tcPr>
            <w:tcW w:w="4103" w:type="dxa"/>
            <w:shd w:val="clear" w:color="auto" w:fill="17365D"/>
            <w:tcMar>
              <w:top w:w="15" w:type="dxa"/>
              <w:left w:w="50" w:type="dxa"/>
              <w:bottom w:w="0" w:type="dxa"/>
              <w:right w:w="50" w:type="dxa"/>
            </w:tcMar>
            <w:vAlign w:val="center"/>
          </w:tcPr>
          <w:p w:rsidR="00E31B19" w:rsidRPr="001A01AB" w:rsidRDefault="00E31B19" w:rsidP="007A5355">
            <w:pPr>
              <w:spacing w:before="40" w:after="40"/>
              <w:jc w:val="center"/>
              <w:rPr>
                <w:rFonts w:ascii="Calibri" w:hAnsi="Calibri" w:cs="Calibri"/>
                <w:b/>
                <w:bCs/>
                <w:color w:val="FFFFFF"/>
                <w:sz w:val="22"/>
                <w:szCs w:val="22"/>
                <w:lang w:val="es-GT"/>
              </w:rPr>
            </w:pPr>
            <w:r w:rsidRPr="001A01AB">
              <w:rPr>
                <w:rFonts w:ascii="Calibri" w:hAnsi="Calibri" w:cs="Calibri"/>
                <w:b/>
                <w:bCs/>
                <w:color w:val="FFFFFF"/>
                <w:sz w:val="22"/>
                <w:szCs w:val="22"/>
                <w:lang w:val="es-GT"/>
              </w:rPr>
              <w:t>Indicadores</w:t>
            </w:r>
          </w:p>
        </w:tc>
      </w:tr>
      <w:tr w:rsidR="00E31B19" w:rsidRPr="000364C9" w:rsidTr="001A01AB">
        <w:trPr>
          <w:trHeight w:val="319"/>
        </w:trPr>
        <w:tc>
          <w:tcPr>
            <w:tcW w:w="2483" w:type="dxa"/>
            <w:vMerge w:val="restart"/>
            <w:shd w:val="clear" w:color="auto" w:fill="DBE5F1"/>
            <w:tcMar>
              <w:top w:w="15" w:type="dxa"/>
              <w:left w:w="50" w:type="dxa"/>
              <w:bottom w:w="0" w:type="dxa"/>
              <w:right w:w="50" w:type="dxa"/>
            </w:tcMar>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 xml:space="preserve">Recursos naturales estratégicos (agua, suelo y bosque) </w:t>
            </w:r>
          </w:p>
        </w:tc>
        <w:tc>
          <w:tcPr>
            <w:tcW w:w="2484" w:type="dxa"/>
            <w:vMerge w:val="restart"/>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Bosque</w:t>
            </w: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Dinámica de la cobertura forestal</w:t>
            </w:r>
            <w:r w:rsidR="007C4162">
              <w:rPr>
                <w:rFonts w:ascii="Calibri" w:hAnsi="Calibri" w:cs="Calibri"/>
                <w:sz w:val="22"/>
                <w:szCs w:val="22"/>
                <w:lang w:val="es-GT"/>
              </w:rPr>
              <w:t>.</w:t>
            </w:r>
          </w:p>
        </w:tc>
      </w:tr>
      <w:tr w:rsidR="00E31B19" w:rsidRPr="007C4162" w:rsidTr="001A01AB">
        <w:trPr>
          <w:trHeight w:val="160"/>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Frentes de deforestación</w:t>
            </w:r>
            <w:r w:rsidR="007C4162">
              <w:rPr>
                <w:rFonts w:ascii="Calibri" w:hAnsi="Calibri" w:cs="Calibri"/>
                <w:sz w:val="22"/>
                <w:szCs w:val="22"/>
                <w:lang w:val="es-GT"/>
              </w:rPr>
              <w:t>.</w:t>
            </w:r>
            <w:r w:rsidRPr="001A01AB">
              <w:rPr>
                <w:rFonts w:ascii="Calibri" w:hAnsi="Calibri" w:cs="Calibri"/>
                <w:sz w:val="22"/>
                <w:szCs w:val="22"/>
                <w:lang w:val="es-GT"/>
              </w:rPr>
              <w:t xml:space="preserve"> </w:t>
            </w:r>
          </w:p>
        </w:tc>
      </w:tr>
      <w:tr w:rsidR="00E31B19" w:rsidRPr="000364C9" w:rsidTr="001A01AB">
        <w:trPr>
          <w:trHeight w:val="160"/>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Dinámica de los aprovechamientos forestales</w:t>
            </w:r>
            <w:r w:rsidR="007C4162">
              <w:rPr>
                <w:rFonts w:ascii="Calibri" w:hAnsi="Calibri" w:cs="Calibri"/>
                <w:sz w:val="22"/>
                <w:szCs w:val="22"/>
                <w:lang w:val="es-GT"/>
              </w:rPr>
              <w:t>.</w:t>
            </w:r>
          </w:p>
        </w:tc>
      </w:tr>
      <w:tr w:rsidR="00E31B19" w:rsidRPr="007C4162" w:rsidTr="001A01AB">
        <w:trPr>
          <w:trHeight w:val="160"/>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val="restart"/>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Recursos hídricos</w:t>
            </w: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Agua y cobertura vegetal</w:t>
            </w:r>
            <w:r w:rsidR="007C4162">
              <w:rPr>
                <w:rFonts w:ascii="Calibri" w:hAnsi="Calibri" w:cs="Calibri"/>
                <w:sz w:val="22"/>
                <w:szCs w:val="22"/>
                <w:lang w:val="es-GT"/>
              </w:rPr>
              <w:t>.</w:t>
            </w:r>
          </w:p>
        </w:tc>
      </w:tr>
      <w:tr w:rsidR="00E31B19" w:rsidRPr="007C4162" w:rsidTr="001A01AB">
        <w:trPr>
          <w:trHeight w:val="319"/>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Balance hídrico nacional</w:t>
            </w:r>
            <w:r w:rsidR="007C4162">
              <w:rPr>
                <w:rFonts w:ascii="Calibri" w:hAnsi="Calibri" w:cs="Calibri"/>
                <w:sz w:val="22"/>
                <w:szCs w:val="22"/>
                <w:lang w:val="es-GT"/>
              </w:rPr>
              <w:t>.</w:t>
            </w:r>
          </w:p>
        </w:tc>
      </w:tr>
      <w:tr w:rsidR="00E31B19" w:rsidRPr="000364C9" w:rsidTr="001A01AB">
        <w:trPr>
          <w:trHeight w:val="319"/>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Oferta y utilización de agua</w:t>
            </w:r>
            <w:r w:rsidR="007C4162">
              <w:rPr>
                <w:rFonts w:ascii="Calibri" w:hAnsi="Calibri" w:cs="Calibri"/>
                <w:sz w:val="22"/>
                <w:szCs w:val="22"/>
                <w:lang w:val="es-GT"/>
              </w:rPr>
              <w:t>.</w:t>
            </w:r>
          </w:p>
        </w:tc>
      </w:tr>
      <w:tr w:rsidR="00E31B19" w:rsidRPr="000364C9" w:rsidTr="001A01AB">
        <w:trPr>
          <w:trHeight w:val="319"/>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val="restart"/>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Suelo</w:t>
            </w: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Intensidad de uso de la tierra</w:t>
            </w:r>
            <w:r w:rsidR="007C4162">
              <w:rPr>
                <w:rFonts w:ascii="Calibri" w:hAnsi="Calibri" w:cs="Calibri"/>
                <w:sz w:val="22"/>
                <w:szCs w:val="22"/>
                <w:lang w:val="es-GT"/>
              </w:rPr>
              <w:t>.</w:t>
            </w:r>
          </w:p>
        </w:tc>
      </w:tr>
      <w:tr w:rsidR="00E31B19" w:rsidRPr="007C4162" w:rsidTr="001A01AB">
        <w:trPr>
          <w:trHeight w:val="319"/>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Susceptibilidad a la erosión</w:t>
            </w:r>
            <w:r w:rsidR="007C4162">
              <w:rPr>
                <w:rFonts w:ascii="Calibri" w:hAnsi="Calibri" w:cs="Calibri"/>
                <w:sz w:val="22"/>
                <w:szCs w:val="22"/>
                <w:lang w:val="es-GT"/>
              </w:rPr>
              <w:t>.</w:t>
            </w:r>
            <w:r w:rsidRPr="001A01AB">
              <w:rPr>
                <w:rFonts w:ascii="Calibri" w:hAnsi="Calibri" w:cs="Calibri"/>
                <w:sz w:val="22"/>
                <w:szCs w:val="22"/>
                <w:lang w:val="es-GT"/>
              </w:rPr>
              <w:t xml:space="preserve"> </w:t>
            </w:r>
          </w:p>
        </w:tc>
      </w:tr>
      <w:tr w:rsidR="00E31B19" w:rsidRPr="000364C9" w:rsidTr="001A01AB">
        <w:trPr>
          <w:trHeight w:val="319"/>
        </w:trPr>
        <w:tc>
          <w:tcPr>
            <w:tcW w:w="2483" w:type="dxa"/>
            <w:vMerge w:val="restart"/>
            <w:shd w:val="clear" w:color="auto" w:fill="E7EDF5"/>
            <w:tcMar>
              <w:top w:w="15" w:type="dxa"/>
              <w:left w:w="50" w:type="dxa"/>
              <w:bottom w:w="0" w:type="dxa"/>
              <w:right w:w="50" w:type="dxa"/>
            </w:tcMar>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 xml:space="preserve">Productividad rural </w:t>
            </w:r>
            <w:r w:rsidRPr="001A01AB">
              <w:rPr>
                <w:rFonts w:ascii="Calibri" w:hAnsi="Calibri" w:cs="Calibri"/>
                <w:sz w:val="22"/>
                <w:szCs w:val="22"/>
                <w:lang w:val="es-GT"/>
              </w:rPr>
              <w:lastRenderedPageBreak/>
              <w:t xml:space="preserve">campesina </w:t>
            </w:r>
          </w:p>
        </w:tc>
        <w:tc>
          <w:tcPr>
            <w:tcW w:w="2484" w:type="dxa"/>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lastRenderedPageBreak/>
              <w:t>Infraestructura vial</w:t>
            </w:r>
          </w:p>
        </w:tc>
        <w:tc>
          <w:tcPr>
            <w:tcW w:w="4103" w:type="dxa"/>
            <w:shd w:val="clear" w:color="auto" w:fill="E7EDF5"/>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Relación caminos y ocupación agrícola</w:t>
            </w:r>
            <w:r w:rsidR="007C4162">
              <w:rPr>
                <w:rFonts w:ascii="Calibri" w:hAnsi="Calibri" w:cs="Calibri"/>
                <w:sz w:val="22"/>
                <w:szCs w:val="22"/>
                <w:lang w:val="es-GT"/>
              </w:rPr>
              <w:t>.</w:t>
            </w:r>
          </w:p>
        </w:tc>
      </w:tr>
      <w:tr w:rsidR="00E31B19" w:rsidRPr="00C870E7" w:rsidTr="001A01AB">
        <w:trPr>
          <w:trHeight w:val="83"/>
        </w:trPr>
        <w:tc>
          <w:tcPr>
            <w:tcW w:w="2483"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Productividad agrícola</w:t>
            </w:r>
          </w:p>
        </w:tc>
        <w:tc>
          <w:tcPr>
            <w:tcW w:w="4103" w:type="dxa"/>
            <w:shd w:val="clear" w:color="auto" w:fill="E7EDF5"/>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Producción de granos básicos</w:t>
            </w:r>
            <w:r w:rsidR="007C4162">
              <w:rPr>
                <w:rFonts w:ascii="Calibri" w:hAnsi="Calibri" w:cs="Calibri"/>
                <w:sz w:val="22"/>
                <w:szCs w:val="22"/>
                <w:lang w:val="es-GT"/>
              </w:rPr>
              <w:t>.</w:t>
            </w:r>
          </w:p>
        </w:tc>
      </w:tr>
      <w:tr w:rsidR="00E31B19" w:rsidRPr="000364C9" w:rsidTr="001A01AB">
        <w:trPr>
          <w:trHeight w:val="160"/>
        </w:trPr>
        <w:tc>
          <w:tcPr>
            <w:tcW w:w="2483" w:type="dxa"/>
            <w:vMerge w:val="restart"/>
            <w:shd w:val="clear" w:color="auto" w:fill="DBE5F1"/>
            <w:tcMar>
              <w:top w:w="15" w:type="dxa"/>
              <w:left w:w="50" w:type="dxa"/>
              <w:bottom w:w="0" w:type="dxa"/>
              <w:right w:w="50" w:type="dxa"/>
            </w:tcMar>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lastRenderedPageBreak/>
              <w:t xml:space="preserve">Seguridad alimentaria y nutricional </w:t>
            </w:r>
          </w:p>
        </w:tc>
        <w:tc>
          <w:tcPr>
            <w:tcW w:w="2484" w:type="dxa"/>
            <w:vMerge w:val="restart"/>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 xml:space="preserve">Desnutrición </w:t>
            </w: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Prevalencia del retardo en peso y talla</w:t>
            </w:r>
            <w:r w:rsidR="007C4162">
              <w:rPr>
                <w:rFonts w:ascii="Calibri" w:hAnsi="Calibri" w:cs="Calibri"/>
                <w:sz w:val="22"/>
                <w:szCs w:val="22"/>
                <w:lang w:val="es-GT"/>
              </w:rPr>
              <w:t>.</w:t>
            </w:r>
            <w:r w:rsidRPr="001A01AB">
              <w:rPr>
                <w:rFonts w:ascii="Calibri" w:hAnsi="Calibri" w:cs="Calibri"/>
                <w:sz w:val="22"/>
                <w:szCs w:val="22"/>
                <w:lang w:val="es-GT"/>
              </w:rPr>
              <w:t xml:space="preserve"> </w:t>
            </w:r>
          </w:p>
        </w:tc>
      </w:tr>
      <w:tr w:rsidR="00E31B19" w:rsidRPr="000364C9" w:rsidTr="001A01AB">
        <w:trPr>
          <w:trHeight w:val="160"/>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Reservas familiares de granos básicos</w:t>
            </w:r>
            <w:r w:rsidR="007C4162">
              <w:rPr>
                <w:rFonts w:ascii="Calibri" w:hAnsi="Calibri" w:cs="Calibri"/>
                <w:sz w:val="22"/>
                <w:szCs w:val="22"/>
                <w:lang w:val="es-GT"/>
              </w:rPr>
              <w:t>.</w:t>
            </w:r>
          </w:p>
        </w:tc>
      </w:tr>
      <w:tr w:rsidR="00E31B19" w:rsidRPr="007C4162" w:rsidTr="001A01AB">
        <w:trPr>
          <w:trHeight w:val="160"/>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Pobreza</w:t>
            </w: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Pobreza</w:t>
            </w:r>
            <w:r w:rsidR="007C4162">
              <w:rPr>
                <w:rFonts w:ascii="Calibri" w:hAnsi="Calibri" w:cs="Calibri"/>
                <w:sz w:val="22"/>
                <w:szCs w:val="22"/>
                <w:lang w:val="es-GT"/>
              </w:rPr>
              <w:t>.</w:t>
            </w:r>
          </w:p>
        </w:tc>
      </w:tr>
      <w:tr w:rsidR="00E31B19" w:rsidRPr="000364C9" w:rsidTr="001A01AB">
        <w:trPr>
          <w:trHeight w:val="160"/>
        </w:trPr>
        <w:tc>
          <w:tcPr>
            <w:tcW w:w="2483" w:type="dxa"/>
            <w:vMerge w:val="restart"/>
            <w:shd w:val="clear" w:color="auto" w:fill="E7EDF5"/>
            <w:tcMar>
              <w:top w:w="15" w:type="dxa"/>
              <w:left w:w="50" w:type="dxa"/>
              <w:bottom w:w="0" w:type="dxa"/>
              <w:right w:w="50" w:type="dxa"/>
            </w:tcMar>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 xml:space="preserve">Vulnerabilidad sistémica y cambio climático </w:t>
            </w:r>
          </w:p>
        </w:tc>
        <w:tc>
          <w:tcPr>
            <w:tcW w:w="2484" w:type="dxa"/>
            <w:vMerge w:val="restart"/>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Vulnerabilidad</w:t>
            </w:r>
          </w:p>
        </w:tc>
        <w:tc>
          <w:tcPr>
            <w:tcW w:w="4103" w:type="dxa"/>
            <w:shd w:val="clear" w:color="auto" w:fill="E7EDF5"/>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Índice de influencia humana en los territorios</w:t>
            </w:r>
            <w:r w:rsidR="007C4162">
              <w:rPr>
                <w:rFonts w:ascii="Calibri" w:hAnsi="Calibri" w:cs="Calibri"/>
                <w:sz w:val="22"/>
                <w:szCs w:val="22"/>
                <w:lang w:val="es-GT"/>
              </w:rPr>
              <w:t>.</w:t>
            </w:r>
          </w:p>
        </w:tc>
      </w:tr>
      <w:tr w:rsidR="00E31B19" w:rsidRPr="00C870E7" w:rsidTr="001A01AB">
        <w:trPr>
          <w:trHeight w:val="160"/>
        </w:trPr>
        <w:tc>
          <w:tcPr>
            <w:tcW w:w="2483"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4103" w:type="dxa"/>
            <w:shd w:val="clear" w:color="auto" w:fill="E7EDF5"/>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Riesgo a eventos extremos</w:t>
            </w:r>
            <w:r w:rsidR="007C4162">
              <w:rPr>
                <w:rFonts w:ascii="Calibri" w:hAnsi="Calibri" w:cs="Calibri"/>
                <w:sz w:val="22"/>
                <w:szCs w:val="22"/>
                <w:lang w:val="es-GT"/>
              </w:rPr>
              <w:t>.</w:t>
            </w:r>
          </w:p>
        </w:tc>
      </w:tr>
      <w:tr w:rsidR="00E31B19" w:rsidRPr="00C870E7" w:rsidTr="001A01AB">
        <w:trPr>
          <w:trHeight w:val="160"/>
        </w:trPr>
        <w:tc>
          <w:tcPr>
            <w:tcW w:w="2483"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val="restart"/>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Cambio climático</w:t>
            </w:r>
          </w:p>
        </w:tc>
        <w:tc>
          <w:tcPr>
            <w:tcW w:w="4103" w:type="dxa"/>
            <w:shd w:val="clear" w:color="auto" w:fill="E7EDF5"/>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Escenarios climáticos</w:t>
            </w:r>
            <w:r w:rsidR="007C4162">
              <w:rPr>
                <w:rFonts w:ascii="Calibri" w:hAnsi="Calibri" w:cs="Calibri"/>
                <w:sz w:val="22"/>
                <w:szCs w:val="22"/>
                <w:lang w:val="es-GT"/>
              </w:rPr>
              <w:t>.</w:t>
            </w:r>
          </w:p>
        </w:tc>
      </w:tr>
      <w:tr w:rsidR="00E31B19" w:rsidRPr="000364C9" w:rsidTr="001A01AB">
        <w:trPr>
          <w:trHeight w:val="160"/>
        </w:trPr>
        <w:tc>
          <w:tcPr>
            <w:tcW w:w="2483"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4103" w:type="dxa"/>
            <w:shd w:val="clear" w:color="auto" w:fill="E7EDF5"/>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Impacto del cambio climático en los ecosistemas</w:t>
            </w:r>
            <w:r w:rsidR="007C4162">
              <w:rPr>
                <w:rFonts w:ascii="Calibri" w:hAnsi="Calibri" w:cs="Calibri"/>
                <w:sz w:val="22"/>
                <w:szCs w:val="22"/>
                <w:lang w:val="es-GT"/>
              </w:rPr>
              <w:t>.</w:t>
            </w:r>
          </w:p>
        </w:tc>
      </w:tr>
      <w:tr w:rsidR="00E31B19" w:rsidRPr="000364C9" w:rsidTr="001A01AB">
        <w:trPr>
          <w:trHeight w:val="160"/>
        </w:trPr>
        <w:tc>
          <w:tcPr>
            <w:tcW w:w="2483"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4103" w:type="dxa"/>
            <w:shd w:val="clear" w:color="auto" w:fill="E7EDF5"/>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Escenarios del impacto del cambio climático en el PIB agrícola</w:t>
            </w:r>
            <w:r w:rsidR="007C4162">
              <w:rPr>
                <w:rFonts w:ascii="Calibri" w:hAnsi="Calibri" w:cs="Calibri"/>
                <w:sz w:val="22"/>
                <w:szCs w:val="22"/>
                <w:lang w:val="es-GT"/>
              </w:rPr>
              <w:t>.</w:t>
            </w:r>
          </w:p>
        </w:tc>
      </w:tr>
      <w:tr w:rsidR="00E31B19" w:rsidRPr="000364C9" w:rsidTr="001A01AB">
        <w:trPr>
          <w:trHeight w:val="160"/>
        </w:trPr>
        <w:tc>
          <w:tcPr>
            <w:tcW w:w="2483" w:type="dxa"/>
            <w:vMerge w:val="restart"/>
            <w:shd w:val="clear" w:color="auto" w:fill="DBE5F1"/>
            <w:tcMar>
              <w:top w:w="15" w:type="dxa"/>
              <w:left w:w="50" w:type="dxa"/>
              <w:bottom w:w="0" w:type="dxa"/>
              <w:right w:w="50" w:type="dxa"/>
            </w:tcMar>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 xml:space="preserve">Desarrollo institucional </w:t>
            </w:r>
          </w:p>
        </w:tc>
        <w:tc>
          <w:tcPr>
            <w:tcW w:w="2484" w:type="dxa"/>
            <w:vMerge w:val="restart"/>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Inversiones sectoriales</w:t>
            </w: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Gasto público destinado a la protección y recuperación del ambiente</w:t>
            </w:r>
            <w:r w:rsidR="007C4162">
              <w:rPr>
                <w:rFonts w:ascii="Calibri" w:hAnsi="Calibri" w:cs="Calibri"/>
                <w:sz w:val="22"/>
                <w:szCs w:val="22"/>
                <w:lang w:val="es-GT"/>
              </w:rPr>
              <w:t>.</w:t>
            </w:r>
            <w:r w:rsidRPr="001A01AB">
              <w:rPr>
                <w:rFonts w:ascii="Calibri" w:hAnsi="Calibri" w:cs="Calibri"/>
                <w:sz w:val="22"/>
                <w:szCs w:val="22"/>
                <w:lang w:val="es-GT"/>
              </w:rPr>
              <w:t xml:space="preserve"> </w:t>
            </w:r>
          </w:p>
        </w:tc>
      </w:tr>
      <w:tr w:rsidR="00E31B19" w:rsidRPr="000364C9" w:rsidTr="001A01AB">
        <w:trPr>
          <w:trHeight w:val="160"/>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Dinámica de la inversión pública sectorial</w:t>
            </w:r>
            <w:r w:rsidR="007C4162">
              <w:rPr>
                <w:rFonts w:ascii="Calibri" w:hAnsi="Calibri" w:cs="Calibri"/>
                <w:sz w:val="22"/>
                <w:szCs w:val="22"/>
                <w:lang w:val="es-GT"/>
              </w:rPr>
              <w:t>.</w:t>
            </w:r>
            <w:r w:rsidRPr="001A01AB">
              <w:rPr>
                <w:rFonts w:ascii="Calibri" w:hAnsi="Calibri" w:cs="Calibri"/>
                <w:sz w:val="22"/>
                <w:szCs w:val="22"/>
                <w:lang w:val="es-GT"/>
              </w:rPr>
              <w:t xml:space="preserve"> </w:t>
            </w:r>
          </w:p>
        </w:tc>
      </w:tr>
      <w:tr w:rsidR="00E31B19" w:rsidRPr="007C4162" w:rsidTr="001A01AB">
        <w:trPr>
          <w:trHeight w:val="160"/>
        </w:trPr>
        <w:tc>
          <w:tcPr>
            <w:tcW w:w="248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484" w:type="dxa"/>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Gestión local</w:t>
            </w:r>
          </w:p>
        </w:tc>
        <w:tc>
          <w:tcPr>
            <w:tcW w:w="4103" w:type="dxa"/>
            <w:shd w:val="clear" w:color="auto" w:fill="DBE5F1"/>
            <w:tcMar>
              <w:top w:w="15" w:type="dxa"/>
              <w:left w:w="50" w:type="dxa"/>
              <w:bottom w:w="0" w:type="dxa"/>
              <w:right w:w="50" w:type="dxa"/>
            </w:tcMar>
            <w:vAlign w:val="center"/>
          </w:tcPr>
          <w:p w:rsidR="00E31B19" w:rsidRPr="001A01AB" w:rsidRDefault="00E31B19" w:rsidP="00CA1498">
            <w:pPr>
              <w:numPr>
                <w:ilvl w:val="0"/>
                <w:numId w:val="15"/>
              </w:numPr>
              <w:tabs>
                <w:tab w:val="clear" w:pos="720"/>
                <w:tab w:val="num" w:pos="446"/>
              </w:tabs>
              <w:spacing w:before="40" w:after="40"/>
              <w:ind w:left="432" w:hanging="288"/>
              <w:rPr>
                <w:rFonts w:ascii="Calibri" w:hAnsi="Calibri" w:cs="Calibri"/>
                <w:sz w:val="22"/>
                <w:szCs w:val="22"/>
                <w:lang w:val="es-GT"/>
              </w:rPr>
            </w:pPr>
            <w:r w:rsidRPr="001A01AB">
              <w:rPr>
                <w:rFonts w:ascii="Calibri" w:hAnsi="Calibri" w:cs="Calibri"/>
                <w:sz w:val="22"/>
                <w:szCs w:val="22"/>
                <w:lang w:val="es-GT"/>
              </w:rPr>
              <w:t>Índice de Gestión Municipal</w:t>
            </w:r>
            <w:r w:rsidR="007C4162">
              <w:rPr>
                <w:rFonts w:ascii="Calibri" w:hAnsi="Calibri" w:cs="Calibri"/>
                <w:sz w:val="22"/>
                <w:szCs w:val="22"/>
                <w:lang w:val="es-GT"/>
              </w:rPr>
              <w:t>.</w:t>
            </w:r>
          </w:p>
        </w:tc>
      </w:tr>
    </w:tbl>
    <w:p w:rsidR="00E31B19" w:rsidRPr="001A01AB" w:rsidRDefault="00E31B19" w:rsidP="00E31B19">
      <w:pPr>
        <w:ind w:right="288"/>
        <w:jc w:val="right"/>
        <w:rPr>
          <w:rFonts w:ascii="Calibri" w:hAnsi="Calibri" w:cs="Calibri"/>
          <w:sz w:val="20"/>
          <w:szCs w:val="20"/>
          <w:lang w:val="es-GT"/>
        </w:rPr>
      </w:pPr>
      <w:r w:rsidRPr="001A01AB">
        <w:rPr>
          <w:rFonts w:ascii="Calibri" w:eastAsia="Calibri" w:hAnsi="Calibri" w:cs="Calibri"/>
          <w:sz w:val="20"/>
          <w:szCs w:val="20"/>
          <w:lang w:val="es-GT"/>
        </w:rPr>
        <w:t>Fuente:</w:t>
      </w:r>
      <w:r w:rsidRPr="001A01AB">
        <w:rPr>
          <w:rFonts w:ascii="Calibri" w:hAnsi="Calibri" w:cs="Calibri"/>
          <w:sz w:val="20"/>
          <w:szCs w:val="20"/>
          <w:lang w:val="es-GT"/>
        </w:rPr>
        <w:t xml:space="preserve"> Elaboración propia.</w:t>
      </w:r>
    </w:p>
    <w:p w:rsidR="00E31B19" w:rsidRPr="001A01AB" w:rsidRDefault="00E31B19" w:rsidP="00E31B19">
      <w:pPr>
        <w:jc w:val="both"/>
        <w:rPr>
          <w:rFonts w:ascii="Calibri" w:hAnsi="Calibri" w:cs="Calibri"/>
          <w:lang w:val="es-GT"/>
        </w:rPr>
      </w:pPr>
    </w:p>
    <w:p w:rsidR="00E31B19" w:rsidRPr="001A01AB" w:rsidRDefault="00E31B19" w:rsidP="00E31B19">
      <w:pPr>
        <w:jc w:val="both"/>
        <w:rPr>
          <w:rFonts w:ascii="Calibri" w:hAnsi="Calibri" w:cs="Calibri"/>
          <w:lang w:val="es-GT"/>
        </w:rPr>
      </w:pPr>
    </w:p>
    <w:p w:rsidR="00E31B19" w:rsidRPr="001A01AB" w:rsidRDefault="00E31B19" w:rsidP="00E31B19">
      <w:pPr>
        <w:jc w:val="both"/>
        <w:rPr>
          <w:rFonts w:ascii="Calibri" w:hAnsi="Calibri" w:cs="Calibri"/>
          <w:lang w:val="es-GT"/>
        </w:rPr>
      </w:pPr>
      <w:r w:rsidRPr="001A01AB">
        <w:rPr>
          <w:rFonts w:ascii="Calibri" w:hAnsi="Calibri" w:cs="Calibri"/>
          <w:lang w:val="es-GT"/>
        </w:rPr>
        <w:t xml:space="preserve">Cada factor crítico fue evaluado </w:t>
      </w:r>
      <w:r w:rsidR="00691329">
        <w:rPr>
          <w:rFonts w:ascii="Calibri" w:hAnsi="Calibri" w:cs="Calibri"/>
          <w:lang w:val="es-GT"/>
        </w:rPr>
        <w:t>con base en</w:t>
      </w:r>
      <w:r w:rsidRPr="001A01AB">
        <w:rPr>
          <w:rFonts w:ascii="Calibri" w:hAnsi="Calibri" w:cs="Calibri"/>
          <w:lang w:val="es-GT"/>
        </w:rPr>
        <w:t xml:space="preserve"> los indicadores antes propuestos</w:t>
      </w:r>
      <w:r w:rsidR="00691329">
        <w:rPr>
          <w:rFonts w:ascii="Calibri" w:hAnsi="Calibri" w:cs="Calibri"/>
          <w:lang w:val="es-GT"/>
        </w:rPr>
        <w:t>, para lo cual</w:t>
      </w:r>
      <w:r w:rsidRPr="001A01AB">
        <w:rPr>
          <w:rFonts w:ascii="Calibri" w:hAnsi="Calibri" w:cs="Calibri"/>
          <w:lang w:val="es-GT"/>
        </w:rPr>
        <w:t xml:space="preserve"> se realiz</w:t>
      </w:r>
      <w:r w:rsidR="00B850BA">
        <w:rPr>
          <w:rFonts w:ascii="Calibri" w:hAnsi="Calibri" w:cs="Calibri"/>
          <w:lang w:val="es-GT"/>
        </w:rPr>
        <w:t>ó</w:t>
      </w:r>
      <w:r w:rsidRPr="001A01AB">
        <w:rPr>
          <w:rFonts w:ascii="Calibri" w:hAnsi="Calibri" w:cs="Calibri"/>
          <w:lang w:val="es-GT"/>
        </w:rPr>
        <w:t xml:space="preserve"> una amplia revisión documental y </w:t>
      </w:r>
      <w:r w:rsidR="00691329">
        <w:rPr>
          <w:rFonts w:ascii="Calibri" w:hAnsi="Calibri" w:cs="Calibri"/>
          <w:lang w:val="es-GT"/>
        </w:rPr>
        <w:t xml:space="preserve">un </w:t>
      </w:r>
      <w:r w:rsidRPr="001A01AB">
        <w:rPr>
          <w:rFonts w:ascii="Calibri" w:hAnsi="Calibri" w:cs="Calibri"/>
          <w:lang w:val="es-GT"/>
        </w:rPr>
        <w:t>análisis de terceras fuentes. En este proceso, se dio</w:t>
      </w:r>
      <w:r w:rsidR="00691329">
        <w:rPr>
          <w:rFonts w:ascii="Calibri" w:hAnsi="Calibri" w:cs="Calibri"/>
          <w:lang w:val="es-GT"/>
        </w:rPr>
        <w:t xml:space="preserve"> especial atención a </w:t>
      </w:r>
      <w:r w:rsidRPr="001A01AB">
        <w:rPr>
          <w:rFonts w:ascii="Calibri" w:hAnsi="Calibri" w:cs="Calibri"/>
          <w:lang w:val="es-GT"/>
        </w:rPr>
        <w:t>las principales condiciones territoriales del país, así como la tendencia histórica y futura para cada factor. Finalmente se consider</w:t>
      </w:r>
      <w:r w:rsidR="00B850BA">
        <w:rPr>
          <w:rFonts w:ascii="Calibri" w:hAnsi="Calibri" w:cs="Calibri"/>
          <w:lang w:val="es-GT"/>
        </w:rPr>
        <w:t>ó</w:t>
      </w:r>
      <w:r w:rsidRPr="001A01AB">
        <w:rPr>
          <w:rFonts w:ascii="Calibri" w:hAnsi="Calibri" w:cs="Calibri"/>
          <w:lang w:val="es-GT"/>
        </w:rPr>
        <w:t>, en algunos casos, realizar comparaciones con otros territorios del país.</w:t>
      </w:r>
    </w:p>
    <w:p w:rsidR="00E31B19" w:rsidRPr="001A01AB" w:rsidRDefault="00E31B19" w:rsidP="00E31B19">
      <w:pPr>
        <w:jc w:val="both"/>
        <w:rPr>
          <w:rFonts w:ascii="Calibri" w:hAnsi="Calibri" w:cs="Calibri"/>
          <w:lang w:val="es-GT"/>
        </w:rPr>
      </w:pPr>
    </w:p>
    <w:p w:rsidR="00E31B19" w:rsidRPr="001A01AB" w:rsidRDefault="00E31B19" w:rsidP="00E31B19">
      <w:pPr>
        <w:jc w:val="both"/>
        <w:rPr>
          <w:rFonts w:ascii="Calibri" w:hAnsi="Calibri" w:cs="Calibri"/>
          <w:lang w:val="es-GT"/>
        </w:rPr>
      </w:pPr>
      <w:r w:rsidRPr="001A01AB">
        <w:rPr>
          <w:rFonts w:ascii="Calibri" w:hAnsi="Calibri" w:cs="Calibri"/>
          <w:lang w:val="es-GT"/>
        </w:rPr>
        <w:t>Deri</w:t>
      </w:r>
      <w:r w:rsidR="00B850BA">
        <w:rPr>
          <w:rFonts w:ascii="Calibri" w:hAnsi="Calibri" w:cs="Calibri"/>
          <w:lang w:val="es-GT"/>
        </w:rPr>
        <w:t>vado de este análisis</w:t>
      </w:r>
      <w:r w:rsidR="00691329">
        <w:rPr>
          <w:rFonts w:ascii="Calibri" w:hAnsi="Calibri" w:cs="Calibri"/>
          <w:lang w:val="es-GT"/>
        </w:rPr>
        <w:t>,</w:t>
      </w:r>
      <w:r w:rsidR="00B850BA">
        <w:rPr>
          <w:rFonts w:ascii="Calibri" w:hAnsi="Calibri" w:cs="Calibri"/>
          <w:lang w:val="es-GT"/>
        </w:rPr>
        <w:t xml:space="preserve"> se realizó</w:t>
      </w:r>
      <w:r w:rsidRPr="001A01AB">
        <w:rPr>
          <w:rFonts w:ascii="Calibri" w:hAnsi="Calibri" w:cs="Calibri"/>
          <w:lang w:val="es-GT"/>
        </w:rPr>
        <w:t xml:space="preserve"> un ejercicio para determinar las fortalezas, oportunidades, debilidades y amenazas (FODA) de cada uno de los FCD identificados. Adicionalmente</w:t>
      </w:r>
      <w:r w:rsidR="00691329">
        <w:rPr>
          <w:rFonts w:ascii="Calibri" w:hAnsi="Calibri" w:cs="Calibri"/>
          <w:lang w:val="es-GT"/>
        </w:rPr>
        <w:t>,</w:t>
      </w:r>
      <w:r w:rsidRPr="001A01AB">
        <w:rPr>
          <w:rFonts w:ascii="Calibri" w:hAnsi="Calibri" w:cs="Calibri"/>
          <w:lang w:val="es-GT"/>
        </w:rPr>
        <w:t xml:space="preserve"> se analiz</w:t>
      </w:r>
      <w:r w:rsidR="00B850BA">
        <w:rPr>
          <w:rFonts w:ascii="Calibri" w:hAnsi="Calibri" w:cs="Calibri"/>
          <w:lang w:val="es-GT"/>
        </w:rPr>
        <w:t>ó</w:t>
      </w:r>
      <w:r w:rsidRPr="001A01AB">
        <w:rPr>
          <w:rFonts w:ascii="Calibri" w:hAnsi="Calibri" w:cs="Calibri"/>
          <w:lang w:val="es-GT"/>
        </w:rPr>
        <w:t xml:space="preserve"> la tendencia que se espera de estos factores, considerando e</w:t>
      </w:r>
      <w:r w:rsidR="00691329">
        <w:rPr>
          <w:rFonts w:ascii="Calibri" w:hAnsi="Calibri" w:cs="Calibri"/>
          <w:lang w:val="es-GT"/>
        </w:rPr>
        <w:t>l</w:t>
      </w:r>
      <w:r w:rsidRPr="001A01AB">
        <w:rPr>
          <w:rFonts w:ascii="Calibri" w:hAnsi="Calibri" w:cs="Calibri"/>
          <w:lang w:val="es-GT"/>
        </w:rPr>
        <w:t xml:space="preserve"> escenario tendencial que a la fecha se ha evaluado en el país. </w:t>
      </w:r>
    </w:p>
    <w:p w:rsidR="00E31B19" w:rsidRPr="001A01AB" w:rsidRDefault="00E31B19" w:rsidP="00E31B19">
      <w:pPr>
        <w:jc w:val="both"/>
        <w:rPr>
          <w:rFonts w:ascii="Calibri" w:hAnsi="Calibri" w:cs="Calibri"/>
          <w:lang w:val="es-GT"/>
        </w:rPr>
      </w:pPr>
    </w:p>
    <w:p w:rsidR="00E31B19" w:rsidRPr="001A01AB" w:rsidRDefault="00B850BA" w:rsidP="00E31B19">
      <w:pPr>
        <w:jc w:val="both"/>
        <w:rPr>
          <w:rFonts w:ascii="Calibri" w:hAnsi="Calibri" w:cs="Calibri"/>
          <w:lang w:val="es-GT"/>
        </w:rPr>
      </w:pPr>
      <w:r>
        <w:rPr>
          <w:rFonts w:ascii="Calibri" w:hAnsi="Calibri" w:cs="Calibri"/>
          <w:lang w:val="es-GT"/>
        </w:rPr>
        <w:t>Como se indicó</w:t>
      </w:r>
      <w:r w:rsidR="00E31B19" w:rsidRPr="001A01AB">
        <w:rPr>
          <w:rFonts w:ascii="Calibri" w:hAnsi="Calibri" w:cs="Calibri"/>
          <w:lang w:val="es-GT"/>
        </w:rPr>
        <w:t xml:space="preserve"> anteriormente, la evaluación de cada uno de los indicadores seleccionados para los Factores Críticos para la Decisión es una labor extensa, por lo que el detalle de la misma se encuentra </w:t>
      </w:r>
      <w:r w:rsidR="00F175E4">
        <w:rPr>
          <w:rFonts w:ascii="Calibri" w:hAnsi="Calibri" w:cs="Calibri"/>
          <w:lang w:val="es-GT"/>
        </w:rPr>
        <w:t>en el Anexo 1.</w:t>
      </w:r>
      <w:r w:rsidR="00E31B19" w:rsidRPr="001A01AB">
        <w:rPr>
          <w:rFonts w:ascii="Calibri" w:hAnsi="Calibri" w:cs="Calibri"/>
          <w:lang w:val="es-GT"/>
        </w:rPr>
        <w:t xml:space="preserve"> </w:t>
      </w:r>
    </w:p>
    <w:p w:rsidR="00E31B19" w:rsidRPr="001A01AB" w:rsidRDefault="00E31B19" w:rsidP="00E31B19">
      <w:pPr>
        <w:jc w:val="both"/>
        <w:rPr>
          <w:rFonts w:ascii="Calibri" w:hAnsi="Calibri" w:cs="Calibri"/>
          <w:lang w:val="es-GT"/>
        </w:rPr>
      </w:pPr>
    </w:p>
    <w:p w:rsidR="00E31B19" w:rsidRDefault="00E31B19" w:rsidP="00E31B19">
      <w:pPr>
        <w:jc w:val="both"/>
        <w:rPr>
          <w:rFonts w:ascii="Calibri" w:hAnsi="Calibri" w:cs="Calibri"/>
          <w:lang w:val="es-GT"/>
        </w:rPr>
      </w:pPr>
      <w:r w:rsidRPr="001A01AB">
        <w:rPr>
          <w:rFonts w:ascii="Calibri" w:hAnsi="Calibri" w:cs="Calibri"/>
          <w:lang w:val="es-GT"/>
        </w:rPr>
        <w:t>Con la finalidad de presentar un resumen del análisis realizado, a continuación se presenta</w:t>
      </w:r>
      <w:r w:rsidR="00691329">
        <w:rPr>
          <w:rFonts w:ascii="Calibri" w:hAnsi="Calibri" w:cs="Calibri"/>
          <w:lang w:val="es-GT"/>
        </w:rPr>
        <w:t>n</w:t>
      </w:r>
      <w:r w:rsidRPr="001A01AB">
        <w:rPr>
          <w:rFonts w:ascii="Calibri" w:hAnsi="Calibri" w:cs="Calibri"/>
          <w:lang w:val="es-GT"/>
        </w:rPr>
        <w:t xml:space="preserve"> las evaluaciones FODA realizadas, así como las principales tendencias observadas. Estos análisis se</w:t>
      </w:r>
      <w:r w:rsidR="00691329">
        <w:rPr>
          <w:rFonts w:ascii="Calibri" w:hAnsi="Calibri" w:cs="Calibri"/>
          <w:lang w:val="es-GT"/>
        </w:rPr>
        <w:t xml:space="preserve"> presentan para cada Factor</w:t>
      </w:r>
      <w:r w:rsidRPr="001A01AB">
        <w:rPr>
          <w:rFonts w:ascii="Calibri" w:hAnsi="Calibri" w:cs="Calibri"/>
          <w:lang w:val="es-GT"/>
        </w:rPr>
        <w:t xml:space="preserve"> Crítico para la Decisión.</w:t>
      </w:r>
    </w:p>
    <w:p w:rsidR="003B0128" w:rsidRPr="001A01AB" w:rsidRDefault="003B0128" w:rsidP="00E31B19">
      <w:pPr>
        <w:jc w:val="both"/>
        <w:rPr>
          <w:rFonts w:ascii="Calibri" w:hAnsi="Calibri" w:cs="Calibri"/>
          <w:lang w:val="es-GT"/>
        </w:rPr>
      </w:pPr>
    </w:p>
    <w:p w:rsidR="00E31B19" w:rsidRPr="001A01AB" w:rsidRDefault="00E31B19" w:rsidP="00E31B19">
      <w:pPr>
        <w:tabs>
          <w:tab w:val="left" w:pos="851"/>
        </w:tabs>
        <w:autoSpaceDE w:val="0"/>
        <w:autoSpaceDN w:val="0"/>
        <w:adjustRightInd w:val="0"/>
        <w:spacing w:after="240"/>
        <w:jc w:val="both"/>
        <w:rPr>
          <w:rFonts w:ascii="Calibri" w:hAnsi="Calibri" w:cs="Calibri"/>
          <w:b/>
          <w:color w:val="365F91"/>
          <w:szCs w:val="22"/>
          <w:lang w:val="es-GT"/>
        </w:rPr>
      </w:pPr>
      <w:r w:rsidRPr="001A01AB">
        <w:rPr>
          <w:rFonts w:ascii="Calibri" w:hAnsi="Calibri" w:cs="Calibri"/>
          <w:b/>
          <w:color w:val="365F91"/>
          <w:szCs w:val="22"/>
          <w:lang w:val="es-GT"/>
        </w:rPr>
        <w:lastRenderedPageBreak/>
        <w:t>FCD.1.</w:t>
      </w:r>
      <w:r w:rsidRPr="001A01AB">
        <w:rPr>
          <w:rFonts w:ascii="Calibri" w:hAnsi="Calibri" w:cs="Calibri"/>
          <w:b/>
          <w:color w:val="365F91"/>
          <w:szCs w:val="22"/>
          <w:lang w:val="es-GT"/>
        </w:rPr>
        <w:tab/>
        <w:t>Recursos naturales estratégicos (agua, suelo y bosque)</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4788"/>
        <w:gridCol w:w="4788"/>
      </w:tblGrid>
      <w:tr w:rsidR="00E31B19" w:rsidRPr="000364C9" w:rsidTr="001A01AB">
        <w:trPr>
          <w:jc w:val="center"/>
        </w:trPr>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Fortalezas:</w:t>
            </w:r>
          </w:p>
          <w:p w:rsidR="00E31B19" w:rsidRPr="001A01AB" w:rsidRDefault="00B850BA"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Guatemala aú</w:t>
            </w:r>
            <w:r w:rsidR="00E31B19" w:rsidRPr="001A01AB">
              <w:rPr>
                <w:rFonts w:ascii="Calibri" w:hAnsi="Calibri" w:cs="Calibri"/>
                <w:sz w:val="20"/>
                <w:szCs w:val="22"/>
                <w:lang w:val="es-GT"/>
              </w:rPr>
              <w:t>n conserva el 34% de su territorio cubierto por bosques.</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condiciones naturales favorecen la regeneración natural de los bosques.</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Existen sistemas agroforestal</w:t>
            </w:r>
            <w:r w:rsidR="00691329">
              <w:rPr>
                <w:rFonts w:ascii="Calibri" w:hAnsi="Calibri" w:cs="Calibri"/>
                <w:sz w:val="20"/>
                <w:szCs w:val="22"/>
                <w:lang w:val="es-GT"/>
              </w:rPr>
              <w:t>es como café, cardamomo y cacao</w:t>
            </w:r>
            <w:r w:rsidRPr="001A01AB">
              <w:rPr>
                <w:rFonts w:ascii="Calibri" w:hAnsi="Calibri" w:cs="Calibri"/>
                <w:sz w:val="20"/>
                <w:szCs w:val="22"/>
                <w:lang w:val="es-GT"/>
              </w:rPr>
              <w:t xml:space="preserve"> que proveen bienes y servicios ambientales, aunque en menor medida, pero de importancia para la sociedad. </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Cultivos como el caucho natural, se encuentran en franca expansión, propiciando la recuperación de la cobertura forestal.</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balance hídrico nacional es, en general, excedentario: la utilización anual del agua representa entre el 20-22% de la oferta hídrica disponible.</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En Guatemala existe una superficie total de tierras aptas para la agricultura de 2.6 millones de hectáreas.</w:t>
            </w:r>
          </w:p>
        </w:tc>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Oportunidades:</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El PINFOR y </w:t>
            </w:r>
            <w:r w:rsidR="00691329">
              <w:rPr>
                <w:rFonts w:ascii="Calibri" w:hAnsi="Calibri" w:cs="Calibri"/>
                <w:sz w:val="20"/>
                <w:szCs w:val="22"/>
                <w:lang w:val="es-GT"/>
              </w:rPr>
              <w:t xml:space="preserve">el </w:t>
            </w:r>
            <w:r w:rsidRPr="001A01AB">
              <w:rPr>
                <w:rFonts w:ascii="Calibri" w:hAnsi="Calibri" w:cs="Calibri"/>
                <w:sz w:val="20"/>
                <w:szCs w:val="22"/>
                <w:lang w:val="es-GT"/>
              </w:rPr>
              <w:t>PINPEP son mecanismos financieros existentes, que pueden poten</w:t>
            </w:r>
            <w:r w:rsidR="00691329">
              <w:rPr>
                <w:rFonts w:ascii="Calibri" w:hAnsi="Calibri" w:cs="Calibri"/>
                <w:sz w:val="20"/>
                <w:szCs w:val="22"/>
                <w:lang w:val="es-GT"/>
              </w:rPr>
              <w:t>ciar el</w:t>
            </w:r>
            <w:r w:rsidRPr="001A01AB">
              <w:rPr>
                <w:rFonts w:ascii="Calibri" w:hAnsi="Calibri" w:cs="Calibri"/>
                <w:sz w:val="20"/>
                <w:szCs w:val="22"/>
                <w:lang w:val="es-GT"/>
              </w:rPr>
              <w:t xml:space="preserve"> aumento del área bajo manejo forestal.</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42% de la</w:t>
            </w:r>
            <w:r w:rsidR="00691329">
              <w:rPr>
                <w:rFonts w:ascii="Calibri" w:hAnsi="Calibri" w:cs="Calibri"/>
                <w:sz w:val="20"/>
                <w:szCs w:val="22"/>
                <w:lang w:val="es-GT"/>
              </w:rPr>
              <w:t xml:space="preserve"> deforestación se concentra en cinco</w:t>
            </w:r>
            <w:r w:rsidRPr="001A01AB">
              <w:rPr>
                <w:rFonts w:ascii="Calibri" w:hAnsi="Calibri" w:cs="Calibri"/>
                <w:sz w:val="20"/>
                <w:szCs w:val="22"/>
                <w:lang w:val="es-GT"/>
              </w:rPr>
              <w:t xml:space="preserve"> “frentes” bien identificados, permitiendo focalizar los esfuerzos y los instrumentos de política.</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sistemas agroforestales son una alternativa para la recuperación de cobertura forestal, genera</w:t>
            </w:r>
            <w:r w:rsidR="00691329">
              <w:rPr>
                <w:rFonts w:ascii="Calibri" w:hAnsi="Calibri" w:cs="Calibri"/>
                <w:sz w:val="20"/>
                <w:szCs w:val="22"/>
                <w:lang w:val="es-GT"/>
              </w:rPr>
              <w:t xml:space="preserve">ción de ingreso sostenible y </w:t>
            </w:r>
            <w:r w:rsidRPr="001A01AB">
              <w:rPr>
                <w:rFonts w:ascii="Calibri" w:hAnsi="Calibri" w:cs="Calibri"/>
                <w:sz w:val="20"/>
                <w:szCs w:val="22"/>
                <w:lang w:val="es-GT"/>
              </w:rPr>
              <w:t>ordenamiento del territorio.</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Los mecanismos para la reducción de emisiones de GEI por deforestación y degradación de bosques, son una oportunidad para reducir la deforestación. </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disponibilidad de agua en la mayor parte del territorio nacional, durante</w:t>
            </w:r>
            <w:r w:rsidR="00691329">
              <w:rPr>
                <w:rFonts w:ascii="Calibri" w:hAnsi="Calibri" w:cs="Calibri"/>
                <w:sz w:val="20"/>
                <w:szCs w:val="22"/>
                <w:lang w:val="es-GT"/>
              </w:rPr>
              <w:t xml:space="preserve"> casi todo</w:t>
            </w:r>
            <w:r w:rsidRPr="001A01AB">
              <w:rPr>
                <w:rFonts w:ascii="Calibri" w:hAnsi="Calibri" w:cs="Calibri"/>
                <w:sz w:val="20"/>
                <w:szCs w:val="22"/>
                <w:lang w:val="es-GT"/>
              </w:rPr>
              <w:t xml:space="preserve"> año, ofrece una oportunidad para el desarrollo de actividades productivas.</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De las tierras susceptibles de ser regadas (1.5 millones de ha), solo un 10% posee cultivos bajo riego. La agricultura de riego es una oportunidad para satisfacer la creciente demanda de alimentos.</w:t>
            </w:r>
          </w:p>
        </w:tc>
      </w:tr>
      <w:tr w:rsidR="00E31B19" w:rsidRPr="000364C9" w:rsidTr="001A01AB">
        <w:trPr>
          <w:jc w:val="center"/>
        </w:trPr>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Más del 50% de la deforestación ocurre en áreas protegidas.</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No existen políticas públicas que dirijan ni controlen la regeneración natural de la cobertura forestal</w:t>
            </w:r>
            <w:r w:rsidR="00691329">
              <w:rPr>
                <w:rFonts w:ascii="Calibri" w:hAnsi="Calibri" w:cs="Calibri"/>
                <w:sz w:val="20"/>
                <w:szCs w:val="22"/>
                <w:lang w:val="es-GT"/>
              </w:rPr>
              <w:t>,</w:t>
            </w:r>
            <w:r w:rsidRPr="001A01AB">
              <w:rPr>
                <w:rFonts w:ascii="Calibri" w:hAnsi="Calibri" w:cs="Calibri"/>
                <w:sz w:val="20"/>
                <w:szCs w:val="22"/>
                <w:lang w:val="es-GT"/>
              </w:rPr>
              <w:t xml:space="preserve"> por </w:t>
            </w:r>
            <w:r w:rsidR="00691329">
              <w:rPr>
                <w:rFonts w:ascii="Calibri" w:hAnsi="Calibri" w:cs="Calibri"/>
                <w:sz w:val="20"/>
                <w:szCs w:val="22"/>
                <w:lang w:val="es-GT"/>
              </w:rPr>
              <w:t>lo que la tendencia de la misma</w:t>
            </w:r>
            <w:r w:rsidRPr="001A01AB">
              <w:rPr>
                <w:rFonts w:ascii="Calibri" w:hAnsi="Calibri" w:cs="Calibri"/>
                <w:sz w:val="20"/>
                <w:szCs w:val="22"/>
                <w:lang w:val="es-GT"/>
              </w:rPr>
              <w:t xml:space="preserve"> no puede ser considerada permanente.</w:t>
            </w:r>
            <w:r w:rsidR="00141A70">
              <w:rPr>
                <w:rFonts w:ascii="Calibri" w:hAnsi="Calibri" w:cs="Calibri"/>
                <w:sz w:val="20"/>
                <w:szCs w:val="22"/>
                <w:lang w:val="es-GT"/>
              </w:rPr>
              <w:t xml:space="preserve"> </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Aunque el balance hídrico nacional es excedentario, la mala gestión del recurso, la contaminación y la estacionalidad de la precipitación, causan periodos de escasez en algunas regiones durante la temporada seca. </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marco institucional y regulatorio asociado al agua es sumamente débil, impidiendo la gestión integral del recurso.</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No existe un marco de política integral que fomente y regule el ordenamiento territorial.</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Desde el ámbito público no existen políticas ni instrumentos orientados a promover la conservación de suelos.</w:t>
            </w:r>
          </w:p>
        </w:tc>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Amenazas:</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deforestación tiende a sustituir bosques a </w:t>
            </w:r>
            <w:r w:rsidR="00691329">
              <w:rPr>
                <w:rFonts w:ascii="Calibri" w:hAnsi="Calibri" w:cs="Calibri"/>
                <w:sz w:val="20"/>
                <w:szCs w:val="22"/>
                <w:lang w:val="es-GT"/>
              </w:rPr>
              <w:t>causa de la ganadería extensiva,</w:t>
            </w:r>
            <w:r w:rsidRPr="001A01AB">
              <w:rPr>
                <w:rFonts w:ascii="Calibri" w:hAnsi="Calibri" w:cs="Calibri"/>
                <w:sz w:val="20"/>
                <w:szCs w:val="22"/>
                <w:lang w:val="es-GT"/>
              </w:rPr>
              <w:t xml:space="preserve"> la agricultura (</w:t>
            </w:r>
            <w:r w:rsidR="00691329">
              <w:rPr>
                <w:rFonts w:ascii="Calibri" w:hAnsi="Calibri" w:cs="Calibri"/>
                <w:sz w:val="20"/>
                <w:szCs w:val="22"/>
                <w:lang w:val="es-GT"/>
              </w:rPr>
              <w:t>pequeña, mediana y gran escala),</w:t>
            </w:r>
            <w:r w:rsidRPr="001A01AB">
              <w:rPr>
                <w:rFonts w:ascii="Calibri" w:hAnsi="Calibri" w:cs="Calibri"/>
                <w:sz w:val="20"/>
                <w:szCs w:val="22"/>
                <w:lang w:val="es-GT"/>
              </w:rPr>
              <w:t xml:space="preserve"> in</w:t>
            </w:r>
            <w:r w:rsidR="00691329">
              <w:rPr>
                <w:rFonts w:ascii="Calibri" w:hAnsi="Calibri" w:cs="Calibri"/>
                <w:sz w:val="20"/>
                <w:szCs w:val="22"/>
                <w:lang w:val="es-GT"/>
              </w:rPr>
              <w:t>cendios forestales,</w:t>
            </w:r>
            <w:r w:rsidRPr="001A01AB">
              <w:rPr>
                <w:rFonts w:ascii="Calibri" w:hAnsi="Calibri" w:cs="Calibri"/>
                <w:sz w:val="20"/>
                <w:szCs w:val="22"/>
                <w:lang w:val="es-GT"/>
              </w:rPr>
              <w:t xml:space="preserve"> asentamientos humanos produ</w:t>
            </w:r>
            <w:r w:rsidR="00691329">
              <w:rPr>
                <w:rFonts w:ascii="Calibri" w:hAnsi="Calibri" w:cs="Calibri"/>
                <w:sz w:val="20"/>
                <w:szCs w:val="22"/>
                <w:lang w:val="es-GT"/>
              </w:rPr>
              <w:t>cto de la migración rural-rural, la narcoactividad,</w:t>
            </w:r>
            <w:r w:rsidRPr="001A01AB">
              <w:rPr>
                <w:rFonts w:ascii="Calibri" w:hAnsi="Calibri" w:cs="Calibri"/>
                <w:sz w:val="20"/>
                <w:szCs w:val="22"/>
                <w:lang w:val="es-GT"/>
              </w:rPr>
              <w:t xml:space="preserve"> y sus combinaciones.</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incendios forestales siguen siendo una de las amenazas m</w:t>
            </w:r>
            <w:r w:rsidR="00B850BA">
              <w:rPr>
                <w:rFonts w:ascii="Calibri" w:hAnsi="Calibri" w:cs="Calibri"/>
                <w:sz w:val="20"/>
                <w:szCs w:val="22"/>
                <w:lang w:val="es-GT"/>
              </w:rPr>
              <w:t>á</w:t>
            </w:r>
            <w:r w:rsidRPr="001A01AB">
              <w:rPr>
                <w:rFonts w:ascii="Calibri" w:hAnsi="Calibri" w:cs="Calibri"/>
                <w:sz w:val="20"/>
                <w:szCs w:val="22"/>
                <w:lang w:val="es-GT"/>
              </w:rPr>
              <w:t>s graves para los bosques.</w:t>
            </w:r>
          </w:p>
          <w:p w:rsidR="00E31B19" w:rsidRPr="001A01AB" w:rsidRDefault="0069132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El ritmo de deforestación excede la tasa de</w:t>
            </w:r>
            <w:r w:rsidR="00E31B19" w:rsidRPr="001A01AB">
              <w:rPr>
                <w:rFonts w:ascii="Calibri" w:hAnsi="Calibri" w:cs="Calibri"/>
                <w:sz w:val="20"/>
                <w:szCs w:val="22"/>
                <w:lang w:val="es-GT"/>
              </w:rPr>
              <w:t xml:space="preserve"> reforestación y la regeneración natural.</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leña representa el 67% del total de madera extraída de los bosques, utilizándose en un 95% como recurso energético de la población rural.</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El 95% de la extracción de madera corresponde a aprovechamientos ilegales o no controlados. </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Solamente el 38% de las tierras importancia media, alta y muy alta para la captación y regulaci</w:t>
            </w:r>
            <w:r w:rsidR="00C62F2D">
              <w:rPr>
                <w:rFonts w:ascii="Calibri" w:hAnsi="Calibri" w:cs="Calibri"/>
                <w:sz w:val="20"/>
                <w:szCs w:val="22"/>
                <w:lang w:val="es-GT"/>
              </w:rPr>
              <w:t>ón hídrica (TFCRH) se encuentra cubierto</w:t>
            </w:r>
            <w:r w:rsidRPr="001A01AB">
              <w:rPr>
                <w:rFonts w:ascii="Calibri" w:hAnsi="Calibri" w:cs="Calibri"/>
                <w:sz w:val="20"/>
                <w:szCs w:val="22"/>
                <w:lang w:val="es-GT"/>
              </w:rPr>
              <w:t xml:space="preserve"> por bosques. E</w:t>
            </w:r>
            <w:r w:rsidR="00C62F2D">
              <w:rPr>
                <w:rFonts w:ascii="Calibri" w:hAnsi="Calibri" w:cs="Calibri"/>
                <w:sz w:val="20"/>
                <w:szCs w:val="22"/>
                <w:lang w:val="es-GT"/>
              </w:rPr>
              <w:t>l 24% de las TFCRH se encuentra</w:t>
            </w:r>
            <w:r w:rsidRPr="001A01AB">
              <w:rPr>
                <w:rFonts w:ascii="Calibri" w:hAnsi="Calibri" w:cs="Calibri"/>
                <w:sz w:val="20"/>
                <w:szCs w:val="22"/>
                <w:lang w:val="es-GT"/>
              </w:rPr>
              <w:t xml:space="preserve"> en condiciones de sobreuso, creando condiciones ambientales adversas para el mantenimiento del ciclo hidrológico. </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práctica agrícola convencional en Guatemala es responsable de una pérdida total del suelo de 299 millones de m</w:t>
            </w:r>
            <w:r w:rsidRPr="00C62F2D">
              <w:rPr>
                <w:rFonts w:ascii="Calibri" w:hAnsi="Calibri" w:cs="Calibri"/>
                <w:sz w:val="20"/>
                <w:szCs w:val="22"/>
                <w:vertAlign w:val="superscript"/>
                <w:lang w:val="es-GT"/>
              </w:rPr>
              <w:t>3</w:t>
            </w:r>
            <w:r w:rsidRPr="001A01AB">
              <w:rPr>
                <w:rFonts w:ascii="Calibri" w:hAnsi="Calibri" w:cs="Calibri"/>
                <w:sz w:val="20"/>
                <w:szCs w:val="22"/>
                <w:lang w:val="es-GT"/>
              </w:rPr>
              <w:t>/año, que ha causado la sedimentación de los cursos de agua y altos niveles de eutrofización.</w:t>
            </w:r>
          </w:p>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 (cont</w:t>
            </w:r>
            <w:r w:rsidR="007C3972" w:rsidRPr="001A01AB">
              <w:rPr>
                <w:rFonts w:ascii="Calibri" w:hAnsi="Calibri" w:cs="Calibri"/>
                <w:b/>
                <w:color w:val="365F91"/>
                <w:sz w:val="20"/>
                <w:szCs w:val="22"/>
                <w:lang w:val="es-GT"/>
              </w:rPr>
              <w:t>inuación</w:t>
            </w:r>
            <w:r w:rsidRPr="001A01AB">
              <w:rPr>
                <w:rFonts w:ascii="Calibri" w:hAnsi="Calibri" w:cs="Calibri"/>
                <w:b/>
                <w:color w:val="365F91"/>
                <w:sz w:val="20"/>
                <w:szCs w:val="22"/>
                <w:lang w:val="es-GT"/>
              </w:rPr>
              <w:t>):</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contaminación del agua de ríos y lagos alcanza niveles alarmantes, reduciendo la disponibilidad efectiva del agua, amenazando todos los usos consuntivos y no consuntivos del agua.</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El 15% de la superficie del territorio nacional se encuentra en condiciones de sobreuso, siendo causante del 57% de la erosión total del país. </w:t>
            </w:r>
          </w:p>
          <w:p w:rsidR="00E31B19" w:rsidRPr="001A01AB" w:rsidRDefault="00E31B1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El 62% </w:t>
            </w:r>
            <w:r w:rsidR="00C62F2D">
              <w:rPr>
                <w:rFonts w:ascii="Calibri" w:hAnsi="Calibri" w:cs="Calibri"/>
                <w:sz w:val="20"/>
                <w:szCs w:val="22"/>
                <w:lang w:val="es-GT"/>
              </w:rPr>
              <w:t>de las tierras en sobreuso está dedicado</w:t>
            </w:r>
            <w:r w:rsidRPr="001A01AB">
              <w:rPr>
                <w:rFonts w:ascii="Calibri" w:hAnsi="Calibri" w:cs="Calibri"/>
                <w:sz w:val="20"/>
                <w:szCs w:val="22"/>
                <w:lang w:val="es-GT"/>
              </w:rPr>
              <w:t xml:space="preserve"> a la producción de cultivos agrícolas tradicionales, fundamentalmente granos básicos.</w:t>
            </w:r>
          </w:p>
        </w:tc>
      </w:tr>
    </w:tbl>
    <w:p w:rsidR="00E31B19" w:rsidRPr="001A01AB" w:rsidRDefault="00E31B19" w:rsidP="00E31B19">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9576"/>
      </w:tblGrid>
      <w:tr w:rsidR="00E31B19" w:rsidRPr="000364C9" w:rsidTr="001A01AB">
        <w:trPr>
          <w:jc w:val="center"/>
        </w:trPr>
        <w:tc>
          <w:tcPr>
            <w:tcW w:w="9576" w:type="dxa"/>
            <w:shd w:val="clear" w:color="auto" w:fill="auto"/>
          </w:tcPr>
          <w:p w:rsidR="00E31B19" w:rsidRDefault="00E31B19" w:rsidP="001A01AB">
            <w:pPr>
              <w:autoSpaceDE w:val="0"/>
              <w:autoSpaceDN w:val="0"/>
              <w:adjustRightInd w:val="0"/>
              <w:spacing w:after="60"/>
              <w:jc w:val="both"/>
              <w:rPr>
                <w:rFonts w:ascii="Calibri" w:hAnsi="Calibri" w:cs="Calibri"/>
                <w:b/>
                <w:color w:val="365F91"/>
                <w:sz w:val="22"/>
                <w:szCs w:val="22"/>
                <w:lang w:val="es-GT"/>
              </w:rPr>
            </w:pPr>
            <w:r w:rsidRPr="001A01AB">
              <w:rPr>
                <w:rFonts w:ascii="Calibri" w:hAnsi="Calibri" w:cs="Calibri"/>
                <w:b/>
                <w:color w:val="365F91"/>
                <w:sz w:val="22"/>
                <w:szCs w:val="22"/>
                <w:lang w:val="es-GT"/>
              </w:rPr>
              <w:t>Tendencias (basadas en un escenario de tipo tendencial)</w:t>
            </w:r>
          </w:p>
          <w:p w:rsidR="004E6953" w:rsidRPr="001A01AB" w:rsidRDefault="004E6953" w:rsidP="001A01AB">
            <w:pPr>
              <w:autoSpaceDE w:val="0"/>
              <w:autoSpaceDN w:val="0"/>
              <w:adjustRightInd w:val="0"/>
              <w:spacing w:after="60"/>
              <w:jc w:val="both"/>
              <w:rPr>
                <w:rFonts w:ascii="Calibri" w:hAnsi="Calibri" w:cs="Calibri"/>
                <w:b/>
                <w:color w:val="365F91"/>
                <w:sz w:val="22"/>
                <w:szCs w:val="22"/>
                <w:lang w:val="es-GT"/>
              </w:rPr>
            </w:pPr>
          </w:p>
          <w:p w:rsidR="00E31B19" w:rsidRPr="001A01AB" w:rsidRDefault="00E31B19"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Existe una alarmante tendencia creciente de la tasa de deforestación anual, la cual se espera que se mantenga a corto y mediano plazo.</w:t>
            </w:r>
          </w:p>
          <w:p w:rsidR="00E31B19" w:rsidRPr="001A01AB" w:rsidRDefault="00E31B19"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La regeneración natural de bosques se ha mantenido como un factor importante de recuperación de la cobertura forestal, pero esta tendencia no se considera permanente al no estar soportada por una política institucional que garantice la permanencia de los mismos.</w:t>
            </w:r>
          </w:p>
          <w:p w:rsidR="00E31B19" w:rsidRPr="001A01AB" w:rsidRDefault="00E31B19"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El área bajo manejo forestal sostenible se ha reducido de 22,060 en 2006 a 7,782 ha en 2010, incentivando indirectamente, las actividades al margen de la ley. De no implementarse medidas al respecto, se espera que esta tendencia se mantenga a mediano plazo</w:t>
            </w:r>
          </w:p>
          <w:p w:rsidR="00E31B19" w:rsidRPr="001A01AB" w:rsidRDefault="00E31B19"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El aumento de la población influirá en el crecimiento constante de la demanda de agua. Este factor será crítico en las áreas altamente pobladas del país.</w:t>
            </w:r>
          </w:p>
          <w:p w:rsidR="00E31B19" w:rsidRPr="001A01AB" w:rsidRDefault="00E31B19"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Existe una clara tendencia hacia el incremento de la contaminación del agua. Las regulaciones actuales son débiles</w:t>
            </w:r>
            <w:r w:rsidR="00C62F2D">
              <w:rPr>
                <w:rFonts w:cs="Calibri"/>
              </w:rPr>
              <w:t>,</w:t>
            </w:r>
            <w:r w:rsidRPr="001A01AB">
              <w:rPr>
                <w:rFonts w:cs="Calibri"/>
              </w:rPr>
              <w:t xml:space="preserve"> por lo que se espera que la tendencia de la misma se mantenga creciente.</w:t>
            </w:r>
          </w:p>
          <w:p w:rsidR="00E31B19" w:rsidRPr="001A01AB" w:rsidRDefault="00E31B19"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La deforestación provoca una tendencia a la disminución de la cobertura vegetal en TFCRH. Esto a su vez incidirá en la oferta de las aguas superficiales en el país.</w:t>
            </w:r>
          </w:p>
          <w:p w:rsidR="00E31B19" w:rsidRPr="001A01AB" w:rsidRDefault="00E31B19"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 xml:space="preserve">La expansión de la agricultura anual y de cultivos de subsistencia </w:t>
            </w:r>
            <w:r w:rsidR="00C62F2D">
              <w:rPr>
                <w:rFonts w:cs="Calibri"/>
              </w:rPr>
              <w:t>tiende</w:t>
            </w:r>
            <w:r w:rsidRPr="001A01AB">
              <w:rPr>
                <w:rFonts w:cs="Calibri"/>
              </w:rPr>
              <w:t xml:space="preserve"> </w:t>
            </w:r>
            <w:r w:rsidR="00C62F2D">
              <w:rPr>
                <w:rFonts w:cs="Calibri"/>
              </w:rPr>
              <w:t>dirigirse</w:t>
            </w:r>
            <w:r w:rsidRPr="001A01AB">
              <w:rPr>
                <w:rFonts w:cs="Calibri"/>
              </w:rPr>
              <w:t xml:space="preserve"> hacia tierras marginales para la agricultura. </w:t>
            </w:r>
          </w:p>
          <w:p w:rsidR="00E31B19" w:rsidRPr="001A01AB" w:rsidRDefault="00E31B19"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La tendencia de red</w:t>
            </w:r>
            <w:r w:rsidR="00C62F2D">
              <w:rPr>
                <w:rFonts w:cs="Calibri"/>
              </w:rPr>
              <w:t>ucción de la cobertura forestal</w:t>
            </w:r>
            <w:r w:rsidRPr="001A01AB">
              <w:rPr>
                <w:rFonts w:cs="Calibri"/>
              </w:rPr>
              <w:t xml:space="preserve"> provoca el aumento de las tierras en condiciones de sobreuso, especialmente en zonas de ladera.</w:t>
            </w:r>
            <w:r w:rsidR="00141A70">
              <w:rPr>
                <w:rFonts w:cs="Calibri"/>
              </w:rPr>
              <w:t xml:space="preserve"> </w:t>
            </w:r>
            <w:r w:rsidR="00C62F2D">
              <w:rPr>
                <w:rFonts w:cs="Calibri"/>
              </w:rPr>
              <w:t>Consecuentemente, existe</w:t>
            </w:r>
            <w:r w:rsidRPr="001A01AB">
              <w:rPr>
                <w:rFonts w:cs="Calibri"/>
              </w:rPr>
              <w:t xml:space="preserve"> una marcada</w:t>
            </w:r>
            <w:r w:rsidR="00C62F2D">
              <w:rPr>
                <w:rFonts w:cs="Calibri"/>
              </w:rPr>
              <w:t xml:space="preserve"> tendencia hacia la pé</w:t>
            </w:r>
            <w:r w:rsidRPr="001A01AB">
              <w:rPr>
                <w:rFonts w:cs="Calibri"/>
              </w:rPr>
              <w:t>rdida de la fertilidad de los suelos, la cual se incrementará de no reducirse esta tendencia.</w:t>
            </w:r>
          </w:p>
          <w:p w:rsidR="00E31B19" w:rsidRPr="001A01AB" w:rsidRDefault="00E31B19"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Se espera que la tendencia de la erosión se mantenga a mediano plazo, debido principalmente a la ausencia de una política e instrumentos orientados a la protección y conservación de los suelos agrícolas.</w:t>
            </w:r>
          </w:p>
        </w:tc>
      </w:tr>
    </w:tbl>
    <w:p w:rsidR="00E31B19" w:rsidRPr="001A01AB" w:rsidRDefault="00E31B19" w:rsidP="00E31B19">
      <w:pPr>
        <w:jc w:val="both"/>
        <w:rPr>
          <w:rFonts w:ascii="Calibri" w:hAnsi="Calibri" w:cs="Calibri"/>
          <w:lang w:val="es-GT"/>
        </w:rPr>
      </w:pPr>
    </w:p>
    <w:p w:rsidR="00E31B19" w:rsidRDefault="00E31B19" w:rsidP="00E31B19">
      <w:pPr>
        <w:jc w:val="both"/>
        <w:rPr>
          <w:rFonts w:ascii="Calibri" w:hAnsi="Calibri" w:cs="Calibri"/>
          <w:lang w:val="es-GT"/>
        </w:rPr>
      </w:pPr>
    </w:p>
    <w:p w:rsidR="004E6953" w:rsidRDefault="004E6953" w:rsidP="00E31B19">
      <w:pPr>
        <w:jc w:val="both"/>
        <w:rPr>
          <w:rFonts w:ascii="Calibri" w:hAnsi="Calibri" w:cs="Calibri"/>
          <w:lang w:val="es-GT"/>
        </w:rPr>
      </w:pPr>
    </w:p>
    <w:p w:rsidR="000156F9" w:rsidRDefault="000156F9" w:rsidP="00E31B19">
      <w:pPr>
        <w:jc w:val="both"/>
        <w:rPr>
          <w:rFonts w:ascii="Calibri" w:hAnsi="Calibri" w:cs="Calibri"/>
          <w:lang w:val="es-GT"/>
        </w:rPr>
      </w:pPr>
    </w:p>
    <w:p w:rsidR="000156F9" w:rsidRDefault="000156F9" w:rsidP="00E31B19">
      <w:pPr>
        <w:jc w:val="both"/>
        <w:rPr>
          <w:rFonts w:ascii="Calibri" w:hAnsi="Calibri" w:cs="Calibri"/>
          <w:lang w:val="es-GT"/>
        </w:rPr>
      </w:pPr>
    </w:p>
    <w:p w:rsidR="000156F9" w:rsidRDefault="000156F9" w:rsidP="00E31B19">
      <w:pPr>
        <w:jc w:val="both"/>
        <w:rPr>
          <w:rFonts w:ascii="Calibri" w:hAnsi="Calibri" w:cs="Calibri"/>
          <w:lang w:val="es-GT"/>
        </w:rPr>
      </w:pPr>
    </w:p>
    <w:p w:rsidR="000156F9" w:rsidRDefault="000156F9" w:rsidP="00E31B19">
      <w:pPr>
        <w:jc w:val="both"/>
        <w:rPr>
          <w:rFonts w:ascii="Calibri" w:hAnsi="Calibri" w:cs="Calibri"/>
          <w:lang w:val="es-GT"/>
        </w:rPr>
      </w:pPr>
    </w:p>
    <w:p w:rsidR="004E6953" w:rsidRDefault="004E6953" w:rsidP="00E31B19">
      <w:pPr>
        <w:jc w:val="both"/>
        <w:rPr>
          <w:rFonts w:ascii="Calibri" w:hAnsi="Calibri" w:cs="Calibri"/>
          <w:lang w:val="es-GT"/>
        </w:rPr>
      </w:pPr>
    </w:p>
    <w:p w:rsidR="00C62F2D" w:rsidRDefault="00C62F2D" w:rsidP="00E31B19">
      <w:pPr>
        <w:jc w:val="both"/>
        <w:rPr>
          <w:rFonts w:ascii="Calibri" w:hAnsi="Calibri" w:cs="Calibri"/>
          <w:lang w:val="es-GT"/>
        </w:rPr>
      </w:pPr>
    </w:p>
    <w:p w:rsidR="004E6953" w:rsidRPr="001A01AB" w:rsidRDefault="004E6953" w:rsidP="00E31B19">
      <w:pPr>
        <w:jc w:val="both"/>
        <w:rPr>
          <w:rFonts w:ascii="Calibri" w:hAnsi="Calibri" w:cs="Calibri"/>
          <w:lang w:val="es-GT"/>
        </w:rPr>
      </w:pPr>
    </w:p>
    <w:p w:rsidR="00E31B19" w:rsidRPr="001A01AB" w:rsidRDefault="00E31B19" w:rsidP="00E31B19">
      <w:pPr>
        <w:tabs>
          <w:tab w:val="left" w:pos="851"/>
        </w:tabs>
        <w:autoSpaceDE w:val="0"/>
        <w:autoSpaceDN w:val="0"/>
        <w:adjustRightInd w:val="0"/>
        <w:spacing w:after="240"/>
        <w:jc w:val="both"/>
        <w:rPr>
          <w:rFonts w:ascii="Calibri" w:hAnsi="Calibri" w:cs="Calibri"/>
          <w:b/>
          <w:color w:val="365F91"/>
          <w:szCs w:val="22"/>
          <w:lang w:val="es-GT"/>
        </w:rPr>
      </w:pPr>
      <w:r w:rsidRPr="001A01AB">
        <w:rPr>
          <w:rFonts w:ascii="Calibri" w:hAnsi="Calibri" w:cs="Calibri"/>
          <w:b/>
          <w:color w:val="365F91"/>
          <w:szCs w:val="22"/>
          <w:lang w:val="es-GT"/>
        </w:rPr>
        <w:lastRenderedPageBreak/>
        <w:t>FCD.2.</w:t>
      </w:r>
      <w:r w:rsidRPr="001A01AB">
        <w:rPr>
          <w:rFonts w:ascii="Calibri" w:hAnsi="Calibri" w:cs="Calibri"/>
          <w:b/>
          <w:color w:val="365F91"/>
          <w:szCs w:val="22"/>
          <w:lang w:val="es-GT"/>
        </w:rPr>
        <w:tab/>
        <w:t>Productividad Rural Campesina</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4788"/>
        <w:gridCol w:w="4788"/>
      </w:tblGrid>
      <w:tr w:rsidR="00E31B19" w:rsidRPr="000364C9" w:rsidTr="001A01AB">
        <w:trPr>
          <w:jc w:val="center"/>
        </w:trPr>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Fortalezas:</w:t>
            </w:r>
          </w:p>
          <w:p w:rsidR="00C870E7" w:rsidRPr="001A01AB" w:rsidRDefault="007A5355"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Interés </w:t>
            </w:r>
            <w:r w:rsidR="00C870E7" w:rsidRPr="001A01AB">
              <w:rPr>
                <w:rFonts w:ascii="Calibri" w:hAnsi="Calibri" w:cs="Calibri"/>
                <w:sz w:val="20"/>
                <w:szCs w:val="22"/>
                <w:lang w:val="es-GT"/>
              </w:rPr>
              <w:t xml:space="preserve">de las autoridades de turno </w:t>
            </w:r>
            <w:r w:rsidR="00C62F2D">
              <w:rPr>
                <w:rFonts w:ascii="Calibri" w:hAnsi="Calibri" w:cs="Calibri"/>
                <w:sz w:val="20"/>
                <w:szCs w:val="22"/>
                <w:lang w:val="es-GT"/>
              </w:rPr>
              <w:t>para</w:t>
            </w:r>
            <w:r w:rsidR="00C870E7" w:rsidRPr="001A01AB">
              <w:rPr>
                <w:rFonts w:ascii="Calibri" w:hAnsi="Calibri" w:cs="Calibri"/>
                <w:sz w:val="20"/>
                <w:szCs w:val="22"/>
                <w:lang w:val="es-GT"/>
              </w:rPr>
              <w:t xml:space="preserve"> resolver la exclusión de los agricultores de infrasubsistencia en los programas nacionales.</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Con relación a la dinámica de la cobertura forestal</w:t>
            </w:r>
            <w:r w:rsidR="00C62F2D">
              <w:rPr>
                <w:rFonts w:ascii="Calibri" w:hAnsi="Calibri" w:cs="Calibri"/>
                <w:sz w:val="20"/>
                <w:szCs w:val="22"/>
                <w:lang w:val="es-GT"/>
              </w:rPr>
              <w:t>,</w:t>
            </w:r>
            <w:r w:rsidRPr="001A01AB">
              <w:rPr>
                <w:rFonts w:ascii="Calibri" w:hAnsi="Calibri" w:cs="Calibri"/>
                <w:sz w:val="20"/>
                <w:szCs w:val="22"/>
                <w:lang w:val="es-GT"/>
              </w:rPr>
              <w:t xml:space="preserve"> muchos bosques han permanecido relativamente estables debido a la organización comunitaria que los protege.</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condiciones naturales favorecen la regeneración natural de los bosques.</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Existen sistemas agroforestales como café, cardamomo y cacao, que proveen bienes y servicios ambientales, aunque en menor medida, pero de importancia para la sociedad. </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Los diferentes tipos de riego agrícola </w:t>
            </w:r>
            <w:r w:rsidR="00C62F2D">
              <w:rPr>
                <w:rFonts w:ascii="Calibri" w:hAnsi="Calibri" w:cs="Calibri"/>
                <w:sz w:val="20"/>
                <w:szCs w:val="22"/>
                <w:lang w:val="es-GT"/>
              </w:rPr>
              <w:t xml:space="preserve">existentes </w:t>
            </w:r>
            <w:r w:rsidRPr="001A01AB">
              <w:rPr>
                <w:rFonts w:ascii="Calibri" w:hAnsi="Calibri" w:cs="Calibri"/>
                <w:sz w:val="20"/>
                <w:szCs w:val="22"/>
                <w:lang w:val="es-GT"/>
              </w:rPr>
              <w:t>ha</w:t>
            </w:r>
            <w:r w:rsidR="00C62F2D">
              <w:rPr>
                <w:rFonts w:ascii="Calibri" w:hAnsi="Calibri" w:cs="Calibri"/>
                <w:sz w:val="20"/>
                <w:szCs w:val="22"/>
                <w:lang w:val="es-GT"/>
              </w:rPr>
              <w:t>n</w:t>
            </w:r>
            <w:r w:rsidRPr="001A01AB">
              <w:rPr>
                <w:rFonts w:ascii="Calibri" w:hAnsi="Calibri" w:cs="Calibri"/>
                <w:sz w:val="20"/>
                <w:szCs w:val="22"/>
                <w:lang w:val="es-GT"/>
              </w:rPr>
              <w:t xml:space="preserve"> sido clave para el desarrollo productivo del área rural, </w:t>
            </w:r>
            <w:r w:rsidR="00C62F2D">
              <w:rPr>
                <w:rFonts w:ascii="Calibri" w:hAnsi="Calibri" w:cs="Calibri"/>
                <w:sz w:val="20"/>
                <w:szCs w:val="22"/>
                <w:lang w:val="es-GT"/>
              </w:rPr>
              <w:t xml:space="preserve">y </w:t>
            </w:r>
            <w:r w:rsidRPr="001A01AB">
              <w:rPr>
                <w:rFonts w:ascii="Calibri" w:hAnsi="Calibri" w:cs="Calibri"/>
                <w:sz w:val="20"/>
                <w:szCs w:val="22"/>
                <w:lang w:val="es-GT"/>
              </w:rPr>
              <w:t>ha</w:t>
            </w:r>
            <w:r w:rsidR="00C62F2D">
              <w:rPr>
                <w:rFonts w:ascii="Calibri" w:hAnsi="Calibri" w:cs="Calibri"/>
                <w:sz w:val="20"/>
                <w:szCs w:val="22"/>
                <w:lang w:val="es-GT"/>
              </w:rPr>
              <w:t>n</w:t>
            </w:r>
            <w:r w:rsidRPr="001A01AB">
              <w:rPr>
                <w:rFonts w:ascii="Calibri" w:hAnsi="Calibri" w:cs="Calibri"/>
                <w:sz w:val="20"/>
                <w:szCs w:val="22"/>
                <w:lang w:val="es-GT"/>
              </w:rPr>
              <w:t xml:space="preserve"> incrementado </w:t>
            </w:r>
            <w:r w:rsidR="00C62F2D">
              <w:rPr>
                <w:rFonts w:ascii="Calibri" w:hAnsi="Calibri" w:cs="Calibri"/>
                <w:sz w:val="20"/>
                <w:szCs w:val="22"/>
                <w:lang w:val="es-GT"/>
              </w:rPr>
              <w:t>la producción y productividad</w:t>
            </w:r>
            <w:r w:rsidRPr="001A01AB">
              <w:rPr>
                <w:rFonts w:ascii="Calibri" w:hAnsi="Calibri" w:cs="Calibri"/>
                <w:sz w:val="20"/>
                <w:szCs w:val="22"/>
                <w:lang w:val="es-GT"/>
              </w:rPr>
              <w:t>. Es un eje estratégico para mejorar la productividad de las áreas rurales.</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sistemas de organización comunitaria legítimos (no politizados) son una excelente experiencia en la mejora de la productividad campesina.</w:t>
            </w:r>
          </w:p>
          <w:p w:rsidR="00E31B19"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Existencia de mecanismos e instrumentos institucionales enfocados en la ampliación y mejoramiento de la red vial.</w:t>
            </w:r>
          </w:p>
        </w:tc>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Oportunidades:</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ampliación y mejoramiento de la infraestructura vial representa las siguientes oportunidades para el desarrollo rural: crecimiento del sector agrícola, ampliación de la superficie bajo cultivo, impulso y diversificación de las inversiones productivas agrícolas y no-agrícolas, impulso a las inversiones en plantaciones forestales, generación de empleo </w:t>
            </w:r>
            <w:r w:rsidR="00C34A49">
              <w:rPr>
                <w:rFonts w:ascii="Calibri" w:hAnsi="Calibri" w:cs="Calibri"/>
                <w:sz w:val="20"/>
                <w:szCs w:val="22"/>
                <w:lang w:val="es-GT"/>
              </w:rPr>
              <w:t>rural y mejoramiento d</w:t>
            </w:r>
            <w:r w:rsidRPr="001A01AB">
              <w:rPr>
                <w:rFonts w:ascii="Calibri" w:hAnsi="Calibri" w:cs="Calibri"/>
                <w:sz w:val="20"/>
                <w:szCs w:val="22"/>
                <w:lang w:val="es-GT"/>
              </w:rPr>
              <w:t>el acceso a servicios.</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Propuesta de la Política de Desarrollo Rural Integral, el Programa de Agricultura Familiar para el Fortalecimiento de las Economías Campesinas y el pacto Hambre Cero.</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Aprobación de la Ley de Incentivos Forestales para Poseedores de Pequeñas Extensiones de Tierra de Vocación Forestal o Agroforestal (PINPEP).</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Guatemala cuenta con una amplia disponibilidad promedio anual de agua (97,120 millones de m</w:t>
            </w:r>
            <w:r w:rsidRPr="00C34A49">
              <w:rPr>
                <w:rFonts w:ascii="Calibri" w:hAnsi="Calibri" w:cs="Calibri"/>
                <w:sz w:val="20"/>
                <w:szCs w:val="22"/>
                <w:vertAlign w:val="superscript"/>
                <w:lang w:val="es-GT"/>
              </w:rPr>
              <w:t>3</w:t>
            </w:r>
            <w:r w:rsidRPr="001A01AB">
              <w:rPr>
                <w:rFonts w:ascii="Calibri" w:hAnsi="Calibri" w:cs="Calibri"/>
                <w:sz w:val="20"/>
                <w:szCs w:val="22"/>
                <w:lang w:val="es-GT"/>
              </w:rPr>
              <w:t>, entre aguas superficiales y subterráneas)</w:t>
            </w:r>
            <w:r w:rsidR="00C34A49">
              <w:rPr>
                <w:rFonts w:ascii="Calibri" w:hAnsi="Calibri" w:cs="Calibri"/>
                <w:sz w:val="20"/>
                <w:szCs w:val="22"/>
                <w:lang w:val="es-GT"/>
              </w:rPr>
              <w:t>,</w:t>
            </w:r>
            <w:r w:rsidRPr="001A01AB">
              <w:rPr>
                <w:rFonts w:ascii="Calibri" w:hAnsi="Calibri" w:cs="Calibri"/>
                <w:sz w:val="20"/>
                <w:szCs w:val="22"/>
                <w:lang w:val="es-GT"/>
              </w:rPr>
              <w:t xml:space="preserve"> que supera abundantemente la demanda actual.</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Existe</w:t>
            </w:r>
            <w:r w:rsidR="00C34A49">
              <w:rPr>
                <w:rFonts w:ascii="Calibri" w:hAnsi="Calibri" w:cs="Calibri"/>
                <w:sz w:val="20"/>
                <w:szCs w:val="22"/>
                <w:lang w:val="es-GT"/>
              </w:rPr>
              <w:t>n</w:t>
            </w:r>
            <w:r w:rsidRPr="001A01AB">
              <w:rPr>
                <w:rFonts w:ascii="Calibri" w:hAnsi="Calibri" w:cs="Calibri"/>
                <w:sz w:val="20"/>
                <w:szCs w:val="22"/>
                <w:lang w:val="es-GT"/>
              </w:rPr>
              <w:t xml:space="preserve"> oportunidades con la cooperación externa </w:t>
            </w:r>
            <w:r w:rsidR="00C34A49">
              <w:rPr>
                <w:rFonts w:ascii="Calibri" w:hAnsi="Calibri" w:cs="Calibri"/>
                <w:sz w:val="20"/>
                <w:szCs w:val="22"/>
                <w:lang w:val="es-GT"/>
              </w:rPr>
              <w:t>para</w:t>
            </w:r>
            <w:r w:rsidRPr="001A01AB">
              <w:rPr>
                <w:rFonts w:ascii="Calibri" w:hAnsi="Calibri" w:cs="Calibri"/>
                <w:sz w:val="20"/>
                <w:szCs w:val="22"/>
                <w:lang w:val="es-GT"/>
              </w:rPr>
              <w:t xml:space="preserve"> atender las demandas de riego a nivel rural </w:t>
            </w:r>
            <w:r w:rsidR="00C34A49">
              <w:rPr>
                <w:rFonts w:ascii="Calibri" w:hAnsi="Calibri" w:cs="Calibri"/>
                <w:sz w:val="20"/>
                <w:szCs w:val="22"/>
                <w:lang w:val="es-GT"/>
              </w:rPr>
              <w:t>con el fin de mejorar</w:t>
            </w:r>
            <w:r w:rsidRPr="001A01AB">
              <w:rPr>
                <w:rFonts w:ascii="Calibri" w:hAnsi="Calibri" w:cs="Calibri"/>
                <w:sz w:val="20"/>
                <w:szCs w:val="22"/>
                <w:lang w:val="es-GT"/>
              </w:rPr>
              <w:t xml:space="preserve"> la productividad campesina.</w:t>
            </w:r>
          </w:p>
          <w:p w:rsidR="00E31B19" w:rsidRPr="001A01AB" w:rsidRDefault="00C34A49" w:rsidP="00C34A49">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A</w:t>
            </w:r>
            <w:r w:rsidRPr="001A01AB">
              <w:rPr>
                <w:rFonts w:ascii="Calibri" w:hAnsi="Calibri" w:cs="Calibri"/>
                <w:sz w:val="20"/>
                <w:szCs w:val="22"/>
                <w:lang w:val="es-GT"/>
              </w:rPr>
              <w:t xml:space="preserve">ctualmente </w:t>
            </w:r>
            <w:r>
              <w:rPr>
                <w:rFonts w:ascii="Calibri" w:hAnsi="Calibri" w:cs="Calibri"/>
                <w:sz w:val="20"/>
                <w:szCs w:val="22"/>
                <w:lang w:val="es-GT"/>
              </w:rPr>
              <w:t>s</w:t>
            </w:r>
            <w:r w:rsidR="00C870E7" w:rsidRPr="001A01AB">
              <w:rPr>
                <w:rFonts w:ascii="Calibri" w:hAnsi="Calibri" w:cs="Calibri"/>
                <w:sz w:val="20"/>
                <w:szCs w:val="22"/>
                <w:lang w:val="es-GT"/>
              </w:rPr>
              <w:t xml:space="preserve">e </w:t>
            </w:r>
            <w:r>
              <w:rPr>
                <w:rFonts w:ascii="Calibri" w:hAnsi="Calibri" w:cs="Calibri"/>
                <w:sz w:val="20"/>
                <w:szCs w:val="22"/>
                <w:lang w:val="es-GT"/>
              </w:rPr>
              <w:t>reactivó</w:t>
            </w:r>
            <w:r w:rsidR="00C870E7" w:rsidRPr="001A01AB">
              <w:rPr>
                <w:rFonts w:ascii="Calibri" w:hAnsi="Calibri" w:cs="Calibri"/>
                <w:sz w:val="20"/>
                <w:szCs w:val="22"/>
                <w:lang w:val="es-GT"/>
              </w:rPr>
              <w:t xml:space="preserve"> el sistema de extensión agrícola por parte del MAGA y el sistema de extensión forestal y agroforestal del INAB.</w:t>
            </w:r>
          </w:p>
        </w:tc>
      </w:tr>
      <w:tr w:rsidR="00E31B19" w:rsidRPr="000364C9" w:rsidTr="001A01AB">
        <w:trPr>
          <w:jc w:val="center"/>
        </w:trPr>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densidad de la red vial en algunas regiones del país, como el altiplano occidental, es sumamente baja, afectando la productividad del sector agrícola, limitando su crecimiento, aumentando sus costos y dificultando el acceso a servicios.</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inversión pública </w:t>
            </w:r>
            <w:r w:rsidR="00C62F2D">
              <w:rPr>
                <w:rFonts w:ascii="Calibri" w:hAnsi="Calibri" w:cs="Calibri"/>
                <w:sz w:val="20"/>
                <w:szCs w:val="22"/>
                <w:lang w:val="es-GT"/>
              </w:rPr>
              <w:t>para</w:t>
            </w:r>
            <w:r w:rsidRPr="001A01AB">
              <w:rPr>
                <w:rFonts w:ascii="Calibri" w:hAnsi="Calibri" w:cs="Calibri"/>
                <w:sz w:val="20"/>
                <w:szCs w:val="22"/>
                <w:lang w:val="es-GT"/>
              </w:rPr>
              <w:t xml:space="preserve"> la ampliación y mejoramiento de la red vial ha sido históricamente insuficiente para atender la demanda </w:t>
            </w:r>
            <w:r w:rsidR="0018731B" w:rsidRPr="001A01AB">
              <w:rPr>
                <w:rFonts w:ascii="Calibri" w:hAnsi="Calibri" w:cs="Calibri"/>
                <w:sz w:val="20"/>
                <w:szCs w:val="22"/>
                <w:lang w:val="es-GT"/>
              </w:rPr>
              <w:t>soci</w:t>
            </w:r>
            <w:r w:rsidRPr="001A01AB">
              <w:rPr>
                <w:rFonts w:ascii="Calibri" w:hAnsi="Calibri" w:cs="Calibri"/>
                <w:sz w:val="20"/>
                <w:szCs w:val="22"/>
                <w:lang w:val="es-GT"/>
              </w:rPr>
              <w:t>a</w:t>
            </w:r>
            <w:r w:rsidR="0018731B" w:rsidRPr="001A01AB">
              <w:rPr>
                <w:rFonts w:ascii="Calibri" w:hAnsi="Calibri" w:cs="Calibri"/>
                <w:sz w:val="20"/>
                <w:szCs w:val="22"/>
                <w:lang w:val="es-GT"/>
              </w:rPr>
              <w:t>l</w:t>
            </w:r>
            <w:r w:rsidRPr="001A01AB">
              <w:rPr>
                <w:rFonts w:ascii="Calibri" w:hAnsi="Calibri" w:cs="Calibri"/>
                <w:sz w:val="20"/>
                <w:szCs w:val="22"/>
                <w:lang w:val="es-GT"/>
              </w:rPr>
              <w:t xml:space="preserve"> y </w:t>
            </w:r>
            <w:r w:rsidR="0018731B" w:rsidRPr="001A01AB">
              <w:rPr>
                <w:rFonts w:ascii="Calibri" w:hAnsi="Calibri" w:cs="Calibri"/>
                <w:sz w:val="20"/>
                <w:szCs w:val="22"/>
                <w:lang w:val="es-GT"/>
              </w:rPr>
              <w:t>económica</w:t>
            </w:r>
            <w:r w:rsidRPr="001A01AB">
              <w:rPr>
                <w:rFonts w:ascii="Calibri" w:hAnsi="Calibri" w:cs="Calibri"/>
                <w:sz w:val="20"/>
                <w:szCs w:val="22"/>
                <w:lang w:val="es-GT"/>
              </w:rPr>
              <w:t>.</w:t>
            </w:r>
          </w:p>
          <w:p w:rsidR="00E31B19"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efectividad de la inversión pública </w:t>
            </w:r>
            <w:r w:rsidR="00C62F2D">
              <w:rPr>
                <w:rFonts w:ascii="Calibri" w:hAnsi="Calibri" w:cs="Calibri"/>
                <w:sz w:val="20"/>
                <w:szCs w:val="22"/>
                <w:lang w:val="es-GT"/>
              </w:rPr>
              <w:t>para</w:t>
            </w:r>
            <w:r w:rsidRPr="001A01AB">
              <w:rPr>
                <w:rFonts w:ascii="Calibri" w:hAnsi="Calibri" w:cs="Calibri"/>
                <w:sz w:val="20"/>
                <w:szCs w:val="22"/>
                <w:lang w:val="es-GT"/>
              </w:rPr>
              <w:t xml:space="preserve"> la ampliación y mejoramiento de </w:t>
            </w:r>
            <w:r w:rsidR="00C62F2D">
              <w:rPr>
                <w:rFonts w:ascii="Calibri" w:hAnsi="Calibri" w:cs="Calibri"/>
                <w:sz w:val="20"/>
                <w:szCs w:val="22"/>
                <w:lang w:val="es-GT"/>
              </w:rPr>
              <w:t>la red vial es baja. Está ligada</w:t>
            </w:r>
            <w:r w:rsidRPr="001A01AB">
              <w:rPr>
                <w:rFonts w:ascii="Calibri" w:hAnsi="Calibri" w:cs="Calibri"/>
                <w:sz w:val="20"/>
                <w:szCs w:val="22"/>
                <w:lang w:val="es-GT"/>
              </w:rPr>
              <w:t xml:space="preserve"> con la corrupción y falta de transparencia</w:t>
            </w:r>
            <w:r w:rsidR="0018731B" w:rsidRPr="001A01AB">
              <w:rPr>
                <w:rFonts w:ascii="Calibri" w:hAnsi="Calibri" w:cs="Calibri"/>
                <w:sz w:val="20"/>
                <w:szCs w:val="22"/>
                <w:lang w:val="es-GT"/>
              </w:rPr>
              <w:t>,</w:t>
            </w:r>
            <w:r w:rsidRPr="001A01AB">
              <w:rPr>
                <w:rFonts w:ascii="Calibri" w:hAnsi="Calibri" w:cs="Calibri"/>
                <w:sz w:val="20"/>
                <w:szCs w:val="22"/>
                <w:lang w:val="es-GT"/>
              </w:rPr>
              <w:t xml:space="preserve"> influye</w:t>
            </w:r>
            <w:r w:rsidR="0018731B" w:rsidRPr="001A01AB">
              <w:rPr>
                <w:rFonts w:ascii="Calibri" w:hAnsi="Calibri" w:cs="Calibri"/>
                <w:sz w:val="20"/>
                <w:szCs w:val="22"/>
                <w:lang w:val="es-GT"/>
              </w:rPr>
              <w:t>ndo</w:t>
            </w:r>
            <w:r w:rsidRPr="001A01AB">
              <w:rPr>
                <w:rFonts w:ascii="Calibri" w:hAnsi="Calibri" w:cs="Calibri"/>
                <w:sz w:val="20"/>
                <w:szCs w:val="22"/>
                <w:lang w:val="es-GT"/>
              </w:rPr>
              <w:t xml:space="preserve"> en la calidad y cantidad de tramos que se construyen o rehabilitan </w:t>
            </w:r>
            <w:r w:rsidR="0018731B" w:rsidRPr="001A01AB">
              <w:rPr>
                <w:rFonts w:ascii="Calibri" w:hAnsi="Calibri" w:cs="Calibri"/>
                <w:sz w:val="20"/>
                <w:szCs w:val="22"/>
                <w:lang w:val="es-GT"/>
              </w:rPr>
              <w:t>por</w:t>
            </w:r>
            <w:r w:rsidRPr="001A01AB">
              <w:rPr>
                <w:rFonts w:ascii="Calibri" w:hAnsi="Calibri" w:cs="Calibri"/>
                <w:sz w:val="20"/>
                <w:szCs w:val="22"/>
                <w:lang w:val="es-GT"/>
              </w:rPr>
              <w:t xml:space="preserve"> año.</w:t>
            </w:r>
          </w:p>
          <w:p w:rsidR="00C870E7" w:rsidRPr="001A01AB" w:rsidRDefault="00C62F2D"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w:t>
            </w:r>
            <w:r w:rsidR="00C870E7" w:rsidRPr="001A01AB">
              <w:rPr>
                <w:rFonts w:ascii="Calibri" w:hAnsi="Calibri" w:cs="Calibri"/>
                <w:sz w:val="20"/>
                <w:szCs w:val="22"/>
                <w:lang w:val="es-GT"/>
              </w:rPr>
              <w:t>a falta de ac</w:t>
            </w:r>
            <w:r>
              <w:rPr>
                <w:rFonts w:ascii="Calibri" w:hAnsi="Calibri" w:cs="Calibri"/>
                <w:sz w:val="20"/>
                <w:szCs w:val="22"/>
                <w:lang w:val="es-GT"/>
              </w:rPr>
              <w:t>ceso a los medios de producción y la</w:t>
            </w:r>
            <w:r w:rsidR="00C870E7" w:rsidRPr="001A01AB">
              <w:rPr>
                <w:rFonts w:ascii="Calibri" w:hAnsi="Calibri" w:cs="Calibri"/>
                <w:sz w:val="20"/>
                <w:szCs w:val="22"/>
                <w:lang w:val="es-GT"/>
              </w:rPr>
              <w:t xml:space="preserve"> </w:t>
            </w:r>
            <w:r>
              <w:rPr>
                <w:rFonts w:ascii="Calibri" w:hAnsi="Calibri" w:cs="Calibri"/>
                <w:sz w:val="20"/>
                <w:szCs w:val="22"/>
                <w:lang w:val="es-GT"/>
              </w:rPr>
              <w:t>carencia</w:t>
            </w:r>
            <w:r w:rsidR="00C870E7" w:rsidRPr="001A01AB">
              <w:rPr>
                <w:rFonts w:ascii="Calibri" w:hAnsi="Calibri" w:cs="Calibri"/>
                <w:sz w:val="20"/>
                <w:szCs w:val="22"/>
                <w:lang w:val="es-GT"/>
              </w:rPr>
              <w:t xml:space="preserve"> de certeza jurídica sobre la tenencia y propiedad de la misma, </w:t>
            </w:r>
            <w:r w:rsidR="0018731B" w:rsidRPr="001A01AB">
              <w:rPr>
                <w:rFonts w:ascii="Calibri" w:hAnsi="Calibri" w:cs="Calibri"/>
                <w:sz w:val="20"/>
                <w:szCs w:val="22"/>
                <w:lang w:val="es-GT"/>
              </w:rPr>
              <w:t>d</w:t>
            </w:r>
            <w:r w:rsidR="00C870E7" w:rsidRPr="001A01AB">
              <w:rPr>
                <w:rFonts w:ascii="Calibri" w:hAnsi="Calibri" w:cs="Calibri"/>
                <w:sz w:val="20"/>
                <w:szCs w:val="22"/>
                <w:lang w:val="es-GT"/>
              </w:rPr>
              <w:t>ificulta</w:t>
            </w:r>
            <w:r>
              <w:rPr>
                <w:rFonts w:ascii="Calibri" w:hAnsi="Calibri" w:cs="Calibri"/>
                <w:sz w:val="20"/>
                <w:szCs w:val="22"/>
                <w:lang w:val="es-GT"/>
              </w:rPr>
              <w:t>n el acceso al crédito.</w:t>
            </w:r>
            <w:r w:rsidR="00C870E7" w:rsidRPr="001A01AB">
              <w:rPr>
                <w:rFonts w:ascii="Calibri" w:hAnsi="Calibri" w:cs="Calibri"/>
                <w:sz w:val="20"/>
                <w:szCs w:val="22"/>
                <w:lang w:val="es-GT"/>
              </w:rPr>
              <w:t xml:space="preserve"> </w:t>
            </w:r>
            <w:r w:rsidRPr="001A01AB">
              <w:rPr>
                <w:rFonts w:ascii="Calibri" w:hAnsi="Calibri" w:cs="Calibri"/>
                <w:sz w:val="20"/>
                <w:szCs w:val="22"/>
                <w:lang w:val="es-GT"/>
              </w:rPr>
              <w:t>A</w:t>
            </w:r>
            <w:r w:rsidR="00C870E7" w:rsidRPr="001A01AB">
              <w:rPr>
                <w:rFonts w:ascii="Calibri" w:hAnsi="Calibri" w:cs="Calibri"/>
                <w:sz w:val="20"/>
                <w:szCs w:val="22"/>
                <w:lang w:val="es-GT"/>
              </w:rPr>
              <w:t>unado</w:t>
            </w:r>
            <w:r>
              <w:rPr>
                <w:rFonts w:ascii="Calibri" w:hAnsi="Calibri" w:cs="Calibri"/>
                <w:sz w:val="20"/>
                <w:szCs w:val="22"/>
                <w:lang w:val="es-GT"/>
              </w:rPr>
              <w:t xml:space="preserve"> a</w:t>
            </w:r>
            <w:r w:rsidR="00C870E7" w:rsidRPr="001A01AB">
              <w:rPr>
                <w:rFonts w:ascii="Calibri" w:hAnsi="Calibri" w:cs="Calibri"/>
                <w:sz w:val="20"/>
                <w:szCs w:val="22"/>
                <w:lang w:val="es-GT"/>
              </w:rPr>
              <w:t xml:space="preserve"> la </w:t>
            </w:r>
            <w:r w:rsidR="0018731B" w:rsidRPr="001A01AB">
              <w:rPr>
                <w:rFonts w:ascii="Calibri" w:hAnsi="Calibri" w:cs="Calibri"/>
                <w:sz w:val="20"/>
                <w:szCs w:val="22"/>
                <w:lang w:val="es-GT"/>
              </w:rPr>
              <w:t xml:space="preserve">baja o nula </w:t>
            </w:r>
            <w:r w:rsidR="00C870E7" w:rsidRPr="001A01AB">
              <w:rPr>
                <w:rFonts w:ascii="Calibri" w:hAnsi="Calibri" w:cs="Calibri"/>
                <w:sz w:val="20"/>
                <w:szCs w:val="22"/>
                <w:lang w:val="es-GT"/>
              </w:rPr>
              <w:t>infraestructura productiva,</w:t>
            </w:r>
            <w:r>
              <w:rPr>
                <w:rFonts w:ascii="Calibri" w:hAnsi="Calibri" w:cs="Calibri"/>
                <w:sz w:val="20"/>
                <w:szCs w:val="22"/>
                <w:lang w:val="es-GT"/>
              </w:rPr>
              <w:t xml:space="preserve"> a</w:t>
            </w:r>
            <w:r w:rsidR="00C870E7" w:rsidRPr="001A01AB">
              <w:rPr>
                <w:rFonts w:ascii="Calibri" w:hAnsi="Calibri" w:cs="Calibri"/>
                <w:sz w:val="20"/>
                <w:szCs w:val="22"/>
                <w:lang w:val="es-GT"/>
              </w:rPr>
              <w:t xml:space="preserve"> la falta de tecnología en los procesos de producción y </w:t>
            </w:r>
            <w:r>
              <w:rPr>
                <w:rFonts w:ascii="Calibri" w:hAnsi="Calibri" w:cs="Calibri"/>
                <w:sz w:val="20"/>
                <w:szCs w:val="22"/>
                <w:lang w:val="es-GT"/>
              </w:rPr>
              <w:t xml:space="preserve">a la </w:t>
            </w:r>
            <w:r w:rsidR="00C870E7" w:rsidRPr="001A01AB">
              <w:rPr>
                <w:rFonts w:ascii="Calibri" w:hAnsi="Calibri" w:cs="Calibri"/>
                <w:sz w:val="20"/>
                <w:szCs w:val="22"/>
                <w:lang w:val="es-GT"/>
              </w:rPr>
              <w:t xml:space="preserve">práctica de sistemas de </w:t>
            </w:r>
            <w:r w:rsidR="00C870E7" w:rsidRPr="001A01AB">
              <w:rPr>
                <w:rFonts w:ascii="Calibri" w:hAnsi="Calibri" w:cs="Calibri"/>
                <w:sz w:val="20"/>
                <w:szCs w:val="22"/>
                <w:lang w:val="es-GT"/>
              </w:rPr>
              <w:lastRenderedPageBreak/>
              <w:t>producción insostenibles</w:t>
            </w:r>
            <w:r>
              <w:rPr>
                <w:rFonts w:ascii="Calibri" w:hAnsi="Calibri" w:cs="Calibri"/>
                <w:sz w:val="20"/>
                <w:szCs w:val="22"/>
                <w:lang w:val="es-GT"/>
              </w:rPr>
              <w:t>,</w:t>
            </w:r>
            <w:r w:rsidR="00C870E7" w:rsidRPr="001A01AB">
              <w:rPr>
                <w:rFonts w:ascii="Calibri" w:hAnsi="Calibri" w:cs="Calibri"/>
                <w:sz w:val="20"/>
                <w:szCs w:val="22"/>
                <w:lang w:val="es-GT"/>
              </w:rPr>
              <w:t xml:space="preserve"> impiden proyectar niveles aceptables de competitividad.</w:t>
            </w:r>
          </w:p>
          <w:p w:rsidR="00867AF0" w:rsidRPr="001A01AB" w:rsidRDefault="00867AF0"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 (cont</w:t>
            </w:r>
            <w:r w:rsidR="007C3972" w:rsidRPr="001A01AB">
              <w:rPr>
                <w:rFonts w:ascii="Calibri" w:hAnsi="Calibri" w:cs="Calibri"/>
                <w:b/>
                <w:color w:val="365F91"/>
                <w:sz w:val="20"/>
                <w:szCs w:val="22"/>
                <w:lang w:val="es-GT"/>
              </w:rPr>
              <w:t>inuación</w:t>
            </w:r>
            <w:r w:rsidRPr="001A01AB">
              <w:rPr>
                <w:rFonts w:ascii="Calibri" w:hAnsi="Calibri" w:cs="Calibri"/>
                <w:b/>
                <w:color w:val="365F91"/>
                <w:sz w:val="20"/>
                <w:szCs w:val="22"/>
                <w:lang w:val="es-GT"/>
              </w:rPr>
              <w:t>):</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37% </w:t>
            </w:r>
            <w:r w:rsidR="00C34A49">
              <w:rPr>
                <w:rFonts w:ascii="Calibri" w:hAnsi="Calibri" w:cs="Calibri"/>
                <w:sz w:val="20"/>
                <w:szCs w:val="22"/>
                <w:lang w:val="es-GT"/>
              </w:rPr>
              <w:t xml:space="preserve">de la </w:t>
            </w:r>
            <w:r w:rsidRPr="001A01AB">
              <w:rPr>
                <w:rFonts w:ascii="Calibri" w:hAnsi="Calibri" w:cs="Calibri"/>
                <w:sz w:val="20"/>
                <w:szCs w:val="22"/>
                <w:lang w:val="es-GT"/>
              </w:rPr>
              <w:t>población del área rural (480,000 familias aproxim</w:t>
            </w:r>
            <w:r w:rsidR="00867AF0" w:rsidRPr="001A01AB">
              <w:rPr>
                <w:rFonts w:ascii="Calibri" w:hAnsi="Calibri" w:cs="Calibri"/>
                <w:sz w:val="20"/>
                <w:szCs w:val="22"/>
                <w:lang w:val="es-GT"/>
              </w:rPr>
              <w:t xml:space="preserve">adamente) no posee tierra, </w:t>
            </w:r>
            <w:r w:rsidR="00C34A49">
              <w:rPr>
                <w:rFonts w:ascii="Calibri" w:hAnsi="Calibri" w:cs="Calibri"/>
                <w:sz w:val="20"/>
                <w:szCs w:val="22"/>
                <w:lang w:val="es-GT"/>
              </w:rPr>
              <w:t>lo cual la</w:t>
            </w:r>
            <w:r w:rsidRPr="001A01AB">
              <w:rPr>
                <w:rFonts w:ascii="Calibri" w:hAnsi="Calibri" w:cs="Calibri"/>
                <w:sz w:val="20"/>
                <w:szCs w:val="22"/>
                <w:lang w:val="es-GT"/>
              </w:rPr>
              <w:t xml:space="preserve"> exclu</w:t>
            </w:r>
            <w:r w:rsidR="00867AF0" w:rsidRPr="001A01AB">
              <w:rPr>
                <w:rFonts w:ascii="Calibri" w:hAnsi="Calibri" w:cs="Calibri"/>
                <w:sz w:val="20"/>
                <w:szCs w:val="22"/>
                <w:lang w:val="es-GT"/>
              </w:rPr>
              <w:t xml:space="preserve">ye </w:t>
            </w:r>
            <w:r w:rsidRPr="001A01AB">
              <w:rPr>
                <w:rFonts w:ascii="Calibri" w:hAnsi="Calibri" w:cs="Calibri"/>
                <w:sz w:val="20"/>
                <w:szCs w:val="22"/>
                <w:lang w:val="es-GT"/>
              </w:rPr>
              <w:t>de las oportunidades de desarrollo desde el modelo de la economía campesina.</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28.5% de la población rural posee menos de una manzana de terreno, 14% posee entr</w:t>
            </w:r>
            <w:r w:rsidR="00C34A49">
              <w:rPr>
                <w:rFonts w:ascii="Calibri" w:hAnsi="Calibri" w:cs="Calibri"/>
                <w:sz w:val="20"/>
                <w:szCs w:val="22"/>
                <w:lang w:val="es-GT"/>
              </w:rPr>
              <w:t>e una y dos manzanas de terreno,</w:t>
            </w:r>
            <w:r w:rsidRPr="001A01AB">
              <w:rPr>
                <w:rFonts w:ascii="Calibri" w:hAnsi="Calibri" w:cs="Calibri"/>
                <w:sz w:val="20"/>
                <w:szCs w:val="22"/>
                <w:lang w:val="es-GT"/>
              </w:rPr>
              <w:t xml:space="preserve"> 15.5</w:t>
            </w:r>
            <w:r w:rsidR="00C34A49">
              <w:rPr>
                <w:rFonts w:ascii="Calibri" w:hAnsi="Calibri" w:cs="Calibri"/>
                <w:sz w:val="20"/>
                <w:szCs w:val="22"/>
                <w:lang w:val="es-GT"/>
              </w:rPr>
              <w:t>% posee entre dos y 10 manzanas,</w:t>
            </w:r>
            <w:r w:rsidRPr="001A01AB">
              <w:rPr>
                <w:rFonts w:ascii="Calibri" w:hAnsi="Calibri" w:cs="Calibri"/>
                <w:sz w:val="20"/>
                <w:szCs w:val="22"/>
                <w:lang w:val="es-GT"/>
              </w:rPr>
              <w:t xml:space="preserve"> </w:t>
            </w:r>
            <w:r w:rsidR="00C34A49">
              <w:rPr>
                <w:rFonts w:ascii="Calibri" w:hAnsi="Calibri" w:cs="Calibri"/>
                <w:sz w:val="20"/>
                <w:szCs w:val="22"/>
                <w:lang w:val="es-GT"/>
              </w:rPr>
              <w:t xml:space="preserve">y </w:t>
            </w:r>
            <w:r w:rsidRPr="001A01AB">
              <w:rPr>
                <w:rFonts w:ascii="Calibri" w:hAnsi="Calibri" w:cs="Calibri"/>
                <w:sz w:val="20"/>
                <w:szCs w:val="22"/>
                <w:lang w:val="es-GT"/>
              </w:rPr>
              <w:t>3.5% son productores excedentarios.</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Altos índices de analfabetismo y pobreza en condiciones extremas.</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modelo de productividad da pocas oportunidades al agricultor de subsistencia para su desarrollo, principalmente porque las políticas públicas y de cooperación no los abordan correcta</w:t>
            </w:r>
            <w:r w:rsidR="00867AF0" w:rsidRPr="001A01AB">
              <w:rPr>
                <w:rFonts w:ascii="Calibri" w:hAnsi="Calibri" w:cs="Calibri"/>
                <w:sz w:val="20"/>
                <w:szCs w:val="22"/>
                <w:lang w:val="es-GT"/>
              </w:rPr>
              <w:t>mente</w:t>
            </w:r>
            <w:r w:rsidRPr="001A01AB">
              <w:rPr>
                <w:rFonts w:ascii="Calibri" w:hAnsi="Calibri" w:cs="Calibri"/>
                <w:sz w:val="20"/>
                <w:szCs w:val="22"/>
                <w:lang w:val="es-GT"/>
              </w:rPr>
              <w:t>.</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mayor parte de las tierras en sobreuso </w:t>
            </w:r>
            <w:r w:rsidR="00837B7C">
              <w:rPr>
                <w:rFonts w:ascii="Calibri" w:hAnsi="Calibri" w:cs="Calibri"/>
                <w:sz w:val="20"/>
                <w:szCs w:val="22"/>
                <w:lang w:val="es-GT"/>
              </w:rPr>
              <w:t>tienen</w:t>
            </w:r>
            <w:r w:rsidRPr="001A01AB">
              <w:rPr>
                <w:rFonts w:ascii="Calibri" w:hAnsi="Calibri" w:cs="Calibri"/>
                <w:sz w:val="20"/>
                <w:szCs w:val="22"/>
                <w:lang w:val="es-GT"/>
              </w:rPr>
              <w:t xml:space="preserve"> capacidad de uso forestal productivo o de protección y están dedicadas a la producción de cultivos agrícolas tradicionales, fundamentalmente granos básicos.</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Satisfacer los requerimientos de leña del 95.3% de la población rural, debería considerarse como una alternativa innovadora para atender este tema, invisible en las políticas públicas sectoriales.</w:t>
            </w:r>
          </w:p>
          <w:p w:rsidR="00C870E7" w:rsidRPr="001A01AB" w:rsidRDefault="00837B7C"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Existen conflictos ocasionados por</w:t>
            </w:r>
            <w:r w:rsidR="00C870E7" w:rsidRPr="001A01AB">
              <w:rPr>
                <w:rFonts w:ascii="Calibri" w:hAnsi="Calibri" w:cs="Calibri"/>
                <w:sz w:val="20"/>
                <w:szCs w:val="22"/>
                <w:lang w:val="es-GT"/>
              </w:rPr>
              <w:t xml:space="preserve"> la falta de acceso a fuentes seguras de agua potable, principalmente en el área rural, donde el 24.73% de los hogares al año 2011 no posee servicio de agua potable.</w:t>
            </w:r>
          </w:p>
          <w:p w:rsidR="00C870E7" w:rsidRPr="001A01AB" w:rsidRDefault="00837B7C"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w:t>
            </w:r>
            <w:r w:rsidR="00C870E7" w:rsidRPr="001A01AB">
              <w:rPr>
                <w:rFonts w:ascii="Calibri" w:hAnsi="Calibri" w:cs="Calibri"/>
                <w:sz w:val="20"/>
                <w:szCs w:val="22"/>
                <w:lang w:val="es-GT"/>
              </w:rPr>
              <w:t>levados índices de contaminación del recurso hídrico.</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No existen suficientes proyectos y sistemas de riego al alcance de los agricultores de infrasubsistencia y subsistencia.</w:t>
            </w:r>
          </w:p>
        </w:tc>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w:t>
            </w:r>
          </w:p>
          <w:p w:rsidR="0018731B" w:rsidRPr="001A01AB" w:rsidRDefault="00C34A4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H</w:t>
            </w:r>
            <w:r w:rsidRPr="001A01AB">
              <w:rPr>
                <w:rFonts w:ascii="Calibri" w:hAnsi="Calibri" w:cs="Calibri"/>
                <w:sz w:val="20"/>
                <w:szCs w:val="22"/>
                <w:lang w:val="es-GT"/>
              </w:rPr>
              <w:t>istóricamente</w:t>
            </w:r>
            <w:r>
              <w:rPr>
                <w:rFonts w:ascii="Calibri" w:hAnsi="Calibri" w:cs="Calibri"/>
                <w:sz w:val="20"/>
                <w:szCs w:val="22"/>
                <w:lang w:val="es-GT"/>
              </w:rPr>
              <w:t>,</w:t>
            </w:r>
            <w:r w:rsidRPr="001A01AB">
              <w:rPr>
                <w:rFonts w:ascii="Calibri" w:hAnsi="Calibri" w:cs="Calibri"/>
                <w:sz w:val="20"/>
                <w:szCs w:val="22"/>
                <w:lang w:val="es-GT"/>
              </w:rPr>
              <w:t xml:space="preserve"> </w:t>
            </w:r>
            <w:r>
              <w:rPr>
                <w:rFonts w:ascii="Calibri" w:hAnsi="Calibri" w:cs="Calibri"/>
                <w:sz w:val="20"/>
                <w:szCs w:val="22"/>
                <w:lang w:val="es-GT"/>
              </w:rPr>
              <w:t>l</w:t>
            </w:r>
            <w:r w:rsidR="0018731B" w:rsidRPr="001A01AB">
              <w:rPr>
                <w:rFonts w:ascii="Calibri" w:hAnsi="Calibri" w:cs="Calibri"/>
                <w:sz w:val="20"/>
                <w:szCs w:val="22"/>
                <w:lang w:val="es-GT"/>
              </w:rPr>
              <w:t xml:space="preserve">os caminos han demostrado ser un agente asociado </w:t>
            </w:r>
            <w:r>
              <w:rPr>
                <w:rFonts w:ascii="Calibri" w:hAnsi="Calibri" w:cs="Calibri"/>
                <w:sz w:val="20"/>
                <w:szCs w:val="22"/>
                <w:lang w:val="es-GT"/>
              </w:rPr>
              <w:t>a</w:t>
            </w:r>
            <w:r w:rsidR="0018731B" w:rsidRPr="001A01AB">
              <w:rPr>
                <w:rFonts w:ascii="Calibri" w:hAnsi="Calibri" w:cs="Calibri"/>
                <w:sz w:val="20"/>
                <w:szCs w:val="22"/>
                <w:lang w:val="es-GT"/>
              </w:rPr>
              <w:t xml:space="preserve"> la deforestación, </w:t>
            </w:r>
            <w:r>
              <w:rPr>
                <w:rFonts w:ascii="Calibri" w:hAnsi="Calibri" w:cs="Calibri"/>
                <w:sz w:val="20"/>
                <w:szCs w:val="22"/>
                <w:lang w:val="es-GT"/>
              </w:rPr>
              <w:t>pues</w:t>
            </w:r>
            <w:r w:rsidR="0018731B" w:rsidRPr="001A01AB">
              <w:rPr>
                <w:rFonts w:ascii="Calibri" w:hAnsi="Calibri" w:cs="Calibri"/>
                <w:sz w:val="20"/>
                <w:szCs w:val="22"/>
                <w:lang w:val="es-GT"/>
              </w:rPr>
              <w:t xml:space="preserve"> facilita</w:t>
            </w:r>
            <w:r>
              <w:rPr>
                <w:rFonts w:ascii="Calibri" w:hAnsi="Calibri" w:cs="Calibri"/>
                <w:sz w:val="20"/>
                <w:szCs w:val="22"/>
                <w:lang w:val="es-GT"/>
              </w:rPr>
              <w:t>n</w:t>
            </w:r>
            <w:r w:rsidR="0018731B" w:rsidRPr="001A01AB">
              <w:rPr>
                <w:rFonts w:ascii="Calibri" w:hAnsi="Calibri" w:cs="Calibri"/>
                <w:sz w:val="20"/>
                <w:szCs w:val="22"/>
                <w:lang w:val="es-GT"/>
              </w:rPr>
              <w:t xml:space="preserve"> el acceso a áreas forestales, ejerciendo presión poblacional sobre las mismas.</w:t>
            </w:r>
          </w:p>
          <w:p w:rsidR="0018731B" w:rsidRPr="001A01AB" w:rsidRDefault="0018731B"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introducción de caminos rurales tiene el potencial de generar deslizamientos, erosión de los suelos y asolvamiento de ríos y cuerpos de agua, principalmente en terrenos de topografía escarpada, si no se hacen consideraciones pertinentes de diseño.</w:t>
            </w:r>
          </w:p>
          <w:p w:rsidR="00C870E7" w:rsidRPr="001A01AB" w:rsidRDefault="00C34A4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 conversión de tierras con bosque</w:t>
            </w:r>
            <w:r w:rsidR="0018731B" w:rsidRPr="001A01AB">
              <w:rPr>
                <w:rFonts w:ascii="Calibri" w:hAnsi="Calibri" w:cs="Calibri"/>
                <w:sz w:val="20"/>
                <w:szCs w:val="22"/>
                <w:lang w:val="es-GT"/>
              </w:rPr>
              <w:t xml:space="preserve"> a agricultura migratoria, dentro y fuera de las áreas protegidas</w:t>
            </w:r>
            <w:r>
              <w:rPr>
                <w:rFonts w:ascii="Calibri" w:hAnsi="Calibri" w:cs="Calibri"/>
                <w:sz w:val="20"/>
                <w:szCs w:val="22"/>
                <w:lang w:val="es-GT"/>
              </w:rPr>
              <w:t>,</w:t>
            </w:r>
            <w:r w:rsidR="0018731B" w:rsidRPr="001A01AB">
              <w:rPr>
                <w:rFonts w:ascii="Calibri" w:hAnsi="Calibri" w:cs="Calibri"/>
                <w:sz w:val="20"/>
                <w:szCs w:val="22"/>
                <w:lang w:val="es-GT"/>
              </w:rPr>
              <w:t xml:space="preserve"> va en aumento.</w:t>
            </w:r>
          </w:p>
          <w:p w:rsidR="00C870E7" w:rsidRPr="001A01AB" w:rsidRDefault="00C34A49"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P</w:t>
            </w:r>
            <w:r w:rsidR="00C870E7" w:rsidRPr="001A01AB">
              <w:rPr>
                <w:rFonts w:ascii="Calibri" w:hAnsi="Calibri" w:cs="Calibri"/>
                <w:sz w:val="20"/>
                <w:szCs w:val="22"/>
                <w:lang w:val="es-GT"/>
              </w:rPr>
              <w:t>ermanente reducci</w:t>
            </w:r>
            <w:r>
              <w:rPr>
                <w:rFonts w:ascii="Calibri" w:hAnsi="Calibri" w:cs="Calibri"/>
                <w:sz w:val="20"/>
                <w:szCs w:val="22"/>
                <w:lang w:val="es-GT"/>
              </w:rPr>
              <w:t>ón del tamaño de las fincas y</w:t>
            </w:r>
            <w:r w:rsidR="00C870E7" w:rsidRPr="001A01AB">
              <w:rPr>
                <w:rFonts w:ascii="Calibri" w:hAnsi="Calibri" w:cs="Calibri"/>
                <w:sz w:val="20"/>
                <w:szCs w:val="22"/>
                <w:lang w:val="es-GT"/>
              </w:rPr>
              <w:t xml:space="preserve"> aumento del número de propietarios de las mismas (menos de 10 mz).</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capital natural se está reduciendo con el paso del tiempo, socavando la base de la riqueza del país, que es vital para el desarrollo futuro.</w:t>
            </w:r>
          </w:p>
          <w:p w:rsidR="00867AF0" w:rsidRPr="001A01AB" w:rsidRDefault="00867AF0" w:rsidP="001A01AB">
            <w:pPr>
              <w:autoSpaceDE w:val="0"/>
              <w:autoSpaceDN w:val="0"/>
              <w:adjustRightInd w:val="0"/>
              <w:spacing w:before="40" w:after="40"/>
              <w:jc w:val="both"/>
              <w:rPr>
                <w:rFonts w:ascii="Calibri" w:hAnsi="Calibri" w:cs="Calibri"/>
                <w:sz w:val="20"/>
                <w:szCs w:val="22"/>
                <w:lang w:val="es-GT"/>
              </w:rPr>
            </w:pPr>
          </w:p>
          <w:p w:rsidR="00867AF0" w:rsidRPr="001A01AB" w:rsidRDefault="00867AF0"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 (cont</w:t>
            </w:r>
            <w:r w:rsidR="007C3972" w:rsidRPr="001A01AB">
              <w:rPr>
                <w:rFonts w:ascii="Calibri" w:hAnsi="Calibri" w:cs="Calibri"/>
                <w:b/>
                <w:color w:val="365F91"/>
                <w:sz w:val="20"/>
                <w:szCs w:val="22"/>
                <w:lang w:val="es-GT"/>
              </w:rPr>
              <w:t>inuación</w:t>
            </w:r>
            <w:r w:rsidRPr="001A01AB">
              <w:rPr>
                <w:rFonts w:ascii="Calibri" w:hAnsi="Calibri" w:cs="Calibri"/>
                <w:b/>
                <w:color w:val="365F91"/>
                <w:sz w:val="20"/>
                <w:szCs w:val="22"/>
                <w:lang w:val="es-GT"/>
              </w:rPr>
              <w:t>):</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Los sistemas productivos basados en el uso intensivo, extractivo e insostenible del patrimonio natural, han incrementado su degradación y desvalorización, </w:t>
            </w:r>
            <w:r w:rsidR="009945E2">
              <w:rPr>
                <w:rFonts w:ascii="Calibri" w:hAnsi="Calibri" w:cs="Calibri"/>
                <w:sz w:val="20"/>
                <w:szCs w:val="22"/>
                <w:lang w:val="es-GT"/>
              </w:rPr>
              <w:t>lo cual favorece</w:t>
            </w:r>
            <w:r w:rsidRPr="001A01AB">
              <w:rPr>
                <w:rFonts w:ascii="Calibri" w:hAnsi="Calibri" w:cs="Calibri"/>
                <w:sz w:val="20"/>
                <w:szCs w:val="22"/>
                <w:lang w:val="es-GT"/>
              </w:rPr>
              <w:t xml:space="preserve"> los conflictos sociales, la vulnerabilidad territorial y ambiental, el deterioro de la salud humana, </w:t>
            </w:r>
            <w:r w:rsidR="009945E2">
              <w:rPr>
                <w:rFonts w:ascii="Calibri" w:hAnsi="Calibri" w:cs="Calibri"/>
                <w:sz w:val="20"/>
                <w:szCs w:val="22"/>
                <w:lang w:val="es-GT"/>
              </w:rPr>
              <w:t xml:space="preserve">y </w:t>
            </w:r>
            <w:r w:rsidRPr="001A01AB">
              <w:rPr>
                <w:rFonts w:ascii="Calibri" w:hAnsi="Calibri" w:cs="Calibri"/>
                <w:sz w:val="20"/>
                <w:szCs w:val="22"/>
                <w:lang w:val="es-GT"/>
              </w:rPr>
              <w:t>la disminución de la productividad y del ingreso.</w:t>
            </w:r>
          </w:p>
          <w:p w:rsidR="00C870E7" w:rsidRPr="001A01AB" w:rsidRDefault="0018731B"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Erosión potencial de 48 millones de toneladas de suelo al año debido a las lluvias por sobreuso del suelo (24%).</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modelos de producción excedentarios requieren de mayores cantidades de insumos y de mano de obra. Generan impactos a los recursos</w:t>
            </w:r>
            <w:r w:rsidR="009945E2">
              <w:rPr>
                <w:rFonts w:ascii="Calibri" w:hAnsi="Calibri" w:cs="Calibri"/>
                <w:sz w:val="20"/>
                <w:szCs w:val="22"/>
                <w:lang w:val="es-GT"/>
              </w:rPr>
              <w:t>,</w:t>
            </w:r>
            <w:r w:rsidRPr="001A01AB">
              <w:rPr>
                <w:rFonts w:ascii="Calibri" w:hAnsi="Calibri" w:cs="Calibri"/>
                <w:sz w:val="20"/>
                <w:szCs w:val="22"/>
                <w:lang w:val="es-GT"/>
              </w:rPr>
              <w:t xml:space="preserve"> como la contaminación de ríos y fuentes de agua por </w:t>
            </w:r>
            <w:r w:rsidR="007C3972" w:rsidRPr="001A01AB">
              <w:rPr>
                <w:rFonts w:ascii="Calibri" w:hAnsi="Calibri" w:cs="Calibri"/>
                <w:sz w:val="20"/>
                <w:szCs w:val="22"/>
                <w:lang w:val="es-GT"/>
              </w:rPr>
              <w:t>agro insumos</w:t>
            </w:r>
            <w:r w:rsidRPr="001A01AB">
              <w:rPr>
                <w:rFonts w:ascii="Calibri" w:hAnsi="Calibri" w:cs="Calibri"/>
                <w:sz w:val="20"/>
                <w:szCs w:val="22"/>
                <w:lang w:val="es-GT"/>
              </w:rPr>
              <w:t>.</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Dependen</w:t>
            </w:r>
            <w:r w:rsidR="009945E2">
              <w:rPr>
                <w:rFonts w:ascii="Calibri" w:hAnsi="Calibri" w:cs="Calibri"/>
                <w:sz w:val="20"/>
                <w:szCs w:val="22"/>
                <w:lang w:val="es-GT"/>
              </w:rPr>
              <w:t xml:space="preserve">cia </w:t>
            </w:r>
            <w:r w:rsidRPr="001A01AB">
              <w:rPr>
                <w:rFonts w:ascii="Calibri" w:hAnsi="Calibri" w:cs="Calibri"/>
                <w:sz w:val="20"/>
                <w:szCs w:val="22"/>
                <w:lang w:val="es-GT"/>
              </w:rPr>
              <w:t>de los recursos provenientes de la naturaleza (leña, agua, medicinas).</w:t>
            </w:r>
          </w:p>
          <w:p w:rsidR="00C870E7" w:rsidRPr="001A01AB" w:rsidRDefault="00994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 i</w:t>
            </w:r>
            <w:r w:rsidR="00C870E7" w:rsidRPr="001A01AB">
              <w:rPr>
                <w:rFonts w:ascii="Calibri" w:hAnsi="Calibri" w:cs="Calibri"/>
                <w:sz w:val="20"/>
                <w:szCs w:val="22"/>
                <w:lang w:val="es-GT"/>
              </w:rPr>
              <w:t xml:space="preserve">ncidencia </w:t>
            </w:r>
            <w:r>
              <w:rPr>
                <w:rFonts w:ascii="Calibri" w:hAnsi="Calibri" w:cs="Calibri"/>
                <w:sz w:val="20"/>
                <w:szCs w:val="22"/>
                <w:lang w:val="es-GT"/>
              </w:rPr>
              <w:t>de</w:t>
            </w:r>
            <w:r w:rsidR="00C870E7" w:rsidRPr="001A01AB">
              <w:rPr>
                <w:rFonts w:ascii="Calibri" w:hAnsi="Calibri" w:cs="Calibri"/>
                <w:sz w:val="20"/>
                <w:szCs w:val="22"/>
                <w:lang w:val="es-GT"/>
              </w:rPr>
              <w:t xml:space="preserve"> incendios forestales provocados va en aumento.</w:t>
            </w:r>
          </w:p>
          <w:p w:rsidR="00C870E7" w:rsidRPr="001A01AB" w:rsidRDefault="00C870E7"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Alta fragilidad ambiental durante los eventos </w:t>
            </w:r>
            <w:r w:rsidR="009945E2">
              <w:rPr>
                <w:rFonts w:ascii="Calibri" w:hAnsi="Calibri" w:cs="Calibri"/>
                <w:sz w:val="20"/>
                <w:szCs w:val="22"/>
                <w:lang w:val="es-GT"/>
              </w:rPr>
              <w:t>extremos de inundaciones y sequí</w:t>
            </w:r>
            <w:r w:rsidRPr="001A01AB">
              <w:rPr>
                <w:rFonts w:ascii="Calibri" w:hAnsi="Calibri" w:cs="Calibri"/>
                <w:sz w:val="20"/>
                <w:szCs w:val="22"/>
                <w:lang w:val="es-GT"/>
              </w:rPr>
              <w:t>as.</w:t>
            </w:r>
          </w:p>
          <w:p w:rsidR="00C870E7" w:rsidRPr="001A01AB" w:rsidRDefault="0018731B" w:rsidP="009945E2">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Al menos 14 ríos principales y cuatro lagos pres</w:t>
            </w:r>
            <w:r w:rsidR="009945E2">
              <w:rPr>
                <w:rFonts w:ascii="Calibri" w:hAnsi="Calibri" w:cs="Calibri"/>
                <w:sz w:val="20"/>
                <w:szCs w:val="22"/>
                <w:lang w:val="es-GT"/>
              </w:rPr>
              <w:t>entan altos niveles</w:t>
            </w:r>
            <w:r w:rsidRPr="001A01AB">
              <w:rPr>
                <w:rFonts w:ascii="Calibri" w:hAnsi="Calibri" w:cs="Calibri"/>
                <w:sz w:val="20"/>
                <w:szCs w:val="22"/>
                <w:lang w:val="es-GT"/>
              </w:rPr>
              <w:t xml:space="preserve"> de contaminantes físicos, materia orgánica, microorganismos, conta</w:t>
            </w:r>
            <w:r w:rsidR="00C870E7" w:rsidRPr="001A01AB">
              <w:rPr>
                <w:rFonts w:ascii="Calibri" w:hAnsi="Calibri" w:cs="Calibri"/>
                <w:sz w:val="20"/>
                <w:szCs w:val="22"/>
                <w:lang w:val="es-GT"/>
              </w:rPr>
              <w:t>minantes tóxicos y materiales cancerígenos</w:t>
            </w:r>
            <w:r w:rsidR="009945E2">
              <w:rPr>
                <w:rFonts w:ascii="Calibri" w:hAnsi="Calibri" w:cs="Calibri"/>
                <w:sz w:val="20"/>
                <w:szCs w:val="22"/>
                <w:lang w:val="es-GT"/>
              </w:rPr>
              <w:t>;</w:t>
            </w:r>
            <w:r w:rsidR="00C870E7" w:rsidRPr="001A01AB">
              <w:rPr>
                <w:rFonts w:ascii="Calibri" w:hAnsi="Calibri" w:cs="Calibri"/>
                <w:sz w:val="20"/>
                <w:szCs w:val="22"/>
                <w:lang w:val="es-GT"/>
              </w:rPr>
              <w:t xml:space="preserve"> lo </w:t>
            </w:r>
            <w:r w:rsidR="009945E2">
              <w:rPr>
                <w:rFonts w:ascii="Calibri" w:hAnsi="Calibri" w:cs="Calibri"/>
                <w:sz w:val="20"/>
                <w:szCs w:val="22"/>
                <w:lang w:val="es-GT"/>
              </w:rPr>
              <w:t>cual</w:t>
            </w:r>
            <w:r w:rsidR="00C870E7" w:rsidRPr="001A01AB">
              <w:rPr>
                <w:rFonts w:ascii="Calibri" w:hAnsi="Calibri" w:cs="Calibri"/>
                <w:sz w:val="20"/>
                <w:szCs w:val="22"/>
                <w:lang w:val="es-GT"/>
              </w:rPr>
              <w:t xml:space="preserve"> implica riesgos importantes para consumo </w:t>
            </w:r>
            <w:r w:rsidR="009945E2">
              <w:rPr>
                <w:rFonts w:ascii="Calibri" w:hAnsi="Calibri" w:cs="Calibri"/>
                <w:sz w:val="20"/>
                <w:szCs w:val="22"/>
                <w:lang w:val="es-GT"/>
              </w:rPr>
              <w:t xml:space="preserve">el </w:t>
            </w:r>
            <w:r w:rsidR="00C870E7" w:rsidRPr="001A01AB">
              <w:rPr>
                <w:rFonts w:ascii="Calibri" w:hAnsi="Calibri" w:cs="Calibri"/>
                <w:sz w:val="20"/>
                <w:szCs w:val="22"/>
                <w:lang w:val="es-GT"/>
              </w:rPr>
              <w:t>humano y riego.</w:t>
            </w:r>
          </w:p>
        </w:tc>
      </w:tr>
    </w:tbl>
    <w:p w:rsidR="00E31B19" w:rsidRPr="001A01AB" w:rsidRDefault="00E31B19" w:rsidP="00E31B19">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9576"/>
      </w:tblGrid>
      <w:tr w:rsidR="00E31B19" w:rsidRPr="000364C9" w:rsidTr="001A01AB">
        <w:trPr>
          <w:jc w:val="center"/>
        </w:trPr>
        <w:tc>
          <w:tcPr>
            <w:tcW w:w="9576" w:type="dxa"/>
            <w:shd w:val="clear" w:color="auto" w:fill="auto"/>
          </w:tcPr>
          <w:p w:rsidR="00E31B19" w:rsidRDefault="00E31B19" w:rsidP="001A01AB">
            <w:pPr>
              <w:autoSpaceDE w:val="0"/>
              <w:autoSpaceDN w:val="0"/>
              <w:adjustRightInd w:val="0"/>
              <w:spacing w:after="60"/>
              <w:jc w:val="both"/>
              <w:rPr>
                <w:rFonts w:ascii="Calibri" w:hAnsi="Calibri" w:cs="Calibri"/>
                <w:b/>
                <w:color w:val="365F91"/>
                <w:sz w:val="22"/>
                <w:szCs w:val="22"/>
                <w:lang w:val="es-GT"/>
              </w:rPr>
            </w:pPr>
            <w:r w:rsidRPr="001A01AB">
              <w:rPr>
                <w:rFonts w:ascii="Calibri" w:hAnsi="Calibri" w:cs="Calibri"/>
                <w:b/>
                <w:color w:val="365F91"/>
                <w:sz w:val="22"/>
                <w:szCs w:val="22"/>
                <w:lang w:val="es-GT"/>
              </w:rPr>
              <w:t>Tendencias (basadas en un escenario de tipo tendencial)</w:t>
            </w:r>
          </w:p>
          <w:p w:rsidR="004E6953" w:rsidRPr="001A01AB" w:rsidRDefault="004E6953" w:rsidP="001A01AB">
            <w:pPr>
              <w:autoSpaceDE w:val="0"/>
              <w:autoSpaceDN w:val="0"/>
              <w:adjustRightInd w:val="0"/>
              <w:spacing w:after="60"/>
              <w:jc w:val="both"/>
              <w:rPr>
                <w:rFonts w:ascii="Calibri" w:hAnsi="Calibri" w:cs="Calibri"/>
                <w:b/>
                <w:color w:val="365F91"/>
                <w:sz w:val="22"/>
                <w:szCs w:val="22"/>
                <w:lang w:val="es-GT"/>
              </w:rPr>
            </w:pPr>
          </w:p>
          <w:p w:rsidR="00867AF0"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Una alarmante tendencia creciente de</w:t>
            </w:r>
            <w:r w:rsidR="00867AF0" w:rsidRPr="001A01AB">
              <w:rPr>
                <w:rFonts w:cs="Calibri"/>
              </w:rPr>
              <w:t xml:space="preserve"> la tasa de defores</w:t>
            </w:r>
            <w:r w:rsidR="009945E2">
              <w:rPr>
                <w:rFonts w:cs="Calibri"/>
              </w:rPr>
              <w:t xml:space="preserve">tación anual, que se espera </w:t>
            </w:r>
            <w:r w:rsidR="00867AF0" w:rsidRPr="001A01AB">
              <w:rPr>
                <w:rFonts w:cs="Calibri"/>
              </w:rPr>
              <w:t>se mantenga a corto y mediano plazo.</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 xml:space="preserve">La regeneración natural de bosques se ha mantenido como un factor importante de la recuperación de la cobertura forestal, pero esta tendencia no se considera permanente al no estar soportada por una política institucional. </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 xml:space="preserve">Si no hay evolución institucional en el manejo del SIGAP, la gestión en </w:t>
            </w:r>
            <w:r w:rsidR="007C3972" w:rsidRPr="001A01AB">
              <w:rPr>
                <w:rFonts w:cs="Calibri"/>
              </w:rPr>
              <w:t xml:space="preserve">áreas protegidas </w:t>
            </w:r>
            <w:r w:rsidRPr="001A01AB">
              <w:rPr>
                <w:rFonts w:cs="Calibri"/>
              </w:rPr>
              <w:t xml:space="preserve">fracasará, debido a invasiones y al avance de </w:t>
            </w:r>
            <w:r w:rsidR="009945E2">
              <w:rPr>
                <w:rFonts w:cs="Calibri"/>
              </w:rPr>
              <w:t xml:space="preserve">la </w:t>
            </w:r>
            <w:r w:rsidRPr="001A01AB">
              <w:rPr>
                <w:rFonts w:cs="Calibri"/>
              </w:rPr>
              <w:t>frontera agrícola y narcoactividad.</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 xml:space="preserve">La agricultura anual y </w:t>
            </w:r>
            <w:r w:rsidR="009945E2">
              <w:rPr>
                <w:rFonts w:cs="Calibri"/>
              </w:rPr>
              <w:t>los</w:t>
            </w:r>
            <w:r w:rsidRPr="001A01AB">
              <w:rPr>
                <w:rFonts w:cs="Calibri"/>
              </w:rPr>
              <w:t xml:space="preserve"> cultivos de subsistencia </w:t>
            </w:r>
            <w:r w:rsidR="009945E2">
              <w:rPr>
                <w:rFonts w:cs="Calibri"/>
              </w:rPr>
              <w:t>tienden</w:t>
            </w:r>
            <w:r w:rsidRPr="001A01AB">
              <w:rPr>
                <w:rFonts w:cs="Calibri"/>
              </w:rPr>
              <w:t xml:space="preserve"> a expandirse hacia tierras marginales para la agricultura. </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El área bajo manejo forestal sostenible se ha reducido de 22,060 en 2006 a 7,782 ha en 2010.</w:t>
            </w:r>
          </w:p>
          <w:p w:rsidR="00867AF0"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lastRenderedPageBreak/>
              <w:t>La deforestación provoca una tendencia a la disminución de la cobertura vegetal en TFCRH.</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 xml:space="preserve">La </w:t>
            </w:r>
            <w:r w:rsidR="009945E2">
              <w:rPr>
                <w:rFonts w:cs="Calibri"/>
              </w:rPr>
              <w:t>tendiente</w:t>
            </w:r>
            <w:r w:rsidRPr="001A01AB">
              <w:rPr>
                <w:rFonts w:cs="Calibri"/>
              </w:rPr>
              <w:t xml:space="preserve"> red</w:t>
            </w:r>
            <w:r w:rsidR="009945E2">
              <w:rPr>
                <w:rFonts w:cs="Calibri"/>
              </w:rPr>
              <w:t>ucción de la cobertura forestal</w:t>
            </w:r>
            <w:r w:rsidRPr="001A01AB">
              <w:rPr>
                <w:rFonts w:cs="Calibri"/>
              </w:rPr>
              <w:t xml:space="preserve"> provoca el aumento de las tierras en condiciones de sobreuso, especialmente en zonas de ladera.</w:t>
            </w:r>
            <w:r w:rsidR="00141A70">
              <w:rPr>
                <w:rFonts w:cs="Calibri"/>
              </w:rPr>
              <w:t xml:space="preserve"> </w:t>
            </w:r>
            <w:r w:rsidRPr="001A01AB">
              <w:rPr>
                <w:rFonts w:cs="Calibri"/>
              </w:rPr>
              <w:t xml:space="preserve">Esto </w:t>
            </w:r>
            <w:r w:rsidR="009945E2">
              <w:rPr>
                <w:rFonts w:cs="Calibri"/>
              </w:rPr>
              <w:t xml:space="preserve">ocasiona </w:t>
            </w:r>
            <w:r w:rsidRPr="001A01AB">
              <w:rPr>
                <w:rFonts w:cs="Calibri"/>
              </w:rPr>
              <w:t>u</w:t>
            </w:r>
            <w:r w:rsidR="009945E2">
              <w:rPr>
                <w:rFonts w:cs="Calibri"/>
              </w:rPr>
              <w:t>na marcada tendencia hacia la pé</w:t>
            </w:r>
            <w:r w:rsidRPr="001A01AB">
              <w:rPr>
                <w:rFonts w:cs="Calibri"/>
              </w:rPr>
              <w:t>rdida de la fertilidad de los suelos, la cual se incrementará de no reducirse esta tendencia.</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El programa PINPEP es un instrumento que fortalecerá la productividad campesina rural para poseedores incorporando a los sistemas agroforestales como agroecosistemas productivos.</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El aumento de la población influirá en el crecimiento constante de la demanda de agua.</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Existe una clara tendencia hacia el incremento de la contaminación del agua como un hecho irreversible.</w:t>
            </w:r>
          </w:p>
          <w:p w:rsidR="00C870E7" w:rsidRPr="001A01AB" w:rsidRDefault="009945E2" w:rsidP="004E6953">
            <w:pPr>
              <w:pStyle w:val="Prrafodelista"/>
              <w:numPr>
                <w:ilvl w:val="0"/>
                <w:numId w:val="28"/>
              </w:numPr>
              <w:autoSpaceDE w:val="0"/>
              <w:autoSpaceDN w:val="0"/>
              <w:adjustRightInd w:val="0"/>
              <w:spacing w:after="0" w:line="240" w:lineRule="auto"/>
              <w:ind w:left="284" w:hanging="284"/>
              <w:jc w:val="both"/>
              <w:rPr>
                <w:rFonts w:cs="Calibri"/>
              </w:rPr>
            </w:pPr>
            <w:r>
              <w:rPr>
                <w:rFonts w:cs="Calibri"/>
              </w:rPr>
              <w:t>La cooperación internacional para la</w:t>
            </w:r>
            <w:r w:rsidR="00C870E7" w:rsidRPr="001A01AB">
              <w:rPr>
                <w:rFonts w:cs="Calibri"/>
              </w:rPr>
              <w:t xml:space="preserve"> asistencia técnica o </w:t>
            </w:r>
            <w:r>
              <w:rPr>
                <w:rFonts w:cs="Calibri"/>
              </w:rPr>
              <w:t>el financiamiento de</w:t>
            </w:r>
            <w:r w:rsidR="00C870E7" w:rsidRPr="001A01AB">
              <w:rPr>
                <w:rFonts w:cs="Calibri"/>
              </w:rPr>
              <w:t xml:space="preserve"> tecnologías apropiadas o proyectos productivos</w:t>
            </w:r>
            <w:r>
              <w:rPr>
                <w:rFonts w:cs="Calibri"/>
              </w:rPr>
              <w:t>,</w:t>
            </w:r>
            <w:r w:rsidR="00C870E7" w:rsidRPr="001A01AB">
              <w:rPr>
                <w:rFonts w:cs="Calibri"/>
              </w:rPr>
              <w:t xml:space="preserve"> </w:t>
            </w:r>
            <w:r>
              <w:rPr>
                <w:rFonts w:cs="Calibri"/>
              </w:rPr>
              <w:t>es necesaria</w:t>
            </w:r>
            <w:r w:rsidR="00C870E7" w:rsidRPr="001A01AB">
              <w:rPr>
                <w:rFonts w:cs="Calibri"/>
              </w:rPr>
              <w:t xml:space="preserve"> como soporte o complemento a los programas nacionales.</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La dependencia a recursos energéticos de origen natural, como la leña, son tradicional y culturalmente utilizados por las familias rurales.</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La contaminación de fuentes de agua y acuíferos superficiales y subterráneos va en aumento acelerado.</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La red vial ha mantenido una tendencia de expansión demasiado baja, en comparación con el ritmo de crecimiento de la población y de la economía.</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La insuficiente cantidad de inversiones en la expansión y mejoramiento de la red vial ha limitado la tendencia de crecimiento de las actividades económicas, entre ellas, la agricultura.</w:t>
            </w:r>
          </w:p>
          <w:p w:rsidR="00C870E7" w:rsidRPr="001A01AB" w:rsidRDefault="00C870E7"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La superficie bajo cultivo ha experimentado una tendencia de crecimiento menor que el ritmo de crecimiento de la población, limitada, en parte, por una insuficiente red vial.</w:t>
            </w:r>
          </w:p>
        </w:tc>
      </w:tr>
    </w:tbl>
    <w:p w:rsidR="00E31B19" w:rsidRPr="001A01AB" w:rsidRDefault="00E31B19" w:rsidP="00E31B19">
      <w:pPr>
        <w:jc w:val="both"/>
        <w:rPr>
          <w:rFonts w:ascii="Calibri" w:hAnsi="Calibri" w:cs="Calibri"/>
          <w:lang w:val="es-GT"/>
        </w:rPr>
      </w:pPr>
    </w:p>
    <w:p w:rsidR="00E31B19" w:rsidRPr="001A01AB" w:rsidRDefault="00E31B19"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Default="00867AF0" w:rsidP="00E31B19">
      <w:pPr>
        <w:jc w:val="both"/>
        <w:rPr>
          <w:rFonts w:ascii="Calibri" w:hAnsi="Calibri" w:cs="Calibri"/>
          <w:lang w:val="es-GT"/>
        </w:rPr>
      </w:pPr>
    </w:p>
    <w:p w:rsidR="004E6953" w:rsidRDefault="004E6953" w:rsidP="00E31B19">
      <w:pPr>
        <w:jc w:val="both"/>
        <w:rPr>
          <w:rFonts w:ascii="Calibri" w:hAnsi="Calibri" w:cs="Calibri"/>
          <w:lang w:val="es-GT"/>
        </w:rPr>
      </w:pPr>
    </w:p>
    <w:p w:rsidR="004E6953" w:rsidRDefault="004E6953" w:rsidP="00E31B19">
      <w:pPr>
        <w:jc w:val="both"/>
        <w:rPr>
          <w:rFonts w:ascii="Calibri" w:hAnsi="Calibri" w:cs="Calibri"/>
          <w:lang w:val="es-GT"/>
        </w:rPr>
      </w:pPr>
    </w:p>
    <w:p w:rsidR="004E6953" w:rsidRDefault="004E6953" w:rsidP="00E31B19">
      <w:pPr>
        <w:jc w:val="both"/>
        <w:rPr>
          <w:rFonts w:ascii="Calibri" w:hAnsi="Calibri" w:cs="Calibri"/>
          <w:lang w:val="es-GT"/>
        </w:rPr>
      </w:pPr>
    </w:p>
    <w:p w:rsidR="004E6953" w:rsidRDefault="004E6953" w:rsidP="00E31B19">
      <w:pPr>
        <w:jc w:val="both"/>
        <w:rPr>
          <w:rFonts w:ascii="Calibri" w:hAnsi="Calibri" w:cs="Calibri"/>
          <w:lang w:val="es-GT"/>
        </w:rPr>
      </w:pPr>
    </w:p>
    <w:p w:rsidR="004E6953" w:rsidRDefault="004E6953" w:rsidP="00E31B19">
      <w:pPr>
        <w:jc w:val="both"/>
        <w:rPr>
          <w:rFonts w:ascii="Calibri" w:hAnsi="Calibri" w:cs="Calibri"/>
          <w:lang w:val="es-GT"/>
        </w:rPr>
      </w:pPr>
    </w:p>
    <w:p w:rsidR="004E6953" w:rsidRPr="001A01AB" w:rsidRDefault="004E6953"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867AF0" w:rsidRPr="001A01AB" w:rsidRDefault="00867AF0" w:rsidP="00E31B19">
      <w:pPr>
        <w:jc w:val="both"/>
        <w:rPr>
          <w:rFonts w:ascii="Calibri" w:hAnsi="Calibri" w:cs="Calibri"/>
          <w:lang w:val="es-GT"/>
        </w:rPr>
      </w:pPr>
    </w:p>
    <w:p w:rsidR="00E31B19" w:rsidRPr="001A01AB" w:rsidRDefault="00E31B19" w:rsidP="00E31B19">
      <w:pPr>
        <w:tabs>
          <w:tab w:val="left" w:pos="851"/>
        </w:tabs>
        <w:autoSpaceDE w:val="0"/>
        <w:autoSpaceDN w:val="0"/>
        <w:adjustRightInd w:val="0"/>
        <w:spacing w:after="240"/>
        <w:jc w:val="both"/>
        <w:rPr>
          <w:rFonts w:ascii="Calibri" w:hAnsi="Calibri" w:cs="Calibri"/>
          <w:b/>
          <w:color w:val="365F91"/>
          <w:szCs w:val="22"/>
          <w:lang w:val="es-GT"/>
        </w:rPr>
      </w:pPr>
      <w:r w:rsidRPr="001A01AB">
        <w:rPr>
          <w:rFonts w:ascii="Calibri" w:hAnsi="Calibri" w:cs="Calibri"/>
          <w:b/>
          <w:color w:val="365F91"/>
          <w:szCs w:val="22"/>
          <w:lang w:val="es-GT"/>
        </w:rPr>
        <w:lastRenderedPageBreak/>
        <w:t>FCD.3.</w:t>
      </w:r>
      <w:r w:rsidRPr="001A01AB">
        <w:rPr>
          <w:rFonts w:ascii="Calibri" w:hAnsi="Calibri" w:cs="Calibri"/>
          <w:b/>
          <w:color w:val="365F91"/>
          <w:szCs w:val="22"/>
          <w:lang w:val="es-GT"/>
        </w:rPr>
        <w:tab/>
        <w:t>Seguridad alimentaria y nutricional</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4788"/>
        <w:gridCol w:w="4788"/>
      </w:tblGrid>
      <w:tr w:rsidR="00E31B19" w:rsidRPr="000364C9" w:rsidTr="001A01AB">
        <w:trPr>
          <w:jc w:val="center"/>
        </w:trPr>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Fortalezas:</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condiciones naturales favorecen la regeneración natural de los bosques.</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Existen sistemas agroforestales como café, cardamomo y cacao, que proveen bienes y servicios ambientales, aunque en menor medida, pero de importancia para fortalecer la seguridad alimentaria y nutricional rural. </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variabilidad de microclimas y ecosistemas contribuye a generar una dieta diversa para </w:t>
            </w:r>
            <w:r w:rsidR="001E08E1">
              <w:rPr>
                <w:rFonts w:ascii="Calibri" w:hAnsi="Calibri" w:cs="Calibri"/>
                <w:sz w:val="20"/>
                <w:szCs w:val="22"/>
                <w:lang w:val="es-GT"/>
              </w:rPr>
              <w:t xml:space="preserve">la </w:t>
            </w:r>
            <w:r w:rsidRPr="001A01AB">
              <w:rPr>
                <w:rFonts w:ascii="Calibri" w:hAnsi="Calibri" w:cs="Calibri"/>
                <w:sz w:val="20"/>
                <w:szCs w:val="22"/>
                <w:lang w:val="es-GT"/>
              </w:rPr>
              <w:t xml:space="preserve">mejora </w:t>
            </w:r>
            <w:r w:rsidR="001E08E1">
              <w:rPr>
                <w:rFonts w:ascii="Calibri" w:hAnsi="Calibri" w:cs="Calibri"/>
                <w:sz w:val="20"/>
                <w:szCs w:val="22"/>
                <w:lang w:val="es-GT"/>
              </w:rPr>
              <w:t xml:space="preserve">de </w:t>
            </w:r>
            <w:r w:rsidRPr="001A01AB">
              <w:rPr>
                <w:rFonts w:ascii="Calibri" w:hAnsi="Calibri" w:cs="Calibri"/>
                <w:sz w:val="20"/>
                <w:szCs w:val="22"/>
                <w:lang w:val="es-GT"/>
              </w:rPr>
              <w:t>la calidad nutricional a nivel rural.</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Política de Desarrollo Social y Población ha estado presente en el país desde 2002</w:t>
            </w:r>
            <w:r w:rsidR="001E08E1">
              <w:rPr>
                <w:rFonts w:ascii="Calibri" w:hAnsi="Calibri" w:cs="Calibri"/>
                <w:sz w:val="20"/>
                <w:szCs w:val="22"/>
                <w:lang w:val="es-GT"/>
              </w:rPr>
              <w:t>,</w:t>
            </w:r>
            <w:r w:rsidRPr="001A01AB">
              <w:rPr>
                <w:rFonts w:ascii="Calibri" w:hAnsi="Calibri" w:cs="Calibri"/>
                <w:sz w:val="20"/>
                <w:szCs w:val="22"/>
                <w:lang w:val="es-GT"/>
              </w:rPr>
              <w:t xml:space="preserve"> y por mandato legal de la Ley de Desarrollo Social como marco de referencia.</w:t>
            </w:r>
          </w:p>
        </w:tc>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Oportunidades:</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Guatemala cuenta con una amplia disponibilidad promedio anual de agua (97,120 millones de m</w:t>
            </w:r>
            <w:r w:rsidRPr="001E08E1">
              <w:rPr>
                <w:rFonts w:ascii="Calibri" w:hAnsi="Calibri" w:cs="Calibri"/>
                <w:sz w:val="20"/>
                <w:szCs w:val="22"/>
                <w:vertAlign w:val="superscript"/>
                <w:lang w:val="es-GT"/>
              </w:rPr>
              <w:t>3</w:t>
            </w:r>
            <w:r w:rsidRPr="001A01AB">
              <w:rPr>
                <w:rFonts w:ascii="Calibri" w:hAnsi="Calibri" w:cs="Calibri"/>
                <w:sz w:val="20"/>
                <w:szCs w:val="22"/>
                <w:lang w:val="es-GT"/>
              </w:rPr>
              <w:t>, entre aguas superficiales y subterráneas)</w:t>
            </w:r>
            <w:r w:rsidR="001E08E1">
              <w:rPr>
                <w:rFonts w:ascii="Calibri" w:hAnsi="Calibri" w:cs="Calibri"/>
                <w:sz w:val="20"/>
                <w:szCs w:val="22"/>
                <w:lang w:val="es-GT"/>
              </w:rPr>
              <w:t>,</w:t>
            </w:r>
            <w:r w:rsidRPr="001A01AB">
              <w:rPr>
                <w:rFonts w:ascii="Calibri" w:hAnsi="Calibri" w:cs="Calibri"/>
                <w:sz w:val="20"/>
                <w:szCs w:val="22"/>
                <w:lang w:val="es-GT"/>
              </w:rPr>
              <w:t xml:space="preserve"> que supera abundantemente la demanda actual.</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Existe</w:t>
            </w:r>
            <w:r w:rsidR="001E08E1">
              <w:rPr>
                <w:rFonts w:ascii="Calibri" w:hAnsi="Calibri" w:cs="Calibri"/>
                <w:sz w:val="20"/>
                <w:szCs w:val="22"/>
                <w:lang w:val="es-GT"/>
              </w:rPr>
              <w:t>n</w:t>
            </w:r>
            <w:r w:rsidRPr="001A01AB">
              <w:rPr>
                <w:rFonts w:ascii="Calibri" w:hAnsi="Calibri" w:cs="Calibri"/>
                <w:sz w:val="20"/>
                <w:szCs w:val="22"/>
                <w:lang w:val="es-GT"/>
              </w:rPr>
              <w:t xml:space="preserve"> oportunidades con la cooperación externa de atender las demandas de riego a nivel rural </w:t>
            </w:r>
            <w:r w:rsidR="001E08E1">
              <w:rPr>
                <w:rFonts w:ascii="Calibri" w:hAnsi="Calibri" w:cs="Calibri"/>
                <w:sz w:val="20"/>
                <w:szCs w:val="22"/>
                <w:lang w:val="es-GT"/>
              </w:rPr>
              <w:t>para mejorar</w:t>
            </w:r>
            <w:r w:rsidRPr="001A01AB">
              <w:rPr>
                <w:rFonts w:ascii="Calibri" w:hAnsi="Calibri" w:cs="Calibri"/>
                <w:sz w:val="20"/>
                <w:szCs w:val="22"/>
                <w:lang w:val="es-GT"/>
              </w:rPr>
              <w:t xml:space="preserve"> la productividad campesina y</w:t>
            </w:r>
            <w:r w:rsidR="001E08E1">
              <w:rPr>
                <w:rFonts w:ascii="Calibri" w:hAnsi="Calibri" w:cs="Calibri"/>
                <w:sz w:val="20"/>
                <w:szCs w:val="22"/>
                <w:lang w:val="es-GT"/>
              </w:rPr>
              <w:t>,</w:t>
            </w:r>
            <w:r w:rsidRPr="001A01AB">
              <w:rPr>
                <w:rFonts w:ascii="Calibri" w:hAnsi="Calibri" w:cs="Calibri"/>
                <w:sz w:val="20"/>
                <w:szCs w:val="22"/>
                <w:lang w:val="es-GT"/>
              </w:rPr>
              <w:t xml:space="preserve"> por ende</w:t>
            </w:r>
            <w:r w:rsidR="001E08E1">
              <w:rPr>
                <w:rFonts w:ascii="Calibri" w:hAnsi="Calibri" w:cs="Calibri"/>
                <w:sz w:val="20"/>
                <w:szCs w:val="22"/>
                <w:lang w:val="es-GT"/>
              </w:rPr>
              <w:t>,</w:t>
            </w:r>
            <w:r w:rsidRPr="001A01AB">
              <w:rPr>
                <w:rFonts w:ascii="Calibri" w:hAnsi="Calibri" w:cs="Calibri"/>
                <w:sz w:val="20"/>
                <w:szCs w:val="22"/>
                <w:lang w:val="es-GT"/>
              </w:rPr>
              <w:t xml:space="preserve"> la producción de alimentos en el largo plazo.</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Propuesta de la Política de Desarrollo Rural Integral, Programa de Agricultura Familiar para el Fortalecimiento </w:t>
            </w:r>
            <w:r w:rsidR="001E08E1">
              <w:rPr>
                <w:rFonts w:ascii="Calibri" w:hAnsi="Calibri" w:cs="Calibri"/>
                <w:sz w:val="20"/>
                <w:szCs w:val="22"/>
                <w:lang w:val="es-GT"/>
              </w:rPr>
              <w:t>de las Economías Campesinas y</w:t>
            </w:r>
            <w:r w:rsidRPr="001A01AB">
              <w:rPr>
                <w:rFonts w:ascii="Calibri" w:hAnsi="Calibri" w:cs="Calibri"/>
                <w:sz w:val="20"/>
                <w:szCs w:val="22"/>
                <w:lang w:val="es-GT"/>
              </w:rPr>
              <w:t xml:space="preserve"> pacto Hambre Cero.</w:t>
            </w:r>
          </w:p>
          <w:p w:rsidR="00867AF0" w:rsidRPr="001A01AB" w:rsidRDefault="001E08E1" w:rsidP="001E08E1">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Presencia de programas del MAGA que hoy en día</w:t>
            </w:r>
            <w:r w:rsidR="00867AF0" w:rsidRPr="001A01AB">
              <w:rPr>
                <w:rFonts w:ascii="Calibri" w:hAnsi="Calibri" w:cs="Calibri"/>
                <w:sz w:val="20"/>
                <w:szCs w:val="22"/>
                <w:lang w:val="es-GT"/>
              </w:rPr>
              <w:t xml:space="preserve"> </w:t>
            </w:r>
            <w:r>
              <w:rPr>
                <w:rFonts w:ascii="Calibri" w:hAnsi="Calibri" w:cs="Calibri"/>
                <w:sz w:val="20"/>
                <w:szCs w:val="22"/>
                <w:lang w:val="es-GT"/>
              </w:rPr>
              <w:t>brindan</w:t>
            </w:r>
            <w:r w:rsidR="00867AF0" w:rsidRPr="001A01AB">
              <w:rPr>
                <w:rFonts w:ascii="Calibri" w:hAnsi="Calibri" w:cs="Calibri"/>
                <w:sz w:val="20"/>
                <w:szCs w:val="22"/>
                <w:lang w:val="es-GT"/>
              </w:rPr>
              <w:t xml:space="preserve"> atención a campesinos y agricultores de escasos recursos, con altos niveles de pobreza, inseguridad alimentaria y nutricional, </w:t>
            </w:r>
            <w:r>
              <w:rPr>
                <w:rFonts w:ascii="Calibri" w:hAnsi="Calibri" w:cs="Calibri"/>
                <w:sz w:val="20"/>
                <w:szCs w:val="22"/>
                <w:lang w:val="es-GT"/>
              </w:rPr>
              <w:t>y sujetos a</w:t>
            </w:r>
            <w:r w:rsidR="00867AF0" w:rsidRPr="001A01AB">
              <w:rPr>
                <w:rFonts w:ascii="Calibri" w:hAnsi="Calibri" w:cs="Calibri"/>
                <w:sz w:val="20"/>
                <w:szCs w:val="22"/>
                <w:lang w:val="es-GT"/>
              </w:rPr>
              <w:t xml:space="preserve"> vulnerabilidad ambiental</w:t>
            </w:r>
            <w:r>
              <w:rPr>
                <w:rFonts w:ascii="Calibri" w:hAnsi="Calibri" w:cs="Calibri"/>
                <w:sz w:val="20"/>
                <w:szCs w:val="22"/>
                <w:lang w:val="es-GT"/>
              </w:rPr>
              <w:t>,</w:t>
            </w:r>
            <w:r w:rsidR="00867AF0" w:rsidRPr="001A01AB">
              <w:rPr>
                <w:rFonts w:ascii="Calibri" w:hAnsi="Calibri" w:cs="Calibri"/>
                <w:sz w:val="20"/>
                <w:szCs w:val="22"/>
                <w:lang w:val="es-GT"/>
              </w:rPr>
              <w:t xml:space="preserve"> a través </w:t>
            </w:r>
            <w:r>
              <w:rPr>
                <w:rFonts w:ascii="Calibri" w:hAnsi="Calibri" w:cs="Calibri"/>
                <w:sz w:val="20"/>
                <w:szCs w:val="22"/>
                <w:lang w:val="es-GT"/>
              </w:rPr>
              <w:t>de tres programas principales: a) Insumos básicos, b)</w:t>
            </w:r>
            <w:r w:rsidR="00867AF0" w:rsidRPr="001A01AB">
              <w:rPr>
                <w:rFonts w:ascii="Calibri" w:hAnsi="Calibri" w:cs="Calibri"/>
                <w:sz w:val="20"/>
                <w:szCs w:val="22"/>
                <w:lang w:val="es-GT"/>
              </w:rPr>
              <w:t xml:space="preserve"> Granos básicos y post</w:t>
            </w:r>
            <w:r w:rsidR="007C3972" w:rsidRPr="001A01AB">
              <w:rPr>
                <w:rFonts w:ascii="Calibri" w:hAnsi="Calibri" w:cs="Calibri"/>
                <w:sz w:val="20"/>
                <w:szCs w:val="22"/>
                <w:lang w:val="es-GT"/>
              </w:rPr>
              <w:t xml:space="preserve"> </w:t>
            </w:r>
            <w:r>
              <w:rPr>
                <w:rFonts w:ascii="Calibri" w:hAnsi="Calibri" w:cs="Calibri"/>
                <w:sz w:val="20"/>
                <w:szCs w:val="22"/>
                <w:lang w:val="es-GT"/>
              </w:rPr>
              <w:t>cosecha y c)</w:t>
            </w:r>
            <w:r w:rsidR="00867AF0" w:rsidRPr="001A01AB">
              <w:rPr>
                <w:rFonts w:ascii="Calibri" w:hAnsi="Calibri" w:cs="Calibri"/>
                <w:sz w:val="20"/>
                <w:szCs w:val="22"/>
                <w:lang w:val="es-GT"/>
              </w:rPr>
              <w:t xml:space="preserve"> Promoción del desarrollo productivo y comercial de la agricultura.</w:t>
            </w:r>
          </w:p>
        </w:tc>
      </w:tr>
      <w:tr w:rsidR="00E31B19" w:rsidRPr="000364C9" w:rsidTr="001A01AB">
        <w:trPr>
          <w:jc w:val="center"/>
        </w:trPr>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w:t>
            </w:r>
          </w:p>
          <w:p w:rsidR="00867AF0" w:rsidRPr="001A01AB" w:rsidRDefault="001E08E1"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 f</w:t>
            </w:r>
            <w:r w:rsidR="00867AF0" w:rsidRPr="001A01AB">
              <w:rPr>
                <w:rFonts w:ascii="Calibri" w:hAnsi="Calibri" w:cs="Calibri"/>
                <w:sz w:val="20"/>
                <w:szCs w:val="22"/>
                <w:lang w:val="es-GT"/>
              </w:rPr>
              <w:t>alta de acceso a medios de producción</w:t>
            </w:r>
            <w:r w:rsidR="006E10BF" w:rsidRPr="001A01AB">
              <w:rPr>
                <w:rFonts w:ascii="Calibri" w:hAnsi="Calibri" w:cs="Calibri"/>
                <w:sz w:val="20"/>
                <w:szCs w:val="22"/>
                <w:lang w:val="es-GT"/>
              </w:rPr>
              <w:t xml:space="preserve"> y</w:t>
            </w:r>
            <w:r w:rsidR="00867AF0" w:rsidRPr="001A01AB">
              <w:rPr>
                <w:rFonts w:ascii="Calibri" w:hAnsi="Calibri" w:cs="Calibri"/>
                <w:sz w:val="20"/>
                <w:szCs w:val="22"/>
                <w:lang w:val="es-GT"/>
              </w:rPr>
              <w:t xml:space="preserve"> de certeza jurídica sobre la tenencia y propiedad de </w:t>
            </w:r>
            <w:r w:rsidR="006E10BF" w:rsidRPr="001A01AB">
              <w:rPr>
                <w:rFonts w:ascii="Calibri" w:hAnsi="Calibri" w:cs="Calibri"/>
                <w:sz w:val="20"/>
                <w:szCs w:val="22"/>
                <w:lang w:val="es-GT"/>
              </w:rPr>
              <w:t>estos</w:t>
            </w:r>
            <w:r w:rsidR="00867AF0" w:rsidRPr="001A01AB">
              <w:rPr>
                <w:rFonts w:ascii="Calibri" w:hAnsi="Calibri" w:cs="Calibri"/>
                <w:sz w:val="20"/>
                <w:szCs w:val="22"/>
                <w:lang w:val="es-GT"/>
              </w:rPr>
              <w:t xml:space="preserve">, dificulta </w:t>
            </w:r>
            <w:r w:rsidR="006E10BF" w:rsidRPr="001A01AB">
              <w:rPr>
                <w:rFonts w:ascii="Calibri" w:hAnsi="Calibri" w:cs="Calibri"/>
                <w:sz w:val="20"/>
                <w:szCs w:val="22"/>
                <w:lang w:val="es-GT"/>
              </w:rPr>
              <w:t xml:space="preserve">el </w:t>
            </w:r>
            <w:r>
              <w:rPr>
                <w:rFonts w:ascii="Calibri" w:hAnsi="Calibri" w:cs="Calibri"/>
                <w:sz w:val="20"/>
                <w:szCs w:val="22"/>
                <w:lang w:val="es-GT"/>
              </w:rPr>
              <w:t>acceso al crédito. Esto,</w:t>
            </w:r>
            <w:r w:rsidR="00867AF0" w:rsidRPr="001A01AB">
              <w:rPr>
                <w:rFonts w:ascii="Calibri" w:hAnsi="Calibri" w:cs="Calibri"/>
                <w:sz w:val="20"/>
                <w:szCs w:val="22"/>
                <w:lang w:val="es-GT"/>
              </w:rPr>
              <w:t xml:space="preserve"> aunado </w:t>
            </w:r>
            <w:r>
              <w:rPr>
                <w:rFonts w:ascii="Calibri" w:hAnsi="Calibri" w:cs="Calibri"/>
                <w:sz w:val="20"/>
                <w:szCs w:val="22"/>
                <w:lang w:val="es-GT"/>
              </w:rPr>
              <w:t xml:space="preserve">a </w:t>
            </w:r>
            <w:r w:rsidR="00867AF0" w:rsidRPr="001A01AB">
              <w:rPr>
                <w:rFonts w:ascii="Calibri" w:hAnsi="Calibri" w:cs="Calibri"/>
                <w:sz w:val="20"/>
                <w:szCs w:val="22"/>
                <w:lang w:val="es-GT"/>
              </w:rPr>
              <w:t xml:space="preserve">la baja o nula infraestructura productiva, </w:t>
            </w:r>
            <w:r>
              <w:rPr>
                <w:rFonts w:ascii="Calibri" w:hAnsi="Calibri" w:cs="Calibri"/>
                <w:sz w:val="20"/>
                <w:szCs w:val="22"/>
                <w:lang w:val="es-GT"/>
              </w:rPr>
              <w:t xml:space="preserve">a </w:t>
            </w:r>
            <w:r w:rsidR="00867AF0" w:rsidRPr="001A01AB">
              <w:rPr>
                <w:rFonts w:ascii="Calibri" w:hAnsi="Calibri" w:cs="Calibri"/>
                <w:sz w:val="20"/>
                <w:szCs w:val="22"/>
                <w:lang w:val="es-GT"/>
              </w:rPr>
              <w:t xml:space="preserve">la falta de tecnología en los procesos de producción y </w:t>
            </w:r>
            <w:r>
              <w:rPr>
                <w:rFonts w:ascii="Calibri" w:hAnsi="Calibri" w:cs="Calibri"/>
                <w:sz w:val="20"/>
                <w:szCs w:val="22"/>
                <w:lang w:val="es-GT"/>
              </w:rPr>
              <w:t xml:space="preserve">a </w:t>
            </w:r>
            <w:r w:rsidR="00867AF0" w:rsidRPr="001A01AB">
              <w:rPr>
                <w:rFonts w:ascii="Calibri" w:hAnsi="Calibri" w:cs="Calibri"/>
                <w:sz w:val="20"/>
                <w:szCs w:val="22"/>
                <w:lang w:val="es-GT"/>
              </w:rPr>
              <w:t>práctica</w:t>
            </w:r>
            <w:r>
              <w:rPr>
                <w:rFonts w:ascii="Calibri" w:hAnsi="Calibri" w:cs="Calibri"/>
                <w:sz w:val="20"/>
                <w:szCs w:val="22"/>
                <w:lang w:val="es-GT"/>
              </w:rPr>
              <w:t>s</w:t>
            </w:r>
            <w:r w:rsidR="00867AF0" w:rsidRPr="001A01AB">
              <w:rPr>
                <w:rFonts w:ascii="Calibri" w:hAnsi="Calibri" w:cs="Calibri"/>
                <w:sz w:val="20"/>
                <w:szCs w:val="22"/>
                <w:lang w:val="es-GT"/>
              </w:rPr>
              <w:t xml:space="preserve"> de sistemas de producción insostenibles</w:t>
            </w:r>
            <w:r>
              <w:rPr>
                <w:rFonts w:ascii="Calibri" w:hAnsi="Calibri" w:cs="Calibri"/>
                <w:sz w:val="20"/>
                <w:szCs w:val="22"/>
                <w:lang w:val="es-GT"/>
              </w:rPr>
              <w:t>;</w:t>
            </w:r>
            <w:r w:rsidR="00867AF0" w:rsidRPr="001A01AB">
              <w:rPr>
                <w:rFonts w:ascii="Calibri" w:hAnsi="Calibri" w:cs="Calibri"/>
                <w:sz w:val="20"/>
                <w:szCs w:val="22"/>
                <w:lang w:val="es-GT"/>
              </w:rPr>
              <w:t xml:space="preserve"> impiden proyectar niveles aceptables de competitividad.</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Satisfacer los requerimientos de leña del 95.3% de la población rural, debería considerarse como una alternativa innovadora para atender este tema, invisible en las políticas públicas sectoriales.</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hogares (demanda domiciliar) utilizan 461.68 millones de m</w:t>
            </w:r>
            <w:r w:rsidRPr="001E08E1">
              <w:rPr>
                <w:rFonts w:ascii="Calibri" w:hAnsi="Calibri" w:cs="Calibri"/>
                <w:sz w:val="20"/>
                <w:szCs w:val="22"/>
                <w:vertAlign w:val="superscript"/>
                <w:lang w:val="es-GT"/>
              </w:rPr>
              <w:t>3</w:t>
            </w:r>
            <w:r w:rsidRPr="001A01AB">
              <w:rPr>
                <w:rFonts w:ascii="Calibri" w:hAnsi="Calibri" w:cs="Calibri"/>
                <w:sz w:val="20"/>
                <w:szCs w:val="22"/>
                <w:lang w:val="es-GT"/>
              </w:rPr>
              <w:t xml:space="preserve"> (2.3% de los 20.3 millones de m</w:t>
            </w:r>
            <w:r w:rsidRPr="001E08E1">
              <w:rPr>
                <w:rFonts w:ascii="Calibri" w:hAnsi="Calibri" w:cs="Calibri"/>
                <w:sz w:val="20"/>
                <w:szCs w:val="22"/>
                <w:vertAlign w:val="superscript"/>
                <w:lang w:val="es-GT"/>
              </w:rPr>
              <w:t>3</w:t>
            </w:r>
            <w:r w:rsidRPr="001A01AB">
              <w:rPr>
                <w:rFonts w:ascii="Calibri" w:hAnsi="Calibri" w:cs="Calibri"/>
                <w:sz w:val="20"/>
                <w:szCs w:val="22"/>
                <w:lang w:val="es-GT"/>
              </w:rPr>
              <w:t xml:space="preserve">). </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mayor parte de </w:t>
            </w:r>
            <w:r w:rsidR="001F54E1" w:rsidRPr="001A01AB">
              <w:rPr>
                <w:rFonts w:ascii="Calibri" w:hAnsi="Calibri" w:cs="Calibri"/>
                <w:sz w:val="20"/>
                <w:szCs w:val="22"/>
                <w:lang w:val="es-GT"/>
              </w:rPr>
              <w:t>t</w:t>
            </w:r>
            <w:r w:rsidRPr="001A01AB">
              <w:rPr>
                <w:rFonts w:ascii="Calibri" w:hAnsi="Calibri" w:cs="Calibri"/>
                <w:sz w:val="20"/>
                <w:szCs w:val="22"/>
                <w:lang w:val="es-GT"/>
              </w:rPr>
              <w:t>ierras en sobreuso corresponde a tierras con capacidad de uso forestal productivo o de protección</w:t>
            </w:r>
            <w:r w:rsidR="001E08E1">
              <w:rPr>
                <w:rFonts w:ascii="Calibri" w:hAnsi="Calibri" w:cs="Calibri"/>
                <w:sz w:val="20"/>
                <w:szCs w:val="22"/>
                <w:lang w:val="es-GT"/>
              </w:rPr>
              <w:t>,</w:t>
            </w:r>
            <w:r w:rsidRPr="001A01AB">
              <w:rPr>
                <w:rFonts w:ascii="Calibri" w:hAnsi="Calibri" w:cs="Calibri"/>
                <w:sz w:val="20"/>
                <w:szCs w:val="22"/>
                <w:lang w:val="es-GT"/>
              </w:rPr>
              <w:t xml:space="preserve"> dedicadas a la producción de cultivos agrícolas tradicionales</w:t>
            </w:r>
            <w:r w:rsidR="001F54E1" w:rsidRPr="001A01AB">
              <w:rPr>
                <w:rFonts w:ascii="Calibri" w:hAnsi="Calibri" w:cs="Calibri"/>
                <w:sz w:val="20"/>
                <w:szCs w:val="22"/>
                <w:lang w:val="es-GT"/>
              </w:rPr>
              <w:t xml:space="preserve"> (</w:t>
            </w:r>
            <w:r w:rsidRPr="001A01AB">
              <w:rPr>
                <w:rFonts w:ascii="Calibri" w:hAnsi="Calibri" w:cs="Calibri"/>
                <w:sz w:val="20"/>
                <w:szCs w:val="22"/>
                <w:lang w:val="es-GT"/>
              </w:rPr>
              <w:t>granos básicos</w:t>
            </w:r>
            <w:r w:rsidR="001F54E1" w:rsidRPr="001A01AB">
              <w:rPr>
                <w:rFonts w:ascii="Calibri" w:hAnsi="Calibri" w:cs="Calibri"/>
                <w:sz w:val="20"/>
                <w:szCs w:val="22"/>
                <w:lang w:val="es-GT"/>
              </w:rPr>
              <w:t>)</w:t>
            </w:r>
            <w:r w:rsidRPr="001A01AB">
              <w:rPr>
                <w:rFonts w:ascii="Calibri" w:hAnsi="Calibri" w:cs="Calibri"/>
                <w:sz w:val="20"/>
                <w:szCs w:val="22"/>
                <w:lang w:val="es-GT"/>
              </w:rPr>
              <w:t>.</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presencia de enfermedades gastrointestinales y respiratorias mantiene niveles de epidemia. </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prevalencia del retardo en peso y talla se encuentra determinada como uno de los efectos más importantes de la malnutrición.</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mortalidad en los menores de 1 año </w:t>
            </w:r>
            <w:r w:rsidR="001E08E1">
              <w:rPr>
                <w:rFonts w:ascii="Calibri" w:hAnsi="Calibri" w:cs="Calibri"/>
                <w:sz w:val="20"/>
                <w:szCs w:val="22"/>
                <w:lang w:val="es-GT"/>
              </w:rPr>
              <w:t xml:space="preserve">es una </w:t>
            </w:r>
            <w:r w:rsidR="006E10BF" w:rsidRPr="001A01AB">
              <w:rPr>
                <w:rFonts w:ascii="Calibri" w:hAnsi="Calibri" w:cs="Calibri"/>
                <w:sz w:val="20"/>
                <w:szCs w:val="22"/>
                <w:lang w:val="es-GT"/>
              </w:rPr>
              <w:t>constante</w:t>
            </w:r>
            <w:r w:rsidR="001E08E1">
              <w:rPr>
                <w:rFonts w:ascii="Calibri" w:hAnsi="Calibri" w:cs="Calibri"/>
                <w:sz w:val="20"/>
                <w:szCs w:val="22"/>
                <w:lang w:val="es-GT"/>
              </w:rPr>
              <w:t xml:space="preserve"> conservadora;</w:t>
            </w:r>
            <w:r w:rsidRPr="001A01AB">
              <w:rPr>
                <w:rFonts w:ascii="Calibri" w:hAnsi="Calibri" w:cs="Calibri"/>
                <w:sz w:val="20"/>
                <w:szCs w:val="22"/>
                <w:lang w:val="es-GT"/>
              </w:rPr>
              <w:t xml:space="preserve"> no así en los </w:t>
            </w:r>
            <w:r w:rsidR="001E08E1">
              <w:rPr>
                <w:rFonts w:ascii="Calibri" w:hAnsi="Calibri" w:cs="Calibri"/>
                <w:sz w:val="20"/>
                <w:szCs w:val="22"/>
                <w:lang w:val="es-GT"/>
              </w:rPr>
              <w:t xml:space="preserve">niños </w:t>
            </w:r>
            <w:r w:rsidRPr="001A01AB">
              <w:rPr>
                <w:rFonts w:ascii="Calibri" w:hAnsi="Calibri" w:cs="Calibri"/>
                <w:sz w:val="20"/>
                <w:szCs w:val="22"/>
                <w:lang w:val="es-GT"/>
              </w:rPr>
              <w:t xml:space="preserve">de 1 a 4 </w:t>
            </w:r>
            <w:r w:rsidRPr="001A01AB">
              <w:rPr>
                <w:rFonts w:ascii="Calibri" w:hAnsi="Calibri" w:cs="Calibri"/>
                <w:sz w:val="20"/>
                <w:szCs w:val="22"/>
                <w:lang w:val="es-GT"/>
              </w:rPr>
              <w:lastRenderedPageBreak/>
              <w:t>años, donde se presenta un incremento de 2.5 veces.</w:t>
            </w:r>
          </w:p>
          <w:p w:rsidR="006E10BF" w:rsidRPr="001A01AB" w:rsidRDefault="006E10BF"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 (cont</w:t>
            </w:r>
            <w:r w:rsidR="007C3972" w:rsidRPr="001A01AB">
              <w:rPr>
                <w:rFonts w:ascii="Calibri" w:hAnsi="Calibri" w:cs="Calibri"/>
                <w:b/>
                <w:color w:val="365F91"/>
                <w:sz w:val="20"/>
                <w:szCs w:val="22"/>
                <w:lang w:val="es-GT"/>
              </w:rPr>
              <w:t>inuación</w:t>
            </w:r>
            <w:r w:rsidRPr="001A01AB">
              <w:rPr>
                <w:rFonts w:ascii="Calibri" w:hAnsi="Calibri" w:cs="Calibri"/>
                <w:b/>
                <w:color w:val="365F91"/>
                <w:sz w:val="20"/>
                <w:szCs w:val="22"/>
                <w:lang w:val="es-GT"/>
              </w:rPr>
              <w:t>):</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Entre los factores económicos que, al igual que el estado nutricional, afectan las condiciones de pobreza, marginación y exclusión, </w:t>
            </w:r>
            <w:r w:rsidR="00964590">
              <w:rPr>
                <w:rFonts w:ascii="Calibri" w:hAnsi="Calibri" w:cs="Calibri"/>
                <w:sz w:val="20"/>
                <w:szCs w:val="22"/>
                <w:lang w:val="es-GT"/>
              </w:rPr>
              <w:t>está</w:t>
            </w:r>
            <w:r w:rsidRPr="001A01AB">
              <w:rPr>
                <w:rFonts w:ascii="Calibri" w:hAnsi="Calibri" w:cs="Calibri"/>
                <w:sz w:val="20"/>
                <w:szCs w:val="22"/>
                <w:lang w:val="es-GT"/>
              </w:rPr>
              <w:t xml:space="preserve"> la capacidad de generar e incrementar los ingresos.</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964590">
              <w:rPr>
                <w:rFonts w:ascii="Calibri" w:hAnsi="Calibri" w:cs="Calibri"/>
                <w:sz w:val="20"/>
                <w:szCs w:val="22"/>
                <w:highlight w:val="yellow"/>
                <w:lang w:val="es-GT"/>
              </w:rPr>
              <w:t xml:space="preserve">Programas nacionales de fomento a la seguridad alimentaria y </w:t>
            </w:r>
            <w:r w:rsidR="006E10BF" w:rsidRPr="00964590">
              <w:rPr>
                <w:rFonts w:ascii="Calibri" w:hAnsi="Calibri" w:cs="Calibri"/>
                <w:sz w:val="20"/>
                <w:szCs w:val="22"/>
                <w:highlight w:val="yellow"/>
                <w:lang w:val="es-GT"/>
              </w:rPr>
              <w:t>nutrición han</w:t>
            </w:r>
            <w:r w:rsidRPr="00964590">
              <w:rPr>
                <w:rFonts w:ascii="Calibri" w:hAnsi="Calibri" w:cs="Calibri"/>
                <w:sz w:val="20"/>
                <w:szCs w:val="22"/>
                <w:highlight w:val="yellow"/>
                <w:lang w:val="es-GT"/>
              </w:rPr>
              <w:t xml:space="preserve"> sido más implementados y con fines políticos partidistas.</w:t>
            </w:r>
          </w:p>
        </w:tc>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Guatemala es uno de los 36 países que</w:t>
            </w:r>
            <w:r w:rsidR="001E08E1">
              <w:rPr>
                <w:rFonts w:ascii="Calibri" w:hAnsi="Calibri" w:cs="Calibri"/>
                <w:sz w:val="20"/>
                <w:szCs w:val="22"/>
                <w:lang w:val="es-GT"/>
              </w:rPr>
              <w:t>,</w:t>
            </w:r>
            <w:r w:rsidRPr="001A01AB">
              <w:rPr>
                <w:rFonts w:ascii="Calibri" w:hAnsi="Calibri" w:cs="Calibri"/>
                <w:sz w:val="20"/>
                <w:szCs w:val="22"/>
                <w:lang w:val="es-GT"/>
              </w:rPr>
              <w:t xml:space="preserve"> a nivel mundial</w:t>
            </w:r>
            <w:r w:rsidR="001E08E1">
              <w:rPr>
                <w:rFonts w:ascii="Calibri" w:hAnsi="Calibri" w:cs="Calibri"/>
                <w:sz w:val="20"/>
                <w:szCs w:val="22"/>
                <w:lang w:val="es-GT"/>
              </w:rPr>
              <w:t>,</w:t>
            </w:r>
            <w:r w:rsidRPr="001A01AB">
              <w:rPr>
                <w:rFonts w:ascii="Calibri" w:hAnsi="Calibri" w:cs="Calibri"/>
                <w:sz w:val="20"/>
                <w:szCs w:val="22"/>
                <w:lang w:val="es-GT"/>
              </w:rPr>
              <w:t xml:space="preserve"> contribuyen con el 90% de la desnutrición crónica</w:t>
            </w:r>
            <w:r w:rsidR="001E08E1">
              <w:rPr>
                <w:rFonts w:ascii="Calibri" w:hAnsi="Calibri" w:cs="Calibri"/>
                <w:sz w:val="20"/>
                <w:szCs w:val="22"/>
                <w:lang w:val="es-GT"/>
              </w:rPr>
              <w:t>.</w:t>
            </w:r>
            <w:r w:rsidRPr="001A01AB">
              <w:rPr>
                <w:rFonts w:ascii="Calibri" w:hAnsi="Calibri" w:cs="Calibri"/>
                <w:sz w:val="20"/>
                <w:szCs w:val="22"/>
                <w:lang w:val="es-GT"/>
              </w:rPr>
              <w:t xml:space="preserve"> </w:t>
            </w:r>
            <w:r w:rsidR="001E08E1">
              <w:rPr>
                <w:rFonts w:ascii="Calibri" w:hAnsi="Calibri" w:cs="Calibri"/>
                <w:sz w:val="20"/>
                <w:szCs w:val="22"/>
                <w:lang w:val="es-GT"/>
              </w:rPr>
              <w:t>E</w:t>
            </w:r>
            <w:r w:rsidRPr="001A01AB">
              <w:rPr>
                <w:rFonts w:ascii="Calibri" w:hAnsi="Calibri" w:cs="Calibri"/>
                <w:sz w:val="20"/>
                <w:szCs w:val="22"/>
                <w:lang w:val="es-GT"/>
              </w:rPr>
              <w:t>s el país con mayor nivel de desnutrición en América Latina</w:t>
            </w:r>
            <w:r w:rsidR="001E08E1">
              <w:rPr>
                <w:rFonts w:ascii="Calibri" w:hAnsi="Calibri" w:cs="Calibri"/>
                <w:sz w:val="20"/>
                <w:szCs w:val="22"/>
                <w:lang w:val="es-GT"/>
              </w:rPr>
              <w:t>,</w:t>
            </w:r>
            <w:r w:rsidRPr="001A01AB">
              <w:rPr>
                <w:rFonts w:ascii="Calibri" w:hAnsi="Calibri" w:cs="Calibri"/>
                <w:sz w:val="20"/>
                <w:szCs w:val="22"/>
                <w:lang w:val="es-GT"/>
              </w:rPr>
              <w:t xml:space="preserve"> </w:t>
            </w:r>
            <w:r w:rsidRPr="001E08E1">
              <w:rPr>
                <w:rFonts w:ascii="Calibri" w:hAnsi="Calibri" w:cs="Calibri"/>
                <w:sz w:val="20"/>
                <w:szCs w:val="22"/>
                <w:highlight w:val="yellow"/>
                <w:lang w:val="es-GT"/>
              </w:rPr>
              <w:t>con un 53%.</w:t>
            </w:r>
          </w:p>
          <w:p w:rsidR="00867AF0" w:rsidRPr="001A01AB" w:rsidRDefault="001E08E1"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Reducción de</w:t>
            </w:r>
            <w:r w:rsidR="00867AF0" w:rsidRPr="001A01AB">
              <w:rPr>
                <w:rFonts w:ascii="Calibri" w:hAnsi="Calibri" w:cs="Calibri"/>
                <w:sz w:val="20"/>
                <w:szCs w:val="22"/>
                <w:lang w:val="es-GT"/>
              </w:rPr>
              <w:t xml:space="preserve"> las reservas alimenticias antes de la temporada habitual</w:t>
            </w:r>
            <w:r w:rsidR="006E10BF" w:rsidRPr="001A01AB">
              <w:rPr>
                <w:rFonts w:ascii="Calibri" w:hAnsi="Calibri" w:cs="Calibri"/>
                <w:sz w:val="20"/>
                <w:szCs w:val="22"/>
                <w:lang w:val="es-GT"/>
              </w:rPr>
              <w:t xml:space="preserve"> de cosecha</w:t>
            </w:r>
            <w:r w:rsidR="00867AF0" w:rsidRPr="001A01AB">
              <w:rPr>
                <w:rFonts w:ascii="Calibri" w:hAnsi="Calibri" w:cs="Calibri"/>
                <w:sz w:val="20"/>
                <w:szCs w:val="22"/>
                <w:lang w:val="es-GT"/>
              </w:rPr>
              <w:t>, con el aumento de precios.</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Conflictos derivados de la falta de acceso a fuentes seguras de agua potable, principalmente en el área rural, donde el 24.73% de los hogares no posee servicio de agua potable</w:t>
            </w:r>
            <w:r w:rsidR="00964590" w:rsidRPr="001A01AB">
              <w:rPr>
                <w:rFonts w:ascii="Calibri" w:hAnsi="Calibri" w:cs="Calibri"/>
                <w:sz w:val="20"/>
                <w:szCs w:val="22"/>
                <w:lang w:val="es-GT"/>
              </w:rPr>
              <w:t xml:space="preserve"> al año 2011</w:t>
            </w:r>
            <w:r w:rsidRPr="001A01AB">
              <w:rPr>
                <w:rFonts w:ascii="Calibri" w:hAnsi="Calibri" w:cs="Calibri"/>
                <w:sz w:val="20"/>
                <w:szCs w:val="22"/>
                <w:lang w:val="es-GT"/>
              </w:rPr>
              <w:t>.</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Elevados índices de contaminación del recurso hídrico.</w:t>
            </w:r>
            <w:r w:rsidR="00964590">
              <w:rPr>
                <w:rFonts w:ascii="Calibri" w:hAnsi="Calibri" w:cs="Calibri"/>
                <w:sz w:val="20"/>
                <w:szCs w:val="22"/>
                <w:lang w:val="es-GT"/>
              </w:rPr>
              <w:t xml:space="preserve"> </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Erosión potencial de 48 millones de toneladas de suelo al año debido </w:t>
            </w:r>
            <w:r w:rsidR="006E10BF" w:rsidRPr="001A01AB">
              <w:rPr>
                <w:rFonts w:ascii="Calibri" w:hAnsi="Calibri" w:cs="Calibri"/>
                <w:sz w:val="20"/>
                <w:szCs w:val="22"/>
                <w:lang w:val="es-GT"/>
              </w:rPr>
              <w:t>al</w:t>
            </w:r>
            <w:r w:rsidRPr="001A01AB">
              <w:rPr>
                <w:rFonts w:ascii="Calibri" w:hAnsi="Calibri" w:cs="Calibri"/>
                <w:sz w:val="20"/>
                <w:szCs w:val="22"/>
                <w:lang w:val="es-GT"/>
              </w:rPr>
              <w:t xml:space="preserve"> sobreuso del suelo (24%).</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Aun cuando la disponibilidad hídrica promedio anual se encuentra muy por encima en un país con riesgo hídrico, la distribución espacial de la lluvia es muy irregular y la disponibilidad natural del agua no coincide exactamente con las demandas.</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Al menos 14 ríos y cuatro lagos presentan altos niveles de </w:t>
            </w:r>
            <w:r w:rsidR="006E10BF" w:rsidRPr="001A01AB">
              <w:rPr>
                <w:rFonts w:ascii="Calibri" w:hAnsi="Calibri" w:cs="Calibri"/>
                <w:sz w:val="20"/>
                <w:szCs w:val="22"/>
                <w:lang w:val="es-GT"/>
              </w:rPr>
              <w:t xml:space="preserve">contaminación </w:t>
            </w:r>
            <w:r w:rsidRPr="001A01AB">
              <w:rPr>
                <w:rFonts w:ascii="Calibri" w:hAnsi="Calibri" w:cs="Calibri"/>
                <w:sz w:val="20"/>
                <w:szCs w:val="22"/>
                <w:lang w:val="es-GT"/>
              </w:rPr>
              <w:t>físic</w:t>
            </w:r>
            <w:r w:rsidR="006E10BF" w:rsidRPr="001A01AB">
              <w:rPr>
                <w:rFonts w:ascii="Calibri" w:hAnsi="Calibri" w:cs="Calibri"/>
                <w:sz w:val="20"/>
                <w:szCs w:val="22"/>
                <w:lang w:val="es-GT"/>
              </w:rPr>
              <w:t>a</w:t>
            </w:r>
            <w:r w:rsidRPr="001A01AB">
              <w:rPr>
                <w:rFonts w:ascii="Calibri" w:hAnsi="Calibri" w:cs="Calibri"/>
                <w:sz w:val="20"/>
                <w:szCs w:val="22"/>
                <w:lang w:val="es-GT"/>
              </w:rPr>
              <w:t>, materia orgánica, microorganismos, contaminantes tó</w:t>
            </w:r>
            <w:r w:rsidR="00964590">
              <w:rPr>
                <w:rFonts w:ascii="Calibri" w:hAnsi="Calibri" w:cs="Calibri"/>
                <w:sz w:val="20"/>
                <w:szCs w:val="22"/>
                <w:lang w:val="es-GT"/>
              </w:rPr>
              <w:t>xicos y materiales cancerígenos;</w:t>
            </w:r>
            <w:r w:rsidRPr="001A01AB">
              <w:rPr>
                <w:rFonts w:ascii="Calibri" w:hAnsi="Calibri" w:cs="Calibri"/>
                <w:sz w:val="20"/>
                <w:szCs w:val="22"/>
                <w:lang w:val="es-GT"/>
              </w:rPr>
              <w:t xml:space="preserve"> lo </w:t>
            </w:r>
            <w:r w:rsidR="00964590">
              <w:rPr>
                <w:rFonts w:ascii="Calibri" w:hAnsi="Calibri" w:cs="Calibri"/>
                <w:sz w:val="20"/>
                <w:szCs w:val="22"/>
                <w:lang w:val="es-GT"/>
              </w:rPr>
              <w:t>cual</w:t>
            </w:r>
            <w:r w:rsidRPr="001A01AB">
              <w:rPr>
                <w:rFonts w:ascii="Calibri" w:hAnsi="Calibri" w:cs="Calibri"/>
                <w:sz w:val="20"/>
                <w:szCs w:val="22"/>
                <w:lang w:val="es-GT"/>
              </w:rPr>
              <w:t xml:space="preserve"> implica riesgos </w:t>
            </w:r>
            <w:r w:rsidR="006E10BF" w:rsidRPr="001A01AB">
              <w:rPr>
                <w:rFonts w:ascii="Calibri" w:hAnsi="Calibri" w:cs="Calibri"/>
                <w:sz w:val="20"/>
                <w:szCs w:val="22"/>
                <w:lang w:val="es-GT"/>
              </w:rPr>
              <w:t>para</w:t>
            </w:r>
            <w:r w:rsidR="00964590">
              <w:rPr>
                <w:rFonts w:ascii="Calibri" w:hAnsi="Calibri" w:cs="Calibri"/>
                <w:sz w:val="20"/>
                <w:szCs w:val="22"/>
                <w:lang w:val="es-GT"/>
              </w:rPr>
              <w:t xml:space="preserve"> el</w:t>
            </w:r>
            <w:r w:rsidR="006E10BF" w:rsidRPr="001A01AB">
              <w:rPr>
                <w:rFonts w:ascii="Calibri" w:hAnsi="Calibri" w:cs="Calibri"/>
                <w:sz w:val="20"/>
                <w:szCs w:val="22"/>
                <w:lang w:val="es-GT"/>
              </w:rPr>
              <w:t xml:space="preserve"> consumo </w:t>
            </w:r>
            <w:r w:rsidR="00964590">
              <w:rPr>
                <w:rFonts w:ascii="Calibri" w:hAnsi="Calibri" w:cs="Calibri"/>
                <w:sz w:val="20"/>
                <w:szCs w:val="22"/>
                <w:lang w:val="es-GT"/>
              </w:rPr>
              <w:t xml:space="preserve">humano </w:t>
            </w:r>
            <w:r w:rsidRPr="001A01AB">
              <w:rPr>
                <w:rFonts w:ascii="Calibri" w:hAnsi="Calibri" w:cs="Calibri"/>
                <w:sz w:val="20"/>
                <w:szCs w:val="22"/>
                <w:lang w:val="es-GT"/>
              </w:rPr>
              <w:t>y riego.</w:t>
            </w:r>
          </w:p>
          <w:p w:rsidR="006E10BF" w:rsidRPr="001A01AB" w:rsidRDefault="006E10BF"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 (cont</w:t>
            </w:r>
            <w:r w:rsidR="007C3972" w:rsidRPr="001A01AB">
              <w:rPr>
                <w:rFonts w:ascii="Calibri" w:hAnsi="Calibri" w:cs="Calibri"/>
                <w:b/>
                <w:color w:val="365F91"/>
                <w:sz w:val="20"/>
                <w:szCs w:val="22"/>
                <w:lang w:val="es-GT"/>
              </w:rPr>
              <w:t>inuación</w:t>
            </w:r>
            <w:r w:rsidRPr="001A01AB">
              <w:rPr>
                <w:rFonts w:ascii="Calibri" w:hAnsi="Calibri" w:cs="Calibri"/>
                <w:b/>
                <w:color w:val="365F91"/>
                <w:sz w:val="20"/>
                <w:szCs w:val="22"/>
                <w:lang w:val="es-GT"/>
              </w:rPr>
              <w:t>):</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Fenómenos naturales, algunos relacionados con el cambio climático; ocasionan daños y pérdidas principalmente en la base de la sustentación alimentaria de las familias pobres y extremadamente pobres.</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Como efectos del cambio climático, la aparición de plagas y enfermedades a la base de sustentación alimentaria afectará a las familias.</w:t>
            </w:r>
          </w:p>
          <w:p w:rsidR="00867AF0" w:rsidRPr="001A01AB" w:rsidRDefault="00867AF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Debido a la escasez de reservas de alimentos, las familias po</w:t>
            </w:r>
            <w:r w:rsidR="00964590">
              <w:rPr>
                <w:rFonts w:ascii="Calibri" w:hAnsi="Calibri" w:cs="Calibri"/>
                <w:sz w:val="20"/>
                <w:szCs w:val="22"/>
                <w:lang w:val="es-GT"/>
              </w:rPr>
              <w:t>bres y extremadamente pobres</w:t>
            </w:r>
            <w:r w:rsidRPr="001A01AB">
              <w:rPr>
                <w:rFonts w:ascii="Calibri" w:hAnsi="Calibri" w:cs="Calibri"/>
                <w:sz w:val="20"/>
                <w:szCs w:val="22"/>
                <w:lang w:val="es-GT"/>
              </w:rPr>
              <w:t xml:space="preserve"> complementan su requerimiento anual de maíz y frijol, comprándolo en sus comunidades o en los mercados municipales.</w:t>
            </w:r>
          </w:p>
          <w:p w:rsidR="00867AF0" w:rsidRPr="001A01AB" w:rsidRDefault="00964590"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Los</w:t>
            </w:r>
            <w:r w:rsidR="00867AF0" w:rsidRPr="001A01AB">
              <w:rPr>
                <w:rFonts w:ascii="Calibri" w:hAnsi="Calibri" w:cs="Calibri"/>
                <w:sz w:val="20"/>
                <w:szCs w:val="22"/>
                <w:lang w:val="es-GT"/>
              </w:rPr>
              <w:t xml:space="preserve"> incrementos en la cantidad de tierra agrícola dedicada a la explotación de nuevos productos, tales como los no tradicionales y otros cultivos intensivos para el mercado internacional</w:t>
            </w:r>
            <w:r>
              <w:rPr>
                <w:rFonts w:ascii="Calibri" w:hAnsi="Calibri" w:cs="Calibri"/>
                <w:sz w:val="20"/>
                <w:szCs w:val="22"/>
                <w:lang w:val="es-GT"/>
              </w:rPr>
              <w:t>,</w:t>
            </w:r>
            <w:r w:rsidR="00867AF0" w:rsidRPr="001A01AB">
              <w:rPr>
                <w:rFonts w:ascii="Calibri" w:hAnsi="Calibri" w:cs="Calibri"/>
                <w:sz w:val="20"/>
                <w:szCs w:val="22"/>
                <w:lang w:val="es-GT"/>
              </w:rPr>
              <w:t xml:space="preserve"> está</w:t>
            </w:r>
            <w:r>
              <w:rPr>
                <w:rFonts w:ascii="Calibri" w:hAnsi="Calibri" w:cs="Calibri"/>
                <w:sz w:val="20"/>
                <w:szCs w:val="22"/>
                <w:lang w:val="es-GT"/>
              </w:rPr>
              <w:t>n provocando la disminución de</w:t>
            </w:r>
            <w:r w:rsidR="00867AF0" w:rsidRPr="001A01AB">
              <w:rPr>
                <w:rFonts w:ascii="Calibri" w:hAnsi="Calibri" w:cs="Calibri"/>
                <w:sz w:val="20"/>
                <w:szCs w:val="22"/>
                <w:lang w:val="es-GT"/>
              </w:rPr>
              <w:t xml:space="preserve"> las reservas alimentarias de las familias.</w:t>
            </w:r>
          </w:p>
        </w:tc>
      </w:tr>
    </w:tbl>
    <w:p w:rsidR="00E31B19" w:rsidRPr="001A01AB" w:rsidRDefault="00E31B19" w:rsidP="00E31B19">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9576"/>
      </w:tblGrid>
      <w:tr w:rsidR="00E31B19" w:rsidRPr="000364C9" w:rsidTr="001A01AB">
        <w:trPr>
          <w:jc w:val="center"/>
        </w:trPr>
        <w:tc>
          <w:tcPr>
            <w:tcW w:w="9576" w:type="dxa"/>
            <w:shd w:val="clear" w:color="auto" w:fill="auto"/>
          </w:tcPr>
          <w:p w:rsidR="00E31B19" w:rsidRPr="001A01AB" w:rsidRDefault="00E31B19" w:rsidP="001A01AB">
            <w:pPr>
              <w:autoSpaceDE w:val="0"/>
              <w:autoSpaceDN w:val="0"/>
              <w:adjustRightInd w:val="0"/>
              <w:spacing w:after="60"/>
              <w:jc w:val="both"/>
              <w:rPr>
                <w:rFonts w:ascii="Calibri" w:hAnsi="Calibri" w:cs="Calibri"/>
                <w:b/>
                <w:color w:val="365F91"/>
                <w:sz w:val="22"/>
                <w:szCs w:val="22"/>
                <w:lang w:val="es-GT"/>
              </w:rPr>
            </w:pPr>
            <w:r w:rsidRPr="001A01AB">
              <w:rPr>
                <w:rFonts w:ascii="Calibri" w:hAnsi="Calibri" w:cs="Calibri"/>
                <w:b/>
                <w:color w:val="365F91"/>
                <w:sz w:val="22"/>
                <w:szCs w:val="22"/>
                <w:lang w:val="es-GT"/>
              </w:rPr>
              <w:t>Tendencias (basadas en un escenario de tipo tendencial)</w:t>
            </w:r>
          </w:p>
          <w:p w:rsidR="00867AF0" w:rsidRPr="0086148C" w:rsidRDefault="00867AF0" w:rsidP="004E6953">
            <w:pPr>
              <w:pStyle w:val="Prrafodelista"/>
              <w:numPr>
                <w:ilvl w:val="0"/>
                <w:numId w:val="28"/>
              </w:numPr>
              <w:autoSpaceDE w:val="0"/>
              <w:autoSpaceDN w:val="0"/>
              <w:adjustRightInd w:val="0"/>
              <w:spacing w:after="0" w:line="240" w:lineRule="auto"/>
              <w:ind w:left="284" w:hanging="284"/>
              <w:jc w:val="both"/>
              <w:rPr>
                <w:rFonts w:cs="Calibri"/>
              </w:rPr>
            </w:pPr>
            <w:r w:rsidRPr="0086148C">
              <w:rPr>
                <w:rFonts w:cs="Calibri"/>
              </w:rPr>
              <w:t>El programa PINPEP es un instrumento que fortalecerá la pr</w:t>
            </w:r>
            <w:r w:rsidR="009924FF" w:rsidRPr="0086148C">
              <w:rPr>
                <w:rFonts w:cs="Calibri"/>
              </w:rPr>
              <w:t>oductividad campesina rural de los</w:t>
            </w:r>
            <w:r w:rsidRPr="0086148C">
              <w:rPr>
                <w:rFonts w:cs="Calibri"/>
              </w:rPr>
              <w:t xml:space="preserve"> poseedores, </w:t>
            </w:r>
            <w:r w:rsidR="0086148C">
              <w:rPr>
                <w:rFonts w:cs="Calibri"/>
              </w:rPr>
              <w:t xml:space="preserve">al incorporar </w:t>
            </w:r>
            <w:r w:rsidRPr="0086148C">
              <w:rPr>
                <w:rFonts w:cs="Calibri"/>
              </w:rPr>
              <w:t>los sistemas agroforestales como agroecosistemas productivos que contribuyan a mejorar la dieta de las familias rurales.</w:t>
            </w:r>
          </w:p>
          <w:p w:rsidR="00867AF0" w:rsidRPr="0086148C" w:rsidRDefault="0086148C" w:rsidP="004E6953">
            <w:pPr>
              <w:pStyle w:val="Prrafodelista"/>
              <w:numPr>
                <w:ilvl w:val="0"/>
                <w:numId w:val="28"/>
              </w:numPr>
              <w:autoSpaceDE w:val="0"/>
              <w:autoSpaceDN w:val="0"/>
              <w:adjustRightInd w:val="0"/>
              <w:spacing w:after="0" w:line="240" w:lineRule="auto"/>
              <w:ind w:left="284" w:hanging="284"/>
              <w:jc w:val="both"/>
              <w:rPr>
                <w:rFonts w:cs="Calibri"/>
              </w:rPr>
            </w:pPr>
            <w:r>
              <w:rPr>
                <w:rFonts w:cs="Calibri"/>
              </w:rPr>
              <w:t>Se incrementa</w:t>
            </w:r>
            <w:r w:rsidR="00867AF0" w:rsidRPr="0086148C">
              <w:rPr>
                <w:rFonts w:cs="Calibri"/>
              </w:rPr>
              <w:t xml:space="preserve">n las oportunidades de mejorar y aumentar los sistemas de riego a nivel rural, </w:t>
            </w:r>
            <w:r>
              <w:rPr>
                <w:rFonts w:cs="Calibri"/>
              </w:rPr>
              <w:t>para contribuir</w:t>
            </w:r>
            <w:r w:rsidR="00867AF0" w:rsidRPr="0086148C">
              <w:rPr>
                <w:rFonts w:cs="Calibri"/>
              </w:rPr>
              <w:t xml:space="preserve"> a mejorar la productividad por unidad de áreas.</w:t>
            </w:r>
          </w:p>
          <w:p w:rsidR="00867AF0" w:rsidRPr="0086148C" w:rsidRDefault="00112FC2" w:rsidP="004E6953">
            <w:pPr>
              <w:pStyle w:val="Prrafodelista"/>
              <w:numPr>
                <w:ilvl w:val="0"/>
                <w:numId w:val="28"/>
              </w:numPr>
              <w:autoSpaceDE w:val="0"/>
              <w:autoSpaceDN w:val="0"/>
              <w:adjustRightInd w:val="0"/>
              <w:spacing w:after="0" w:line="240" w:lineRule="auto"/>
              <w:ind w:left="284" w:hanging="284"/>
              <w:jc w:val="both"/>
              <w:rPr>
                <w:rFonts w:cs="Calibri"/>
              </w:rPr>
            </w:pPr>
            <w:r>
              <w:rPr>
                <w:rFonts w:cs="Calibri"/>
              </w:rPr>
              <w:t>Se fortalecen</w:t>
            </w:r>
            <w:r w:rsidR="00867AF0" w:rsidRPr="0086148C">
              <w:rPr>
                <w:rFonts w:cs="Calibri"/>
              </w:rPr>
              <w:t xml:space="preserve"> los sistemas de extensión agrícola, pecuario y foresto – ambiental, que contribuyan a </w:t>
            </w:r>
            <w:r w:rsidR="007C3972" w:rsidRPr="0086148C">
              <w:rPr>
                <w:rFonts w:cs="Calibri"/>
              </w:rPr>
              <w:t>hacer eficiente</w:t>
            </w:r>
            <w:r w:rsidR="00867AF0" w:rsidRPr="0086148C">
              <w:rPr>
                <w:rFonts w:cs="Calibri"/>
              </w:rPr>
              <w:t xml:space="preserve"> el uso de los recursos aún existentes a nivel rural y mejorar los procesos de incidencia en el manejo y protección de los bienes y servicios del bosque.</w:t>
            </w:r>
          </w:p>
          <w:p w:rsidR="00867AF0" w:rsidRPr="0086148C" w:rsidRDefault="00867AF0" w:rsidP="004E6953">
            <w:pPr>
              <w:pStyle w:val="Prrafodelista"/>
              <w:numPr>
                <w:ilvl w:val="0"/>
                <w:numId w:val="28"/>
              </w:numPr>
              <w:autoSpaceDE w:val="0"/>
              <w:autoSpaceDN w:val="0"/>
              <w:adjustRightInd w:val="0"/>
              <w:spacing w:after="0" w:line="240" w:lineRule="auto"/>
              <w:ind w:left="284" w:hanging="284"/>
              <w:jc w:val="both"/>
              <w:rPr>
                <w:rFonts w:cs="Calibri"/>
              </w:rPr>
            </w:pPr>
            <w:r w:rsidRPr="0086148C">
              <w:rPr>
                <w:rFonts w:cs="Calibri"/>
              </w:rPr>
              <w:t>La falta de certeza jurídica de la tierra es una condición que se mantendrá en Guatemala, dificultando el acceso a la producción de alimentos.</w:t>
            </w:r>
          </w:p>
          <w:p w:rsidR="00867AF0" w:rsidRPr="0086148C" w:rsidRDefault="00867AF0" w:rsidP="004E6953">
            <w:pPr>
              <w:pStyle w:val="Prrafodelista"/>
              <w:numPr>
                <w:ilvl w:val="0"/>
                <w:numId w:val="28"/>
              </w:numPr>
              <w:autoSpaceDE w:val="0"/>
              <w:autoSpaceDN w:val="0"/>
              <w:adjustRightInd w:val="0"/>
              <w:spacing w:after="0" w:line="240" w:lineRule="auto"/>
              <w:ind w:left="284" w:hanging="284"/>
              <w:jc w:val="both"/>
              <w:rPr>
                <w:rFonts w:cs="Calibri"/>
              </w:rPr>
            </w:pPr>
            <w:r w:rsidRPr="0086148C">
              <w:rPr>
                <w:rFonts w:cs="Calibri"/>
              </w:rPr>
              <w:t>Los elevados índices de contaminación de recursos hídricos tiende</w:t>
            </w:r>
            <w:r w:rsidR="00112FC2">
              <w:rPr>
                <w:rFonts w:cs="Calibri"/>
              </w:rPr>
              <w:t>n</w:t>
            </w:r>
            <w:r w:rsidRPr="0086148C">
              <w:rPr>
                <w:rFonts w:cs="Calibri"/>
              </w:rPr>
              <w:t xml:space="preserve"> a aumentar y a convertirse en uno de los temas de conflicto social más importantes en Guatemala.</w:t>
            </w:r>
          </w:p>
          <w:p w:rsidR="00867AF0" w:rsidRPr="001A01AB" w:rsidRDefault="00867AF0" w:rsidP="00112FC2">
            <w:pPr>
              <w:pStyle w:val="Prrafodelista"/>
              <w:numPr>
                <w:ilvl w:val="0"/>
                <w:numId w:val="28"/>
              </w:numPr>
              <w:autoSpaceDE w:val="0"/>
              <w:autoSpaceDN w:val="0"/>
              <w:adjustRightInd w:val="0"/>
              <w:spacing w:after="0" w:line="240" w:lineRule="auto"/>
              <w:ind w:left="284" w:hanging="284"/>
              <w:jc w:val="both"/>
              <w:rPr>
                <w:rFonts w:cs="Calibri"/>
              </w:rPr>
            </w:pPr>
            <w:r w:rsidRPr="0086148C">
              <w:rPr>
                <w:rFonts w:cs="Calibri"/>
              </w:rPr>
              <w:t xml:space="preserve">Los efectos del cambio climático son inevitables, </w:t>
            </w:r>
            <w:r w:rsidR="00112FC2">
              <w:rPr>
                <w:rFonts w:cs="Calibri"/>
              </w:rPr>
              <w:t>y</w:t>
            </w:r>
            <w:r w:rsidRPr="0086148C">
              <w:rPr>
                <w:rFonts w:cs="Calibri"/>
              </w:rPr>
              <w:t xml:space="preserve"> causarán problemas en el abastecimiento de reservas de alimentos y en la producción misma.</w:t>
            </w:r>
            <w:r w:rsidR="00141A70" w:rsidRPr="0086148C">
              <w:rPr>
                <w:rFonts w:cs="Calibri"/>
              </w:rPr>
              <w:t xml:space="preserve"> </w:t>
            </w:r>
            <w:r w:rsidRPr="0086148C">
              <w:rPr>
                <w:rFonts w:cs="Calibri"/>
              </w:rPr>
              <w:t xml:space="preserve">De igual manera, habrá una tendencia creciente en la aparición de plagas y enfermedades </w:t>
            </w:r>
            <w:r w:rsidR="00112FC2">
              <w:rPr>
                <w:rFonts w:cs="Calibri"/>
              </w:rPr>
              <w:t>que afecten</w:t>
            </w:r>
            <w:r w:rsidRPr="0086148C">
              <w:rPr>
                <w:rFonts w:cs="Calibri"/>
              </w:rPr>
              <w:t xml:space="preserve"> los cultivos y la salud infantil, principalmente.</w:t>
            </w:r>
          </w:p>
        </w:tc>
      </w:tr>
    </w:tbl>
    <w:p w:rsidR="00E31B19" w:rsidRPr="001A01AB" w:rsidRDefault="00E31B19" w:rsidP="00E31B19">
      <w:pPr>
        <w:jc w:val="both"/>
        <w:rPr>
          <w:rFonts w:ascii="Calibri" w:hAnsi="Calibri" w:cs="Calibri"/>
          <w:lang w:val="es-GT"/>
        </w:rPr>
      </w:pPr>
    </w:p>
    <w:p w:rsidR="00E31B19" w:rsidRPr="001A01AB" w:rsidRDefault="00E31B19" w:rsidP="00E31B19">
      <w:pPr>
        <w:jc w:val="both"/>
        <w:rPr>
          <w:rFonts w:ascii="Calibri" w:hAnsi="Calibri" w:cs="Calibri"/>
          <w:lang w:val="es-GT"/>
        </w:rPr>
      </w:pPr>
    </w:p>
    <w:p w:rsidR="006E10BF" w:rsidRPr="001A01AB" w:rsidRDefault="006E10BF" w:rsidP="00E31B19">
      <w:pPr>
        <w:jc w:val="both"/>
        <w:rPr>
          <w:rFonts w:ascii="Calibri" w:hAnsi="Calibri" w:cs="Calibri"/>
          <w:lang w:val="es-GT"/>
        </w:rPr>
      </w:pPr>
    </w:p>
    <w:p w:rsidR="006E10BF" w:rsidRPr="001A01AB" w:rsidRDefault="006E10BF" w:rsidP="00E31B19">
      <w:pPr>
        <w:jc w:val="both"/>
        <w:rPr>
          <w:rFonts w:ascii="Calibri" w:hAnsi="Calibri" w:cs="Calibri"/>
          <w:lang w:val="es-GT"/>
        </w:rPr>
      </w:pPr>
    </w:p>
    <w:p w:rsidR="006E10BF" w:rsidRPr="001A01AB" w:rsidRDefault="006E10BF" w:rsidP="00E31B19">
      <w:pPr>
        <w:jc w:val="both"/>
        <w:rPr>
          <w:rFonts w:ascii="Calibri" w:hAnsi="Calibri" w:cs="Calibri"/>
          <w:lang w:val="es-GT"/>
        </w:rPr>
      </w:pPr>
    </w:p>
    <w:p w:rsidR="006E10BF" w:rsidRDefault="006E10BF" w:rsidP="00E31B19">
      <w:pPr>
        <w:jc w:val="both"/>
        <w:rPr>
          <w:rFonts w:ascii="Calibri" w:hAnsi="Calibri" w:cs="Calibri"/>
          <w:lang w:val="es-GT"/>
        </w:rPr>
      </w:pPr>
    </w:p>
    <w:p w:rsidR="004E6953" w:rsidRDefault="004E6953" w:rsidP="00E31B19">
      <w:pPr>
        <w:jc w:val="both"/>
        <w:rPr>
          <w:rFonts w:ascii="Calibri" w:hAnsi="Calibri" w:cs="Calibri"/>
          <w:lang w:val="es-GT"/>
        </w:rPr>
      </w:pPr>
    </w:p>
    <w:p w:rsidR="004E6953" w:rsidRDefault="004E6953" w:rsidP="00E31B19">
      <w:pPr>
        <w:jc w:val="both"/>
        <w:rPr>
          <w:rFonts w:ascii="Calibri" w:hAnsi="Calibri" w:cs="Calibri"/>
          <w:lang w:val="es-GT"/>
        </w:rPr>
      </w:pPr>
    </w:p>
    <w:p w:rsidR="004E6953" w:rsidRPr="001A01AB" w:rsidRDefault="004E6953" w:rsidP="00E31B19">
      <w:pPr>
        <w:jc w:val="both"/>
        <w:rPr>
          <w:rFonts w:ascii="Calibri" w:hAnsi="Calibri" w:cs="Calibri"/>
          <w:lang w:val="es-GT"/>
        </w:rPr>
      </w:pPr>
    </w:p>
    <w:p w:rsidR="00E31B19" w:rsidRPr="001A01AB" w:rsidRDefault="00E31B19" w:rsidP="00E31B19">
      <w:pPr>
        <w:jc w:val="both"/>
        <w:rPr>
          <w:rFonts w:ascii="Calibri" w:hAnsi="Calibri" w:cs="Calibri"/>
          <w:lang w:val="es-GT"/>
        </w:rPr>
      </w:pPr>
    </w:p>
    <w:p w:rsidR="00E31B19" w:rsidRPr="001A01AB" w:rsidRDefault="00E31B19" w:rsidP="00E31B19">
      <w:pPr>
        <w:tabs>
          <w:tab w:val="left" w:pos="851"/>
        </w:tabs>
        <w:autoSpaceDE w:val="0"/>
        <w:autoSpaceDN w:val="0"/>
        <w:adjustRightInd w:val="0"/>
        <w:spacing w:after="240"/>
        <w:jc w:val="both"/>
        <w:rPr>
          <w:rFonts w:ascii="Calibri" w:hAnsi="Calibri" w:cs="Calibri"/>
          <w:b/>
          <w:color w:val="365F91"/>
          <w:szCs w:val="22"/>
          <w:lang w:val="es-GT"/>
        </w:rPr>
      </w:pPr>
      <w:r w:rsidRPr="001A01AB">
        <w:rPr>
          <w:rFonts w:ascii="Calibri" w:hAnsi="Calibri" w:cs="Calibri"/>
          <w:b/>
          <w:color w:val="365F91"/>
          <w:szCs w:val="22"/>
          <w:lang w:val="es-GT"/>
        </w:rPr>
        <w:lastRenderedPageBreak/>
        <w:t>FCD.4.</w:t>
      </w:r>
      <w:r w:rsidRPr="001A01AB">
        <w:rPr>
          <w:rFonts w:ascii="Calibri" w:hAnsi="Calibri" w:cs="Calibri"/>
          <w:b/>
          <w:color w:val="365F91"/>
          <w:szCs w:val="22"/>
          <w:lang w:val="es-GT"/>
        </w:rPr>
        <w:tab/>
        <w:t>Vulnerabilidad sistémica y cambio climático</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4788"/>
        <w:gridCol w:w="4788"/>
      </w:tblGrid>
      <w:tr w:rsidR="00E31B19" w:rsidRPr="000364C9" w:rsidTr="001A01AB">
        <w:trPr>
          <w:jc w:val="center"/>
        </w:trPr>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Fortalezas:</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Para el caso de adaptación, </w:t>
            </w:r>
            <w:r w:rsidR="00156FA8" w:rsidRPr="001A01AB">
              <w:rPr>
                <w:rFonts w:ascii="Calibri" w:hAnsi="Calibri" w:cs="Calibri"/>
                <w:sz w:val="20"/>
                <w:szCs w:val="22"/>
                <w:lang w:val="es-GT"/>
              </w:rPr>
              <w:t>se</w:t>
            </w:r>
            <w:r w:rsidRPr="001A01AB">
              <w:rPr>
                <w:rFonts w:ascii="Calibri" w:hAnsi="Calibri" w:cs="Calibri"/>
                <w:sz w:val="20"/>
                <w:szCs w:val="22"/>
                <w:lang w:val="es-GT"/>
              </w:rPr>
              <w:t xml:space="preserve"> trata de adoptar medidas para mejorar la capacidad de resiliencia de los ecosistemas</w:t>
            </w:r>
            <w:r w:rsidR="00156FA8" w:rsidRPr="001A01AB">
              <w:rPr>
                <w:rFonts w:ascii="Calibri" w:hAnsi="Calibri" w:cs="Calibri"/>
                <w:sz w:val="20"/>
                <w:szCs w:val="22"/>
                <w:lang w:val="es-GT"/>
              </w:rPr>
              <w:t xml:space="preserve"> y </w:t>
            </w:r>
            <w:r w:rsidR="00112FC2">
              <w:rPr>
                <w:rFonts w:ascii="Calibri" w:hAnsi="Calibri" w:cs="Calibri"/>
                <w:sz w:val="20"/>
                <w:szCs w:val="22"/>
                <w:lang w:val="es-GT"/>
              </w:rPr>
              <w:t xml:space="preserve">las </w:t>
            </w:r>
            <w:r w:rsidR="00156FA8" w:rsidRPr="001A01AB">
              <w:rPr>
                <w:rFonts w:ascii="Calibri" w:hAnsi="Calibri" w:cs="Calibri"/>
                <w:sz w:val="20"/>
                <w:szCs w:val="22"/>
                <w:lang w:val="es-GT"/>
              </w:rPr>
              <w:t>comunidades</w:t>
            </w:r>
            <w:r w:rsidRPr="001A01AB">
              <w:rPr>
                <w:rFonts w:ascii="Calibri" w:hAnsi="Calibri" w:cs="Calibri"/>
                <w:sz w:val="20"/>
                <w:szCs w:val="22"/>
                <w:lang w:val="es-GT"/>
              </w:rPr>
              <w:t>, es decir, mejorar su capacidad de asimilar alteraciones drásticas.</w:t>
            </w:r>
          </w:p>
          <w:p w:rsidR="006E10BF" w:rsidRPr="001A01AB" w:rsidRDefault="00C727E4"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commentRangeStart w:id="175"/>
            <w:r>
              <w:rPr>
                <w:rFonts w:ascii="Calibri" w:hAnsi="Calibri" w:cs="Calibri"/>
                <w:sz w:val="20"/>
                <w:szCs w:val="22"/>
                <w:lang w:val="es-GT"/>
              </w:rPr>
              <w:t>C</w:t>
            </w:r>
            <w:r w:rsidR="006E10BF" w:rsidRPr="001A01AB">
              <w:rPr>
                <w:rFonts w:ascii="Calibri" w:hAnsi="Calibri" w:cs="Calibri"/>
                <w:sz w:val="20"/>
                <w:szCs w:val="22"/>
                <w:lang w:val="es-GT"/>
              </w:rPr>
              <w:t xml:space="preserve">orriente generadora de </w:t>
            </w:r>
            <w:commentRangeEnd w:id="175"/>
            <w:r>
              <w:rPr>
                <w:rStyle w:val="Refdecomentario"/>
              </w:rPr>
              <w:commentReference w:id="175"/>
            </w:r>
            <w:r w:rsidR="006E10BF" w:rsidRPr="001A01AB">
              <w:rPr>
                <w:rFonts w:ascii="Calibri" w:hAnsi="Calibri" w:cs="Calibri"/>
                <w:sz w:val="20"/>
                <w:szCs w:val="22"/>
                <w:lang w:val="es-GT"/>
              </w:rPr>
              <w:t>conocimientos e información que muestre las implicaciones del cambio climático en el país y que permita tomar decisiones con certeza y oportunidad.</w:t>
            </w:r>
          </w:p>
          <w:p w:rsidR="006E10BF" w:rsidRPr="001A01AB" w:rsidRDefault="00C727E4"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w:t>
            </w:r>
            <w:r w:rsidR="006E10BF" w:rsidRPr="001A01AB">
              <w:rPr>
                <w:rFonts w:ascii="Calibri" w:hAnsi="Calibri" w:cs="Calibri"/>
                <w:sz w:val="20"/>
                <w:szCs w:val="22"/>
                <w:lang w:val="es-GT"/>
              </w:rPr>
              <w:t>l programa de Incentivos Forestales para Poseedores de Pequeñas Extensiones de Tierra de Vocación Forestal o A</w:t>
            </w:r>
            <w:r>
              <w:rPr>
                <w:rFonts w:ascii="Calibri" w:hAnsi="Calibri" w:cs="Calibri"/>
                <w:sz w:val="20"/>
                <w:szCs w:val="22"/>
                <w:lang w:val="es-GT"/>
              </w:rPr>
              <w:t>groforestal (PINPEP) s</w:t>
            </w:r>
            <w:r w:rsidRPr="001A01AB">
              <w:rPr>
                <w:rFonts w:ascii="Calibri" w:hAnsi="Calibri" w:cs="Calibri"/>
                <w:sz w:val="20"/>
                <w:szCs w:val="22"/>
                <w:lang w:val="es-GT"/>
              </w:rPr>
              <w:t>e encuentra en operación</w:t>
            </w:r>
            <w:r>
              <w:rPr>
                <w:rFonts w:ascii="Calibri" w:hAnsi="Calibri" w:cs="Calibri"/>
                <w:sz w:val="20"/>
                <w:szCs w:val="22"/>
                <w:lang w:val="es-GT"/>
              </w:rPr>
              <w:t>.</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En el periodo 1998-2010, las plantaciones incentivadas por el INAB registraron un crecimien</w:t>
            </w:r>
            <w:r w:rsidR="00C727E4">
              <w:rPr>
                <w:rFonts w:ascii="Calibri" w:hAnsi="Calibri" w:cs="Calibri"/>
                <w:sz w:val="20"/>
                <w:szCs w:val="22"/>
                <w:lang w:val="es-GT"/>
              </w:rPr>
              <w:t>to promedio de 7,520 ha por año,</w:t>
            </w:r>
            <w:r w:rsidRPr="001A01AB">
              <w:rPr>
                <w:rFonts w:ascii="Calibri" w:hAnsi="Calibri" w:cs="Calibri"/>
                <w:sz w:val="20"/>
                <w:szCs w:val="22"/>
                <w:lang w:val="es-GT"/>
              </w:rPr>
              <w:t xml:space="preserve"> como resultado de una política pública de largo plazo.</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Se infiere que el mayor porcentaje de los incrementos en la cobertura forestal corresponde a la regeneración natural.</w:t>
            </w:r>
          </w:p>
          <w:p w:rsidR="00E31B19"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condiciones naturales favorecen la regeneración natural de los bosques.</w:t>
            </w:r>
          </w:p>
        </w:tc>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Oportunidades:</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Diversos espacios de discusión nacional e internacional tratan asuntos relacionados con el cambio climático en Guatemala, lo que implica desplegar acciones para la mitigación y la adaptación.</w:t>
            </w:r>
          </w:p>
          <w:p w:rsidR="006E10BF" w:rsidRPr="001A01AB" w:rsidRDefault="00156FA8"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Los </w:t>
            </w:r>
            <w:r w:rsidR="006E10BF" w:rsidRPr="001A01AB">
              <w:rPr>
                <w:rFonts w:ascii="Calibri" w:hAnsi="Calibri" w:cs="Calibri"/>
                <w:sz w:val="20"/>
                <w:szCs w:val="22"/>
                <w:lang w:val="es-GT"/>
              </w:rPr>
              <w:t>debates mundiales sobre cambio climático se centran cada vez más en la necesidad de reducir las emisiones de gases de efecto invernadero generadas por la deforestación y la degradación de los bosques en los países en vías de desarrollo.</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Para el caso de la adaptación, se trata de crear o fortalec</w:t>
            </w:r>
            <w:r w:rsidR="00C727E4">
              <w:rPr>
                <w:rFonts w:ascii="Calibri" w:hAnsi="Calibri" w:cs="Calibri"/>
                <w:sz w:val="20"/>
                <w:szCs w:val="22"/>
                <w:lang w:val="es-GT"/>
              </w:rPr>
              <w:t>er capacidades sociales locales</w:t>
            </w:r>
            <w:r w:rsidRPr="001A01AB">
              <w:rPr>
                <w:rFonts w:ascii="Calibri" w:hAnsi="Calibri" w:cs="Calibri"/>
                <w:sz w:val="20"/>
                <w:szCs w:val="22"/>
                <w:lang w:val="es-GT"/>
              </w:rPr>
              <w:t xml:space="preserve"> para internalizar y administrar los efectos adversos del cambio climático que se manifiestan como inundaciones, tormentas y sequías.</w:t>
            </w:r>
          </w:p>
          <w:p w:rsidR="00E31B19"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Una nueva red hidrometeorológica se ha implementado en el año 2000, por lo que habrá registros disponibles a futuro.</w:t>
            </w:r>
          </w:p>
        </w:tc>
      </w:tr>
      <w:tr w:rsidR="00E31B19" w:rsidRPr="000364C9" w:rsidTr="001A01AB">
        <w:trPr>
          <w:jc w:val="center"/>
        </w:trPr>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Pérdidas por un valor de 3,166.9 millones de dólares en todos los sectores (sociales, productivos, infraestructura y ambientales).</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Poca capacidad de resiliencia a la</w:t>
            </w:r>
            <w:r w:rsidR="00C727E4">
              <w:rPr>
                <w:rFonts w:ascii="Calibri" w:hAnsi="Calibri" w:cs="Calibri"/>
                <w:sz w:val="20"/>
                <w:szCs w:val="22"/>
                <w:lang w:val="es-GT"/>
              </w:rPr>
              <w:t>s</w:t>
            </w:r>
            <w:r w:rsidRPr="001A01AB">
              <w:rPr>
                <w:rFonts w:ascii="Calibri" w:hAnsi="Calibri" w:cs="Calibri"/>
                <w:sz w:val="20"/>
                <w:szCs w:val="22"/>
                <w:lang w:val="es-GT"/>
              </w:rPr>
              <w:t xml:space="preserve"> pérdidas económicas causadas por desastres ocurridos (inundaciones de 1982, Huracán Mitch en 1998, sequ</w:t>
            </w:r>
            <w:r w:rsidR="00C727E4">
              <w:rPr>
                <w:rFonts w:ascii="Calibri" w:hAnsi="Calibri" w:cs="Calibri"/>
                <w:sz w:val="20"/>
                <w:szCs w:val="22"/>
                <w:lang w:val="es-GT"/>
              </w:rPr>
              <w:t>í</w:t>
            </w:r>
            <w:r w:rsidRPr="001A01AB">
              <w:rPr>
                <w:rFonts w:ascii="Calibri" w:hAnsi="Calibri" w:cs="Calibri"/>
                <w:sz w:val="20"/>
                <w:szCs w:val="22"/>
                <w:lang w:val="es-GT"/>
              </w:rPr>
              <w:t>as en 2001, Tormenta Stan en 2005 y la Tormenta Agatha en 2010).</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Pérdidas parciales de las cosechas por efectos del clima</w:t>
            </w:r>
            <w:r w:rsidR="00C727E4">
              <w:rPr>
                <w:rFonts w:ascii="Calibri" w:hAnsi="Calibri" w:cs="Calibri"/>
                <w:sz w:val="20"/>
                <w:szCs w:val="22"/>
                <w:lang w:val="es-GT"/>
              </w:rPr>
              <w:t>.</w:t>
            </w:r>
            <w:r w:rsidRPr="001A01AB">
              <w:rPr>
                <w:rFonts w:ascii="Calibri" w:hAnsi="Calibri" w:cs="Calibri"/>
                <w:sz w:val="20"/>
                <w:szCs w:val="22"/>
                <w:lang w:val="es-GT"/>
              </w:rPr>
              <w:t xml:space="preserve"> </w:t>
            </w:r>
            <w:r w:rsidR="00C727E4">
              <w:rPr>
                <w:rFonts w:ascii="Calibri" w:hAnsi="Calibri" w:cs="Calibri"/>
                <w:sz w:val="20"/>
                <w:szCs w:val="22"/>
                <w:lang w:val="es-GT"/>
              </w:rPr>
              <w:t>L</w:t>
            </w:r>
            <w:r w:rsidR="005B13AB" w:rsidRPr="001A01AB">
              <w:rPr>
                <w:rFonts w:ascii="Calibri" w:hAnsi="Calibri" w:cs="Calibri"/>
                <w:sz w:val="20"/>
                <w:szCs w:val="22"/>
                <w:lang w:val="es-GT"/>
              </w:rPr>
              <w:t xml:space="preserve">os productores </w:t>
            </w:r>
            <w:r w:rsidRPr="001A01AB">
              <w:rPr>
                <w:rFonts w:ascii="Calibri" w:hAnsi="Calibri" w:cs="Calibri"/>
                <w:sz w:val="20"/>
                <w:szCs w:val="22"/>
                <w:lang w:val="es-GT"/>
              </w:rPr>
              <w:t>consideran no</w:t>
            </w:r>
            <w:r w:rsidR="005B13AB" w:rsidRPr="001A01AB">
              <w:rPr>
                <w:rFonts w:ascii="Calibri" w:hAnsi="Calibri" w:cs="Calibri"/>
                <w:sz w:val="20"/>
                <w:szCs w:val="22"/>
                <w:lang w:val="es-GT"/>
              </w:rPr>
              <w:t xml:space="preserve"> estar adaptados al cambio climático con</w:t>
            </w:r>
            <w:r w:rsidRPr="001A01AB">
              <w:rPr>
                <w:rFonts w:ascii="Calibri" w:hAnsi="Calibri" w:cs="Calibri"/>
                <w:sz w:val="20"/>
                <w:szCs w:val="22"/>
                <w:lang w:val="es-GT"/>
              </w:rPr>
              <w:t xml:space="preserve"> cultivos resistentes a heladas, sequ</w:t>
            </w:r>
            <w:r w:rsidR="00C727E4">
              <w:rPr>
                <w:rFonts w:ascii="Calibri" w:hAnsi="Calibri" w:cs="Calibri"/>
                <w:sz w:val="20"/>
                <w:szCs w:val="22"/>
                <w:lang w:val="es-GT"/>
              </w:rPr>
              <w:t>í</w:t>
            </w:r>
            <w:r w:rsidRPr="001A01AB">
              <w:rPr>
                <w:rFonts w:ascii="Calibri" w:hAnsi="Calibri" w:cs="Calibri"/>
                <w:sz w:val="20"/>
                <w:szCs w:val="22"/>
                <w:lang w:val="es-GT"/>
              </w:rPr>
              <w:t>as e inundaciones, lo cual los hace más vulnerables.</w:t>
            </w:r>
          </w:p>
          <w:p w:rsidR="006E10BF" w:rsidRPr="001A01AB" w:rsidRDefault="00C727E4"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El b</w:t>
            </w:r>
            <w:r w:rsidR="006E10BF" w:rsidRPr="001A01AB">
              <w:rPr>
                <w:rFonts w:ascii="Calibri" w:hAnsi="Calibri" w:cs="Calibri"/>
                <w:sz w:val="20"/>
                <w:szCs w:val="22"/>
                <w:lang w:val="es-GT"/>
              </w:rPr>
              <w:t>ajo grado de conocimiento sobre las implicaciones del cambio climático en el subsistema institucional limita las posibilidades de orientar acciones con la pertinencia, suficiencia y oportunidad, para minimizar sus consecuencias negativas en los subsistemas económico, social y natural.</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ineficiencia productiva y los enfoques extractivos del subsistema económico, así como las crecientes presiones sociales, son elementos que promueven y </w:t>
            </w:r>
            <w:r w:rsidR="007C3972" w:rsidRPr="001A01AB">
              <w:rPr>
                <w:rFonts w:ascii="Calibri" w:hAnsi="Calibri" w:cs="Calibri"/>
                <w:sz w:val="20"/>
                <w:szCs w:val="22"/>
                <w:lang w:val="es-GT"/>
              </w:rPr>
              <w:t>acentúan</w:t>
            </w:r>
            <w:r w:rsidRPr="001A01AB">
              <w:rPr>
                <w:rFonts w:ascii="Calibri" w:hAnsi="Calibri" w:cs="Calibri"/>
                <w:sz w:val="20"/>
                <w:szCs w:val="22"/>
                <w:lang w:val="es-GT"/>
              </w:rPr>
              <w:t xml:space="preserve"> el deterioro natural, que merma la </w:t>
            </w:r>
            <w:r w:rsidRPr="001A01AB">
              <w:rPr>
                <w:rFonts w:ascii="Calibri" w:hAnsi="Calibri" w:cs="Calibri"/>
                <w:sz w:val="20"/>
                <w:szCs w:val="22"/>
                <w:lang w:val="es-GT"/>
              </w:rPr>
              <w:lastRenderedPageBreak/>
              <w:t>capacidad de resiliencia de los ecosistemas.</w:t>
            </w:r>
          </w:p>
          <w:p w:rsidR="005B13AB" w:rsidRPr="001A01AB" w:rsidRDefault="005B13AB"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 (cont</w:t>
            </w:r>
            <w:r w:rsidR="007C3972" w:rsidRPr="001A01AB">
              <w:rPr>
                <w:rFonts w:ascii="Calibri" w:hAnsi="Calibri" w:cs="Calibri"/>
                <w:b/>
                <w:color w:val="365F91"/>
                <w:sz w:val="20"/>
                <w:szCs w:val="22"/>
                <w:lang w:val="es-GT"/>
              </w:rPr>
              <w:t>inuación</w:t>
            </w:r>
            <w:r w:rsidRPr="001A01AB">
              <w:rPr>
                <w:rFonts w:ascii="Calibri" w:hAnsi="Calibri" w:cs="Calibri"/>
                <w:b/>
                <w:color w:val="365F91"/>
                <w:sz w:val="20"/>
                <w:szCs w:val="22"/>
                <w:lang w:val="es-GT"/>
              </w:rPr>
              <w:t>):</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Necesidad de impulsar acciones integrales amparadas por lo menos en la emisión explícita de una política y una estrategia nacional de cambio climático de aplicación inmediata.</w:t>
            </w:r>
          </w:p>
          <w:p w:rsidR="006E10BF" w:rsidRPr="001A01AB" w:rsidRDefault="00B32D6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Para enfrentar el cambio climático,</w:t>
            </w:r>
            <w:r w:rsidR="006E10BF" w:rsidRPr="001A01AB">
              <w:rPr>
                <w:rFonts w:ascii="Calibri" w:hAnsi="Calibri" w:cs="Calibri"/>
                <w:sz w:val="20"/>
                <w:szCs w:val="22"/>
                <w:lang w:val="es-GT"/>
              </w:rPr>
              <w:t xml:space="preserve"> aún es débil el liderazgo institucional público que promueva inversiones, tanto estatales como privadas, para enfoques de restauración y conservación del territorio sobre los enfoques de uso extractivo.</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Débil liderazgo para mejorar la capacidad de negociación para obtener financiamiento internacional complementario al nacional.</w:t>
            </w:r>
          </w:p>
          <w:p w:rsidR="006E10BF" w:rsidRPr="001A01AB" w:rsidRDefault="00B32D6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Las a</w:t>
            </w:r>
            <w:r w:rsidR="006E10BF" w:rsidRPr="001A01AB">
              <w:rPr>
                <w:rFonts w:ascii="Calibri" w:hAnsi="Calibri" w:cs="Calibri"/>
                <w:sz w:val="20"/>
                <w:szCs w:val="22"/>
                <w:lang w:val="es-GT"/>
              </w:rPr>
              <w:t xml:space="preserve">ctividades económicas </w:t>
            </w:r>
            <w:r w:rsidRPr="001A01AB">
              <w:rPr>
                <w:rFonts w:ascii="Calibri" w:hAnsi="Calibri" w:cs="Calibri"/>
                <w:sz w:val="20"/>
                <w:szCs w:val="22"/>
                <w:lang w:val="es-GT"/>
              </w:rPr>
              <w:t>de generación y distribución de energía, silvicultura, agricultura, ganadería, transporte e ind</w:t>
            </w:r>
            <w:r>
              <w:rPr>
                <w:rFonts w:ascii="Calibri" w:hAnsi="Calibri" w:cs="Calibri"/>
                <w:sz w:val="20"/>
                <w:szCs w:val="22"/>
                <w:lang w:val="es-GT"/>
              </w:rPr>
              <w:t xml:space="preserve">ustria, </w:t>
            </w:r>
            <w:r w:rsidR="006E10BF" w:rsidRPr="001A01AB">
              <w:rPr>
                <w:rFonts w:ascii="Calibri" w:hAnsi="Calibri" w:cs="Calibri"/>
                <w:sz w:val="20"/>
                <w:szCs w:val="22"/>
                <w:lang w:val="es-GT"/>
              </w:rPr>
              <w:t xml:space="preserve">aún </w:t>
            </w:r>
            <w:r>
              <w:rPr>
                <w:rFonts w:ascii="Calibri" w:hAnsi="Calibri" w:cs="Calibri"/>
                <w:sz w:val="20"/>
                <w:szCs w:val="22"/>
                <w:lang w:val="es-GT"/>
              </w:rPr>
              <w:t xml:space="preserve">se </w:t>
            </w:r>
            <w:r w:rsidR="006E10BF" w:rsidRPr="001A01AB">
              <w:rPr>
                <w:rFonts w:ascii="Calibri" w:hAnsi="Calibri" w:cs="Calibri"/>
                <w:sz w:val="20"/>
                <w:szCs w:val="22"/>
                <w:lang w:val="es-GT"/>
              </w:rPr>
              <w:t xml:space="preserve">no transforman </w:t>
            </w:r>
            <w:r>
              <w:rPr>
                <w:rFonts w:ascii="Calibri" w:hAnsi="Calibri" w:cs="Calibri"/>
                <w:sz w:val="20"/>
                <w:szCs w:val="22"/>
                <w:lang w:val="es-GT"/>
              </w:rPr>
              <w:t>haci</w:t>
            </w:r>
            <w:r w:rsidR="006E10BF" w:rsidRPr="001A01AB">
              <w:rPr>
                <w:rFonts w:ascii="Calibri" w:hAnsi="Calibri" w:cs="Calibri"/>
                <w:sz w:val="20"/>
                <w:szCs w:val="22"/>
                <w:lang w:val="es-GT"/>
              </w:rPr>
              <w:t>a tecnologías modernas y limpias, para mejorar su desempeño ambiental</w:t>
            </w:r>
            <w:r>
              <w:rPr>
                <w:rFonts w:ascii="Calibri" w:hAnsi="Calibri" w:cs="Calibri"/>
                <w:sz w:val="20"/>
                <w:szCs w:val="22"/>
                <w:lang w:val="es-GT"/>
              </w:rPr>
              <w:t>.</w:t>
            </w:r>
          </w:p>
          <w:p w:rsidR="00E31B19"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En la actualidad</w:t>
            </w:r>
            <w:r w:rsidR="00B32D62">
              <w:rPr>
                <w:rFonts w:ascii="Calibri" w:hAnsi="Calibri" w:cs="Calibri"/>
                <w:sz w:val="20"/>
                <w:szCs w:val="22"/>
                <w:lang w:val="es-GT"/>
              </w:rPr>
              <w:t>,</w:t>
            </w:r>
            <w:r w:rsidRPr="001A01AB">
              <w:rPr>
                <w:rFonts w:ascii="Calibri" w:hAnsi="Calibri" w:cs="Calibri"/>
                <w:sz w:val="20"/>
                <w:szCs w:val="22"/>
                <w:lang w:val="es-GT"/>
              </w:rPr>
              <w:t xml:space="preserve"> el conoc</w:t>
            </w:r>
            <w:r w:rsidR="00B32D62">
              <w:rPr>
                <w:rFonts w:ascii="Calibri" w:hAnsi="Calibri" w:cs="Calibri"/>
                <w:sz w:val="20"/>
                <w:szCs w:val="22"/>
                <w:lang w:val="es-GT"/>
              </w:rPr>
              <w:t>imiento del recurso es limitado. L</w:t>
            </w:r>
            <w:r w:rsidRPr="001A01AB">
              <w:rPr>
                <w:rFonts w:ascii="Calibri" w:hAnsi="Calibri" w:cs="Calibri"/>
                <w:sz w:val="20"/>
                <w:szCs w:val="22"/>
                <w:lang w:val="es-GT"/>
              </w:rPr>
              <w:t xml:space="preserve">a mayoría de las estaciones que conformaban la </w:t>
            </w:r>
            <w:r w:rsidR="00B32D62">
              <w:rPr>
                <w:rFonts w:ascii="Calibri" w:hAnsi="Calibri" w:cs="Calibri"/>
                <w:sz w:val="20"/>
                <w:szCs w:val="22"/>
                <w:lang w:val="es-GT"/>
              </w:rPr>
              <w:t>red hidrometeorológica nacional</w:t>
            </w:r>
            <w:r w:rsidRPr="001A01AB">
              <w:rPr>
                <w:rFonts w:ascii="Calibri" w:hAnsi="Calibri" w:cs="Calibri"/>
                <w:sz w:val="20"/>
                <w:szCs w:val="22"/>
                <w:lang w:val="es-GT"/>
              </w:rPr>
              <w:t xml:space="preserve"> han operado irregularmente desde el principio de la década de los años ochenta.</w:t>
            </w:r>
          </w:p>
        </w:tc>
        <w:tc>
          <w:tcPr>
            <w:tcW w:w="4788" w:type="dxa"/>
            <w:shd w:val="clear" w:color="auto" w:fill="auto"/>
          </w:tcPr>
          <w:p w:rsidR="00E31B19" w:rsidRPr="001A01AB" w:rsidRDefault="00E31B19"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w:t>
            </w:r>
          </w:p>
          <w:p w:rsidR="006E10BF" w:rsidRPr="001A01AB" w:rsidRDefault="00C727E4"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Reducción</w:t>
            </w:r>
            <w:r w:rsidR="006E10BF" w:rsidRPr="001A01AB">
              <w:rPr>
                <w:rFonts w:ascii="Calibri" w:hAnsi="Calibri" w:cs="Calibri"/>
                <w:sz w:val="20"/>
                <w:szCs w:val="22"/>
                <w:lang w:val="es-GT"/>
              </w:rPr>
              <w:t xml:space="preserve"> de la productividad de los ecosistemas, con repercusiones sociales en los procesos de empobrecimiento, migración, desplazamientos internos y deterioro de la calidad de vida de la población, </w:t>
            </w:r>
            <w:r w:rsidR="005B13AB" w:rsidRPr="001A01AB">
              <w:rPr>
                <w:rFonts w:ascii="Calibri" w:hAnsi="Calibri" w:cs="Calibri"/>
                <w:sz w:val="20"/>
                <w:szCs w:val="22"/>
                <w:lang w:val="es-GT"/>
              </w:rPr>
              <w:t>t</w:t>
            </w:r>
            <w:r w:rsidR="006E10BF" w:rsidRPr="001A01AB">
              <w:rPr>
                <w:rFonts w:ascii="Calibri" w:hAnsi="Calibri" w:cs="Calibri"/>
                <w:sz w:val="20"/>
                <w:szCs w:val="22"/>
                <w:lang w:val="es-GT"/>
              </w:rPr>
              <w:t>a</w:t>
            </w:r>
            <w:r w:rsidR="005B13AB" w:rsidRPr="001A01AB">
              <w:rPr>
                <w:rFonts w:ascii="Calibri" w:hAnsi="Calibri" w:cs="Calibri"/>
                <w:sz w:val="20"/>
                <w:szCs w:val="22"/>
                <w:lang w:val="es-GT"/>
              </w:rPr>
              <w:t>nto</w:t>
            </w:r>
            <w:r w:rsidR="006E10BF" w:rsidRPr="001A01AB">
              <w:rPr>
                <w:rFonts w:ascii="Calibri" w:hAnsi="Calibri" w:cs="Calibri"/>
                <w:sz w:val="20"/>
                <w:szCs w:val="22"/>
                <w:lang w:val="es-GT"/>
              </w:rPr>
              <w:t xml:space="preserve"> rural y </w:t>
            </w:r>
            <w:r>
              <w:rPr>
                <w:rFonts w:ascii="Calibri" w:hAnsi="Calibri" w:cs="Calibri"/>
                <w:sz w:val="20"/>
                <w:szCs w:val="22"/>
                <w:lang w:val="es-GT"/>
              </w:rPr>
              <w:t xml:space="preserve">como </w:t>
            </w:r>
            <w:r w:rsidR="006E10BF" w:rsidRPr="001A01AB">
              <w:rPr>
                <w:rFonts w:ascii="Calibri" w:hAnsi="Calibri" w:cs="Calibri"/>
                <w:sz w:val="20"/>
                <w:szCs w:val="22"/>
                <w:lang w:val="es-GT"/>
              </w:rPr>
              <w:t>urbano-marginal.</w:t>
            </w:r>
          </w:p>
          <w:p w:rsidR="006E10BF" w:rsidRPr="001A01AB" w:rsidRDefault="005B13AB"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w:t>
            </w:r>
            <w:r w:rsidR="006E10BF" w:rsidRPr="001A01AB">
              <w:rPr>
                <w:rFonts w:ascii="Calibri" w:hAnsi="Calibri" w:cs="Calibri"/>
                <w:sz w:val="20"/>
                <w:szCs w:val="22"/>
                <w:lang w:val="es-GT"/>
              </w:rPr>
              <w:t>falta de acceso a los medios de producc</w:t>
            </w:r>
            <w:r w:rsidR="00C727E4">
              <w:rPr>
                <w:rFonts w:ascii="Calibri" w:hAnsi="Calibri" w:cs="Calibri"/>
                <w:sz w:val="20"/>
                <w:szCs w:val="22"/>
                <w:lang w:val="es-GT"/>
              </w:rPr>
              <w:t xml:space="preserve">ión y </w:t>
            </w:r>
            <w:r w:rsidR="006E10BF" w:rsidRPr="001A01AB">
              <w:rPr>
                <w:rFonts w:ascii="Calibri" w:hAnsi="Calibri" w:cs="Calibri"/>
                <w:sz w:val="20"/>
                <w:szCs w:val="22"/>
                <w:lang w:val="es-GT"/>
              </w:rPr>
              <w:t xml:space="preserve">de certeza jurídica sobre la tenencia y propiedad de la </w:t>
            </w:r>
            <w:r w:rsidR="00EE73B5">
              <w:rPr>
                <w:rFonts w:ascii="Calibri" w:hAnsi="Calibri" w:cs="Calibri"/>
                <w:sz w:val="20"/>
                <w:szCs w:val="22"/>
                <w:lang w:val="es-GT"/>
              </w:rPr>
              <w:t>tierra</w:t>
            </w:r>
            <w:r w:rsidR="006E10BF" w:rsidRPr="001A01AB">
              <w:rPr>
                <w:rFonts w:ascii="Calibri" w:hAnsi="Calibri" w:cs="Calibri"/>
                <w:sz w:val="20"/>
                <w:szCs w:val="22"/>
                <w:lang w:val="es-GT"/>
              </w:rPr>
              <w:t xml:space="preserve">, </w:t>
            </w:r>
            <w:r w:rsidR="00C727E4">
              <w:rPr>
                <w:rFonts w:ascii="Calibri" w:hAnsi="Calibri" w:cs="Calibri"/>
                <w:sz w:val="20"/>
                <w:szCs w:val="22"/>
                <w:lang w:val="es-GT"/>
              </w:rPr>
              <w:t>que dificulta acceso al crédito; aunado a que</w:t>
            </w:r>
            <w:r w:rsidR="006E10BF" w:rsidRPr="001A01AB">
              <w:rPr>
                <w:rFonts w:ascii="Calibri" w:hAnsi="Calibri" w:cs="Calibri"/>
                <w:sz w:val="20"/>
                <w:szCs w:val="22"/>
                <w:lang w:val="es-GT"/>
              </w:rPr>
              <w:t xml:space="preserve"> la infraestructura productiva en algunos lugares del país es baja o nula, </w:t>
            </w:r>
            <w:r w:rsidR="00EE73B5">
              <w:rPr>
                <w:rFonts w:ascii="Calibri" w:hAnsi="Calibri" w:cs="Calibri"/>
                <w:sz w:val="20"/>
                <w:szCs w:val="22"/>
                <w:lang w:val="es-GT"/>
              </w:rPr>
              <w:t xml:space="preserve">a </w:t>
            </w:r>
            <w:r w:rsidR="006E10BF" w:rsidRPr="001A01AB">
              <w:rPr>
                <w:rFonts w:ascii="Calibri" w:hAnsi="Calibri" w:cs="Calibri"/>
                <w:sz w:val="20"/>
                <w:szCs w:val="22"/>
                <w:lang w:val="es-GT"/>
              </w:rPr>
              <w:t xml:space="preserve">la falta de tecnología en los procesos de producción y </w:t>
            </w:r>
            <w:r w:rsidR="00EE73B5">
              <w:rPr>
                <w:rFonts w:ascii="Calibri" w:hAnsi="Calibri" w:cs="Calibri"/>
                <w:sz w:val="20"/>
                <w:szCs w:val="22"/>
                <w:lang w:val="es-GT"/>
              </w:rPr>
              <w:t xml:space="preserve">a la </w:t>
            </w:r>
            <w:r w:rsidR="006E10BF" w:rsidRPr="001A01AB">
              <w:rPr>
                <w:rFonts w:ascii="Calibri" w:hAnsi="Calibri" w:cs="Calibri"/>
                <w:sz w:val="20"/>
                <w:szCs w:val="22"/>
                <w:lang w:val="es-GT"/>
              </w:rPr>
              <w:t>práctica de sistemas de producción insostenibles</w:t>
            </w:r>
            <w:r w:rsidR="00EE73B5">
              <w:rPr>
                <w:rFonts w:ascii="Calibri" w:hAnsi="Calibri" w:cs="Calibri"/>
                <w:sz w:val="20"/>
                <w:szCs w:val="22"/>
                <w:lang w:val="es-GT"/>
              </w:rPr>
              <w:t>;</w:t>
            </w:r>
            <w:r w:rsidR="006E10BF" w:rsidRPr="001A01AB">
              <w:rPr>
                <w:rFonts w:ascii="Calibri" w:hAnsi="Calibri" w:cs="Calibri"/>
                <w:sz w:val="20"/>
                <w:szCs w:val="22"/>
                <w:lang w:val="es-GT"/>
              </w:rPr>
              <w:t xml:space="preserve"> impedirán niveles aceptables de competitividad en el país.</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comportamiento histórico de la precipitación muestra una tendencia al predominio de las anomalías negativas de lluvias.</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comunidades rurales presentan alto riesgo a deslaves, h</w:t>
            </w:r>
            <w:r w:rsidR="00B850BA">
              <w:rPr>
                <w:rFonts w:ascii="Calibri" w:hAnsi="Calibri" w:cs="Calibri"/>
                <w:sz w:val="20"/>
                <w:szCs w:val="22"/>
                <w:lang w:val="es-GT"/>
              </w:rPr>
              <w:t>eladas, vientos, granizo y sequí</w:t>
            </w:r>
            <w:r w:rsidRPr="001A01AB">
              <w:rPr>
                <w:rFonts w:ascii="Calibri" w:hAnsi="Calibri" w:cs="Calibri"/>
                <w:sz w:val="20"/>
                <w:szCs w:val="22"/>
                <w:lang w:val="es-GT"/>
              </w:rPr>
              <w:t>a.</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Disminución del número y caudal de fuentes de agua a nivel comunitario.</w:t>
            </w:r>
          </w:p>
          <w:p w:rsidR="006E10BF" w:rsidRPr="001A01AB" w:rsidRDefault="005B13AB"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Conflictos </w:t>
            </w:r>
            <w:r w:rsidR="006E10BF" w:rsidRPr="001A01AB">
              <w:rPr>
                <w:rFonts w:ascii="Calibri" w:hAnsi="Calibri" w:cs="Calibri"/>
                <w:sz w:val="20"/>
                <w:szCs w:val="22"/>
                <w:lang w:val="es-GT"/>
              </w:rPr>
              <w:t>derivados de la falta de acceso a fuentes seguras de agua potable, principalmente en el área rural, donde el 24.73% de los hogares al año 2011 no posee servicio de agua potable.</w:t>
            </w:r>
          </w:p>
          <w:p w:rsidR="005B13AB" w:rsidRPr="001A01AB" w:rsidRDefault="005B13AB"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 (cont</w:t>
            </w:r>
            <w:r w:rsidR="007C3972" w:rsidRPr="001A01AB">
              <w:rPr>
                <w:rFonts w:ascii="Calibri" w:hAnsi="Calibri" w:cs="Calibri"/>
                <w:b/>
                <w:color w:val="365F91"/>
                <w:sz w:val="20"/>
                <w:szCs w:val="22"/>
                <w:lang w:val="es-GT"/>
              </w:rPr>
              <w:t>inuación</w:t>
            </w:r>
            <w:r w:rsidRPr="001A01AB">
              <w:rPr>
                <w:rFonts w:ascii="Calibri" w:hAnsi="Calibri" w:cs="Calibri"/>
                <w:b/>
                <w:color w:val="365F91"/>
                <w:sz w:val="20"/>
                <w:szCs w:val="22"/>
                <w:lang w:val="es-GT"/>
              </w:rPr>
              <w:t>):</w:t>
            </w:r>
          </w:p>
          <w:p w:rsidR="006E10BF" w:rsidRPr="001A01AB" w:rsidRDefault="005B13AB"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Erosión </w:t>
            </w:r>
            <w:r w:rsidR="006E10BF" w:rsidRPr="001A01AB">
              <w:rPr>
                <w:rFonts w:ascii="Calibri" w:hAnsi="Calibri" w:cs="Calibri"/>
                <w:sz w:val="20"/>
                <w:szCs w:val="22"/>
                <w:lang w:val="es-GT"/>
              </w:rPr>
              <w:t xml:space="preserve">potencial de 48 millones de toneladas de suelo al año debido </w:t>
            </w:r>
            <w:r w:rsidRPr="001A01AB">
              <w:rPr>
                <w:rFonts w:ascii="Calibri" w:hAnsi="Calibri" w:cs="Calibri"/>
                <w:sz w:val="20"/>
                <w:szCs w:val="22"/>
                <w:lang w:val="es-GT"/>
              </w:rPr>
              <w:t>al</w:t>
            </w:r>
            <w:r w:rsidR="006E10BF" w:rsidRPr="001A01AB">
              <w:rPr>
                <w:rFonts w:ascii="Calibri" w:hAnsi="Calibri" w:cs="Calibri"/>
                <w:sz w:val="20"/>
                <w:szCs w:val="22"/>
                <w:lang w:val="es-GT"/>
              </w:rPr>
              <w:t xml:space="preserve"> sobreuso del suelo </w:t>
            </w:r>
            <w:r w:rsidR="006E10BF" w:rsidRPr="00106BE9">
              <w:rPr>
                <w:rFonts w:ascii="Calibri" w:hAnsi="Calibri" w:cs="Calibri"/>
                <w:sz w:val="20"/>
                <w:szCs w:val="22"/>
                <w:highlight w:val="yellow"/>
                <w:lang w:val="es-GT"/>
              </w:rPr>
              <w:t>(24%).</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falta o nulo reconocimiento económico al servicio ambiental hídrico que utiliza la agroindustria </w:t>
            </w:r>
            <w:r w:rsidRPr="00106BE9">
              <w:rPr>
                <w:rFonts w:ascii="Calibri" w:hAnsi="Calibri" w:cs="Calibri"/>
                <w:sz w:val="20"/>
                <w:szCs w:val="22"/>
                <w:highlight w:val="yellow"/>
                <w:lang w:val="es-GT"/>
              </w:rPr>
              <w:t>(35.7%)</w:t>
            </w:r>
            <w:r w:rsidRPr="001A01AB">
              <w:rPr>
                <w:rFonts w:ascii="Calibri" w:hAnsi="Calibri" w:cs="Calibri"/>
                <w:sz w:val="20"/>
                <w:szCs w:val="22"/>
                <w:lang w:val="es-GT"/>
              </w:rPr>
              <w:t xml:space="preserve">  </w:t>
            </w:r>
            <w:r w:rsidR="00106BE9">
              <w:rPr>
                <w:rFonts w:ascii="Calibri" w:hAnsi="Calibri" w:cs="Calibri"/>
                <w:sz w:val="20"/>
                <w:szCs w:val="22"/>
                <w:lang w:val="es-GT"/>
              </w:rPr>
              <w:t>-</w:t>
            </w:r>
            <w:r w:rsidRPr="001A01AB">
              <w:rPr>
                <w:rFonts w:ascii="Calibri" w:hAnsi="Calibri" w:cs="Calibri"/>
                <w:sz w:val="20"/>
                <w:szCs w:val="22"/>
                <w:lang w:val="es-GT"/>
              </w:rPr>
              <w:t>proveniente de las partes altas</w:t>
            </w:r>
            <w:r w:rsidR="00106BE9">
              <w:rPr>
                <w:rFonts w:ascii="Calibri" w:hAnsi="Calibri" w:cs="Calibri"/>
                <w:sz w:val="20"/>
                <w:szCs w:val="22"/>
                <w:lang w:val="es-GT"/>
              </w:rPr>
              <w:t>-, provoca presión por</w:t>
            </w:r>
            <w:r w:rsidRPr="001A01AB">
              <w:rPr>
                <w:rFonts w:ascii="Calibri" w:hAnsi="Calibri" w:cs="Calibri"/>
                <w:sz w:val="20"/>
                <w:szCs w:val="22"/>
                <w:lang w:val="es-GT"/>
              </w:rPr>
              <w:t xml:space="preserve"> cambio de uso en las zonas de bosques estratégicos.</w:t>
            </w:r>
          </w:p>
          <w:p w:rsidR="006E10BF" w:rsidRPr="001A01AB" w:rsidRDefault="005B13AB"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Aun</w:t>
            </w:r>
            <w:r w:rsidR="00106BE9">
              <w:rPr>
                <w:rFonts w:ascii="Calibri" w:hAnsi="Calibri" w:cs="Calibri"/>
                <w:sz w:val="20"/>
                <w:szCs w:val="22"/>
                <w:lang w:val="es-GT"/>
              </w:rPr>
              <w:t>que</w:t>
            </w:r>
            <w:r w:rsidR="006E10BF" w:rsidRPr="001A01AB">
              <w:rPr>
                <w:rFonts w:ascii="Calibri" w:hAnsi="Calibri" w:cs="Calibri"/>
                <w:sz w:val="20"/>
                <w:szCs w:val="22"/>
                <w:lang w:val="es-GT"/>
              </w:rPr>
              <w:t xml:space="preserve"> la disponibilidad hídrica promedio anual se encuentra muy por encima en un país con riesgo hídrico, la distribución espacial de la lluvia es muy irregular y la disponibilidad natural del agua no coincide exactamente con las demandas.</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14 ríos y cuatro lagos presentan altos niveles de </w:t>
            </w:r>
            <w:r w:rsidR="00AC6E92" w:rsidRPr="001A01AB">
              <w:rPr>
                <w:rFonts w:ascii="Calibri" w:hAnsi="Calibri" w:cs="Calibri"/>
                <w:sz w:val="20"/>
                <w:szCs w:val="22"/>
                <w:lang w:val="es-GT"/>
              </w:rPr>
              <w:t>contaminación (</w:t>
            </w:r>
            <w:r w:rsidRPr="001A01AB">
              <w:rPr>
                <w:rFonts w:ascii="Calibri" w:hAnsi="Calibri" w:cs="Calibri"/>
                <w:sz w:val="20"/>
                <w:szCs w:val="22"/>
                <w:lang w:val="es-GT"/>
              </w:rPr>
              <w:t>materia orgánica, microorganismos, contaminantes tóxicos y materiales cancerígenos</w:t>
            </w:r>
            <w:r w:rsidR="00AC6E92" w:rsidRPr="001A01AB">
              <w:rPr>
                <w:rFonts w:ascii="Calibri" w:hAnsi="Calibri" w:cs="Calibri"/>
                <w:sz w:val="20"/>
                <w:szCs w:val="22"/>
                <w:lang w:val="es-GT"/>
              </w:rPr>
              <w:t>)</w:t>
            </w:r>
            <w:r w:rsidRPr="001A01AB">
              <w:rPr>
                <w:rFonts w:ascii="Calibri" w:hAnsi="Calibri" w:cs="Calibri"/>
                <w:sz w:val="20"/>
                <w:szCs w:val="22"/>
                <w:lang w:val="es-GT"/>
              </w:rPr>
              <w:t xml:space="preserve">, </w:t>
            </w:r>
            <w:r w:rsidR="00106BE9">
              <w:rPr>
                <w:rFonts w:ascii="Calibri" w:hAnsi="Calibri" w:cs="Calibri"/>
                <w:sz w:val="20"/>
                <w:szCs w:val="22"/>
                <w:lang w:val="es-GT"/>
              </w:rPr>
              <w:t>lo cual limita el</w:t>
            </w:r>
            <w:r w:rsidR="00AC6E92" w:rsidRPr="001A01AB">
              <w:rPr>
                <w:rFonts w:ascii="Calibri" w:hAnsi="Calibri" w:cs="Calibri"/>
                <w:sz w:val="20"/>
                <w:szCs w:val="22"/>
                <w:lang w:val="es-GT"/>
              </w:rPr>
              <w:t xml:space="preserve"> uso </w:t>
            </w:r>
            <w:r w:rsidR="00106BE9">
              <w:rPr>
                <w:rFonts w:ascii="Calibri" w:hAnsi="Calibri" w:cs="Calibri"/>
                <w:sz w:val="20"/>
                <w:szCs w:val="22"/>
                <w:lang w:val="es-GT"/>
              </w:rPr>
              <w:t xml:space="preserve">de </w:t>
            </w:r>
            <w:r w:rsidR="00AC6E92" w:rsidRPr="001A01AB">
              <w:rPr>
                <w:rFonts w:ascii="Calibri" w:hAnsi="Calibri" w:cs="Calibri"/>
                <w:sz w:val="20"/>
                <w:szCs w:val="22"/>
                <w:lang w:val="es-GT"/>
              </w:rPr>
              <w:t>su</w:t>
            </w:r>
            <w:r w:rsidRPr="001A01AB">
              <w:rPr>
                <w:rFonts w:ascii="Calibri" w:hAnsi="Calibri" w:cs="Calibri"/>
                <w:sz w:val="20"/>
                <w:szCs w:val="22"/>
                <w:lang w:val="es-GT"/>
              </w:rPr>
              <w:t>s aguas para consumo y riego.</w:t>
            </w:r>
          </w:p>
          <w:p w:rsidR="006E10BF"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tierras en sobreuso corresponde</w:t>
            </w:r>
            <w:r w:rsidR="00106BE9">
              <w:rPr>
                <w:rFonts w:ascii="Calibri" w:hAnsi="Calibri" w:cs="Calibri"/>
                <w:sz w:val="20"/>
                <w:szCs w:val="22"/>
                <w:lang w:val="es-GT"/>
              </w:rPr>
              <w:t>n</w:t>
            </w:r>
            <w:r w:rsidRPr="001A01AB">
              <w:rPr>
                <w:rFonts w:ascii="Calibri" w:hAnsi="Calibri" w:cs="Calibri"/>
                <w:sz w:val="20"/>
                <w:szCs w:val="22"/>
                <w:lang w:val="es-GT"/>
              </w:rPr>
              <w:t xml:space="preserve"> a tierras con capacidad de uso forestal </w:t>
            </w:r>
            <w:r w:rsidR="005B13AB" w:rsidRPr="001A01AB">
              <w:rPr>
                <w:rFonts w:ascii="Calibri" w:hAnsi="Calibri" w:cs="Calibri"/>
                <w:sz w:val="20"/>
                <w:szCs w:val="22"/>
                <w:lang w:val="es-GT"/>
              </w:rPr>
              <w:t>(</w:t>
            </w:r>
            <w:r w:rsidRPr="001A01AB">
              <w:rPr>
                <w:rFonts w:ascii="Calibri" w:hAnsi="Calibri" w:cs="Calibri"/>
                <w:sz w:val="20"/>
                <w:szCs w:val="22"/>
                <w:lang w:val="es-GT"/>
              </w:rPr>
              <w:t>productivo o protección</w:t>
            </w:r>
            <w:r w:rsidR="005B13AB" w:rsidRPr="001A01AB">
              <w:rPr>
                <w:rFonts w:ascii="Calibri" w:hAnsi="Calibri" w:cs="Calibri"/>
                <w:sz w:val="20"/>
                <w:szCs w:val="22"/>
                <w:lang w:val="es-GT"/>
              </w:rPr>
              <w:t>)</w:t>
            </w:r>
            <w:r w:rsidR="00106BE9">
              <w:rPr>
                <w:rFonts w:ascii="Calibri" w:hAnsi="Calibri" w:cs="Calibri"/>
                <w:sz w:val="20"/>
                <w:szCs w:val="22"/>
                <w:lang w:val="es-GT"/>
              </w:rPr>
              <w:t>,</w:t>
            </w:r>
            <w:r w:rsidRPr="001A01AB">
              <w:rPr>
                <w:rFonts w:ascii="Calibri" w:hAnsi="Calibri" w:cs="Calibri"/>
                <w:sz w:val="20"/>
                <w:szCs w:val="22"/>
                <w:lang w:val="es-GT"/>
              </w:rPr>
              <w:t xml:space="preserve"> dedicadas a la producción de cultivos agrícolas tradicionales</w:t>
            </w:r>
            <w:r w:rsidR="005B13AB" w:rsidRPr="001A01AB">
              <w:rPr>
                <w:rFonts w:ascii="Calibri" w:hAnsi="Calibri" w:cs="Calibri"/>
                <w:sz w:val="20"/>
                <w:szCs w:val="22"/>
                <w:lang w:val="es-GT"/>
              </w:rPr>
              <w:t xml:space="preserve"> (</w:t>
            </w:r>
            <w:r w:rsidRPr="001A01AB">
              <w:rPr>
                <w:rFonts w:ascii="Calibri" w:hAnsi="Calibri" w:cs="Calibri"/>
                <w:sz w:val="20"/>
                <w:szCs w:val="22"/>
                <w:lang w:val="es-GT"/>
              </w:rPr>
              <w:t>granos básicos</w:t>
            </w:r>
            <w:r w:rsidR="005B13AB" w:rsidRPr="001A01AB">
              <w:rPr>
                <w:rFonts w:ascii="Calibri" w:hAnsi="Calibri" w:cs="Calibri"/>
                <w:sz w:val="20"/>
                <w:szCs w:val="22"/>
                <w:lang w:val="es-GT"/>
              </w:rPr>
              <w:t>)</w:t>
            </w:r>
            <w:r w:rsidRPr="001A01AB">
              <w:rPr>
                <w:rFonts w:ascii="Calibri" w:hAnsi="Calibri" w:cs="Calibri"/>
                <w:sz w:val="20"/>
                <w:szCs w:val="22"/>
                <w:lang w:val="es-GT"/>
              </w:rPr>
              <w:t>.</w:t>
            </w:r>
          </w:p>
          <w:p w:rsidR="00E31B19" w:rsidRPr="001A01AB" w:rsidRDefault="006E10BF"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Se pueden generar falsas expectativas a nivel local con la promoción de mecanismos financieros sobre cambio climático</w:t>
            </w:r>
            <w:r w:rsidR="005B13AB" w:rsidRPr="001A01AB">
              <w:rPr>
                <w:rFonts w:ascii="Calibri" w:hAnsi="Calibri" w:cs="Calibri"/>
                <w:sz w:val="20"/>
                <w:szCs w:val="22"/>
                <w:lang w:val="es-GT"/>
              </w:rPr>
              <w:t xml:space="preserve"> (caso REDD).</w:t>
            </w:r>
          </w:p>
        </w:tc>
      </w:tr>
    </w:tbl>
    <w:p w:rsidR="00E31B19" w:rsidRPr="001A01AB" w:rsidRDefault="00E31B19" w:rsidP="00E31B19">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9576"/>
      </w:tblGrid>
      <w:tr w:rsidR="00E31B19" w:rsidRPr="000364C9" w:rsidTr="001A01AB">
        <w:trPr>
          <w:jc w:val="center"/>
        </w:trPr>
        <w:tc>
          <w:tcPr>
            <w:tcW w:w="9576" w:type="dxa"/>
            <w:shd w:val="clear" w:color="auto" w:fill="auto"/>
          </w:tcPr>
          <w:p w:rsidR="00E31B19" w:rsidRPr="001A01AB" w:rsidRDefault="00E31B19" w:rsidP="001A01AB">
            <w:pPr>
              <w:autoSpaceDE w:val="0"/>
              <w:autoSpaceDN w:val="0"/>
              <w:adjustRightInd w:val="0"/>
              <w:spacing w:after="60"/>
              <w:jc w:val="both"/>
              <w:rPr>
                <w:rFonts w:ascii="Calibri" w:hAnsi="Calibri" w:cs="Calibri"/>
                <w:b/>
                <w:color w:val="365F91"/>
                <w:sz w:val="22"/>
                <w:szCs w:val="22"/>
                <w:lang w:val="es-GT"/>
              </w:rPr>
            </w:pPr>
            <w:r w:rsidRPr="001A01AB">
              <w:rPr>
                <w:rFonts w:ascii="Calibri" w:hAnsi="Calibri" w:cs="Calibri"/>
                <w:b/>
                <w:color w:val="365F91"/>
                <w:sz w:val="22"/>
                <w:szCs w:val="22"/>
                <w:lang w:val="es-GT"/>
              </w:rPr>
              <w:t>Tendencias (basadas en un escenario de tipo tendencial)</w:t>
            </w:r>
          </w:p>
          <w:p w:rsidR="005B13AB" w:rsidRPr="001A01AB"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1A01AB">
              <w:rPr>
                <w:rFonts w:cs="Calibri"/>
                <w:szCs w:val="21"/>
              </w:rPr>
              <w:t>Una alarmante tendencia creciente de la tasa de deforestación anual.</w:t>
            </w:r>
          </w:p>
          <w:p w:rsidR="005B13AB" w:rsidRPr="001A01AB"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1A01AB">
              <w:rPr>
                <w:rFonts w:cs="Calibri"/>
                <w:szCs w:val="21"/>
              </w:rPr>
              <w:t>La regeneración nat</w:t>
            </w:r>
            <w:r w:rsidR="00106BE9">
              <w:rPr>
                <w:rFonts w:cs="Calibri"/>
                <w:szCs w:val="21"/>
              </w:rPr>
              <w:t>ural de bosques es importante para</w:t>
            </w:r>
            <w:r w:rsidRPr="001A01AB">
              <w:rPr>
                <w:rFonts w:cs="Calibri"/>
                <w:szCs w:val="21"/>
              </w:rPr>
              <w:t xml:space="preserve"> la recuperación de la cobertura forestal, pero la tendencia no se considera permanente al no estar apoyada por una política institucional. </w:t>
            </w:r>
          </w:p>
          <w:p w:rsidR="005B13AB" w:rsidRPr="001A01AB"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1A01AB">
              <w:rPr>
                <w:rFonts w:cs="Calibri"/>
                <w:szCs w:val="21"/>
              </w:rPr>
              <w:t>El área bajo manejo forestal sostenible se ha reducido de 22,060 en 2006 a 7,782 ha en 2010.</w:t>
            </w:r>
          </w:p>
          <w:p w:rsidR="005B13AB" w:rsidRPr="001A01AB"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1A01AB">
              <w:rPr>
                <w:rFonts w:cs="Calibri"/>
                <w:szCs w:val="21"/>
              </w:rPr>
              <w:t>Los programas ambientales y forestales para la mitigación y adaptación a la vulnerabilidad climática están en aumento.</w:t>
            </w:r>
          </w:p>
          <w:p w:rsidR="005B13AB" w:rsidRPr="001A01AB"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1A01AB">
              <w:rPr>
                <w:rFonts w:cs="Calibri"/>
                <w:szCs w:val="21"/>
              </w:rPr>
              <w:t>El conflicto de intereses interinstitucional</w:t>
            </w:r>
            <w:r w:rsidR="00106BE9">
              <w:rPr>
                <w:rFonts w:cs="Calibri"/>
                <w:szCs w:val="21"/>
              </w:rPr>
              <w:t>es</w:t>
            </w:r>
            <w:r w:rsidRPr="001A01AB">
              <w:rPr>
                <w:rFonts w:cs="Calibri"/>
                <w:szCs w:val="21"/>
              </w:rPr>
              <w:t xml:space="preserve"> en los temas d</w:t>
            </w:r>
            <w:r w:rsidR="00FB4072">
              <w:rPr>
                <w:rFonts w:cs="Calibri"/>
                <w:szCs w:val="21"/>
              </w:rPr>
              <w:t>e cambio climático se mantendrá</w:t>
            </w:r>
            <w:r w:rsidRPr="001A01AB">
              <w:rPr>
                <w:rFonts w:cs="Calibri"/>
                <w:szCs w:val="21"/>
              </w:rPr>
              <w:t xml:space="preserve"> mientras no exista una ley y reglamento que norme las acciones de</w:t>
            </w:r>
            <w:r w:rsidR="00FB4072">
              <w:rPr>
                <w:rFonts w:cs="Calibri"/>
                <w:szCs w:val="21"/>
              </w:rPr>
              <w:t>l</w:t>
            </w:r>
            <w:r w:rsidRPr="001A01AB">
              <w:rPr>
                <w:rFonts w:cs="Calibri"/>
                <w:szCs w:val="21"/>
              </w:rPr>
              <w:t xml:space="preserve"> país.</w:t>
            </w:r>
          </w:p>
          <w:p w:rsidR="005B13AB" w:rsidRPr="001A01AB"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1A01AB">
              <w:rPr>
                <w:rFonts w:cs="Calibri"/>
                <w:szCs w:val="21"/>
              </w:rPr>
              <w:t xml:space="preserve">La vulnerabilidad de </w:t>
            </w:r>
            <w:r w:rsidR="00FB4072">
              <w:rPr>
                <w:rFonts w:cs="Calibri"/>
                <w:szCs w:val="21"/>
              </w:rPr>
              <w:t xml:space="preserve">las </w:t>
            </w:r>
            <w:r w:rsidRPr="001A01AB">
              <w:rPr>
                <w:rFonts w:cs="Calibri"/>
                <w:szCs w:val="21"/>
              </w:rPr>
              <w:t>poblaciones rurales al riesgo por desastres naturales se</w:t>
            </w:r>
            <w:r w:rsidR="00FB4072">
              <w:rPr>
                <w:rFonts w:cs="Calibri"/>
                <w:szCs w:val="21"/>
              </w:rPr>
              <w:t xml:space="preserve"> incrementará en la medida que e</w:t>
            </w:r>
            <w:r w:rsidRPr="001A01AB">
              <w:rPr>
                <w:rFonts w:cs="Calibri"/>
                <w:szCs w:val="21"/>
              </w:rPr>
              <w:t>stos se presenten el Guatemala.</w:t>
            </w:r>
          </w:p>
          <w:p w:rsidR="005B13AB" w:rsidRPr="001A01AB"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1A01AB">
              <w:rPr>
                <w:rFonts w:cs="Calibri"/>
                <w:szCs w:val="21"/>
              </w:rPr>
              <w:t>El aumento de la población influirá en el crecimiento constante de la demanda de agua, aunado a la tendencia hacia el incremento de la contaminación del agua como un hecho irreversible.</w:t>
            </w:r>
          </w:p>
          <w:p w:rsidR="005B13AB" w:rsidRPr="001A01AB"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1A01AB">
              <w:rPr>
                <w:rFonts w:cs="Calibri"/>
                <w:szCs w:val="21"/>
              </w:rPr>
              <w:t>La deforestación provoca una tendencia a la disminución de la cobertura vegetal en TFCRH.</w:t>
            </w:r>
          </w:p>
          <w:p w:rsidR="005B13AB" w:rsidRPr="001A01AB"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1A01AB">
              <w:rPr>
                <w:rFonts w:cs="Calibri"/>
                <w:szCs w:val="21"/>
              </w:rPr>
              <w:t xml:space="preserve">La expansión de la agricultura anual y de cultivos de subsistencia muestra una tendencia a expandirse hacia tierras marginales para la agricultura. </w:t>
            </w:r>
          </w:p>
          <w:p w:rsidR="005B13AB" w:rsidRPr="001A01AB"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1A01AB">
              <w:rPr>
                <w:rFonts w:cs="Calibri"/>
                <w:szCs w:val="21"/>
              </w:rPr>
              <w:t xml:space="preserve">La débil implementación de actividades económicas/industriales con tecnologías modernas y limpias para la mejora del desempeño ambiental no tiende a cambiar en el corto </w:t>
            </w:r>
            <w:r w:rsidR="007C3972" w:rsidRPr="001A01AB">
              <w:rPr>
                <w:rFonts w:cs="Calibri"/>
                <w:szCs w:val="21"/>
              </w:rPr>
              <w:t>plazo.</w:t>
            </w:r>
          </w:p>
          <w:p w:rsidR="004E6953" w:rsidRPr="000D70BF" w:rsidRDefault="005B13AB" w:rsidP="004E6953">
            <w:pPr>
              <w:pStyle w:val="Prrafodelista"/>
              <w:numPr>
                <w:ilvl w:val="0"/>
                <w:numId w:val="28"/>
              </w:numPr>
              <w:autoSpaceDE w:val="0"/>
              <w:autoSpaceDN w:val="0"/>
              <w:adjustRightInd w:val="0"/>
              <w:spacing w:after="0" w:line="240" w:lineRule="auto"/>
              <w:ind w:left="284" w:hanging="284"/>
              <w:jc w:val="both"/>
              <w:rPr>
                <w:rFonts w:cs="Calibri"/>
                <w:szCs w:val="21"/>
              </w:rPr>
            </w:pPr>
            <w:r w:rsidRPr="000D70BF">
              <w:rPr>
                <w:rFonts w:cs="Calibri"/>
                <w:szCs w:val="21"/>
              </w:rPr>
              <w:t>El mercado de mecanismos financieros en la temática de cambio climático es incierto para las familias rurales de Guatemala.</w:t>
            </w:r>
          </w:p>
          <w:p w:rsidR="004E6953" w:rsidRDefault="004E6953" w:rsidP="004E6953">
            <w:pPr>
              <w:pStyle w:val="Prrafodelista"/>
              <w:autoSpaceDE w:val="0"/>
              <w:autoSpaceDN w:val="0"/>
              <w:adjustRightInd w:val="0"/>
              <w:spacing w:after="0" w:line="240" w:lineRule="auto"/>
              <w:jc w:val="both"/>
              <w:rPr>
                <w:rFonts w:cs="Calibri"/>
                <w:szCs w:val="21"/>
              </w:rPr>
            </w:pPr>
          </w:p>
          <w:p w:rsidR="004E6953" w:rsidRPr="001A01AB" w:rsidRDefault="004E6953" w:rsidP="004E6953">
            <w:pPr>
              <w:pStyle w:val="Prrafodelista"/>
              <w:autoSpaceDE w:val="0"/>
              <w:autoSpaceDN w:val="0"/>
              <w:adjustRightInd w:val="0"/>
              <w:spacing w:after="0" w:line="240" w:lineRule="auto"/>
              <w:jc w:val="both"/>
              <w:rPr>
                <w:rFonts w:cs="Calibri"/>
              </w:rPr>
            </w:pPr>
          </w:p>
        </w:tc>
      </w:tr>
    </w:tbl>
    <w:p w:rsidR="00E31B19" w:rsidRPr="001A01AB" w:rsidRDefault="00E31B19" w:rsidP="00E31B19">
      <w:pPr>
        <w:tabs>
          <w:tab w:val="left" w:pos="851"/>
        </w:tabs>
        <w:autoSpaceDE w:val="0"/>
        <w:autoSpaceDN w:val="0"/>
        <w:adjustRightInd w:val="0"/>
        <w:spacing w:after="240"/>
        <w:jc w:val="both"/>
        <w:rPr>
          <w:rFonts w:ascii="Calibri" w:hAnsi="Calibri" w:cs="Calibri"/>
          <w:b/>
          <w:color w:val="365F91"/>
          <w:szCs w:val="22"/>
          <w:lang w:val="es-GT"/>
        </w:rPr>
      </w:pPr>
      <w:r w:rsidRPr="001A01AB">
        <w:rPr>
          <w:rFonts w:ascii="Calibri" w:hAnsi="Calibri" w:cs="Calibri"/>
          <w:b/>
          <w:color w:val="365F91"/>
          <w:szCs w:val="22"/>
          <w:lang w:val="es-GT"/>
        </w:rPr>
        <w:lastRenderedPageBreak/>
        <w:t>FCD.5.</w:t>
      </w:r>
      <w:r w:rsidRPr="001A01AB">
        <w:rPr>
          <w:rFonts w:ascii="Calibri" w:hAnsi="Calibri" w:cs="Calibri"/>
          <w:b/>
          <w:color w:val="365F91"/>
          <w:szCs w:val="22"/>
          <w:lang w:val="es-GT"/>
        </w:rPr>
        <w:tab/>
        <w:t>Desarrollo institucional</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4788"/>
        <w:gridCol w:w="4788"/>
      </w:tblGrid>
      <w:tr w:rsidR="00E415E2" w:rsidRPr="000364C9" w:rsidTr="001A01AB">
        <w:trPr>
          <w:jc w:val="center"/>
        </w:trPr>
        <w:tc>
          <w:tcPr>
            <w:tcW w:w="4788" w:type="dxa"/>
            <w:shd w:val="clear" w:color="auto" w:fill="auto"/>
          </w:tcPr>
          <w:p w:rsidR="00E415E2" w:rsidRPr="001A01AB" w:rsidRDefault="00E415E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Fortalezas:</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sector ambiental cuenta con una normati</w:t>
            </w:r>
            <w:r w:rsidR="00FB4072">
              <w:rPr>
                <w:rFonts w:ascii="Calibri" w:hAnsi="Calibri" w:cs="Calibri"/>
                <w:sz w:val="20"/>
                <w:szCs w:val="22"/>
                <w:lang w:val="es-GT"/>
              </w:rPr>
              <w:t xml:space="preserve">va más amplia: </w:t>
            </w:r>
            <w:r w:rsidRPr="001A01AB">
              <w:rPr>
                <w:rFonts w:ascii="Calibri" w:hAnsi="Calibri" w:cs="Calibri"/>
                <w:sz w:val="20"/>
                <w:szCs w:val="22"/>
                <w:lang w:val="es-GT"/>
              </w:rPr>
              <w:t>Ley de Protección y Mejoramiento del Medio Ambiente (Decreto 68-86), Ley de Áreas Protegidas (Decreto 4-89),</w:t>
            </w:r>
            <w:r w:rsidR="00FB4072">
              <w:rPr>
                <w:rFonts w:ascii="Calibri" w:hAnsi="Calibri" w:cs="Calibri"/>
                <w:sz w:val="20"/>
                <w:szCs w:val="22"/>
                <w:lang w:val="es-GT"/>
              </w:rPr>
              <w:t xml:space="preserve"> y</w:t>
            </w:r>
            <w:r w:rsidRPr="001A01AB">
              <w:rPr>
                <w:rFonts w:ascii="Calibri" w:hAnsi="Calibri" w:cs="Calibri"/>
                <w:sz w:val="20"/>
                <w:szCs w:val="22"/>
                <w:lang w:val="es-GT"/>
              </w:rPr>
              <w:t xml:space="preserve"> Ley Forestal (Decreto 101-96).</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De acuerdo con cifras del MINFIN, el gasto social ha incrementado </w:t>
            </w:r>
            <w:r w:rsidR="009938B9" w:rsidRPr="001A01AB">
              <w:rPr>
                <w:rFonts w:ascii="Calibri" w:hAnsi="Calibri" w:cs="Calibri"/>
                <w:sz w:val="20"/>
                <w:szCs w:val="22"/>
                <w:lang w:val="es-GT"/>
              </w:rPr>
              <w:t>(</w:t>
            </w:r>
            <w:r w:rsidRPr="001A01AB">
              <w:rPr>
                <w:rFonts w:ascii="Calibri" w:hAnsi="Calibri" w:cs="Calibri"/>
                <w:sz w:val="20"/>
                <w:szCs w:val="22"/>
                <w:lang w:val="es-GT"/>
              </w:rPr>
              <w:t>términos absolutos</w:t>
            </w:r>
            <w:r w:rsidR="009938B9" w:rsidRPr="001A01AB">
              <w:rPr>
                <w:rFonts w:ascii="Calibri" w:hAnsi="Calibri" w:cs="Calibri"/>
                <w:sz w:val="20"/>
                <w:szCs w:val="22"/>
                <w:lang w:val="es-GT"/>
              </w:rPr>
              <w:t>)</w:t>
            </w:r>
            <w:r w:rsidRPr="001A01AB">
              <w:rPr>
                <w:rFonts w:ascii="Calibri" w:hAnsi="Calibri" w:cs="Calibri"/>
                <w:sz w:val="20"/>
                <w:szCs w:val="22"/>
                <w:lang w:val="es-GT"/>
              </w:rPr>
              <w:t>, de Q3,067 millones en 1996 a Q14,604 millones en 2007.</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Por ley, el Estado transfiere a los Consejos Departamentales de Desarrollo (CODEDE) un monto equivalente a </w:t>
            </w:r>
            <w:r w:rsidR="009938B9" w:rsidRPr="001A01AB">
              <w:rPr>
                <w:rFonts w:ascii="Calibri" w:hAnsi="Calibri" w:cs="Calibri"/>
                <w:sz w:val="20"/>
                <w:szCs w:val="22"/>
                <w:lang w:val="es-GT"/>
              </w:rPr>
              <w:t>1%</w:t>
            </w:r>
            <w:r w:rsidRPr="001A01AB">
              <w:rPr>
                <w:rFonts w:ascii="Calibri" w:hAnsi="Calibri" w:cs="Calibri"/>
                <w:sz w:val="20"/>
                <w:szCs w:val="22"/>
                <w:lang w:val="es-GT"/>
              </w:rPr>
              <w:t xml:space="preserve"> de lo recaudado por concepto de la tasa única del impuesto al valor agregado.</w:t>
            </w:r>
          </w:p>
          <w:p w:rsidR="00E415E2" w:rsidRPr="001A01AB" w:rsidRDefault="00FB407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El P</w:t>
            </w:r>
            <w:r w:rsidR="00E415E2" w:rsidRPr="001A01AB">
              <w:rPr>
                <w:rFonts w:ascii="Calibri" w:hAnsi="Calibri" w:cs="Calibri"/>
                <w:sz w:val="20"/>
                <w:szCs w:val="22"/>
                <w:lang w:val="es-GT"/>
              </w:rPr>
              <w:t>rograma de Incentivos Forestales para Poseedores de Pequeñas Extensiones de Tierra de Vocación F</w:t>
            </w:r>
            <w:r>
              <w:rPr>
                <w:rFonts w:ascii="Calibri" w:hAnsi="Calibri" w:cs="Calibri"/>
                <w:sz w:val="20"/>
                <w:szCs w:val="22"/>
                <w:lang w:val="es-GT"/>
              </w:rPr>
              <w:t>orestal o Agroforestal (PINPEP) se encuentra en operación.</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0"/>
                <w:lang w:val="es-GT"/>
              </w:rPr>
            </w:pPr>
            <w:r w:rsidRPr="001A01AB">
              <w:rPr>
                <w:rFonts w:ascii="Calibri" w:hAnsi="Calibri" w:cs="Calibri"/>
                <w:sz w:val="20"/>
                <w:szCs w:val="22"/>
                <w:lang w:val="es-GT"/>
              </w:rPr>
              <w:t>En el periodo 1998-2010, las plantaciones incentivadas por el INAB registraron un crecimien</w:t>
            </w:r>
            <w:r w:rsidR="0090231D">
              <w:rPr>
                <w:rFonts w:ascii="Calibri" w:hAnsi="Calibri" w:cs="Calibri"/>
                <w:sz w:val="20"/>
                <w:szCs w:val="22"/>
                <w:lang w:val="es-GT"/>
              </w:rPr>
              <w:t>to promedio de 7,520 ha por año</w:t>
            </w:r>
            <w:r w:rsidRPr="001A01AB">
              <w:rPr>
                <w:rFonts w:ascii="Calibri" w:hAnsi="Calibri" w:cs="Calibri"/>
                <w:sz w:val="20"/>
                <w:szCs w:val="22"/>
                <w:lang w:val="es-GT"/>
              </w:rPr>
              <w:t xml:space="preserve"> como resultado de una política pública de largo plazo</w:t>
            </w:r>
          </w:p>
        </w:tc>
        <w:tc>
          <w:tcPr>
            <w:tcW w:w="4788" w:type="dxa"/>
            <w:shd w:val="clear" w:color="auto" w:fill="auto"/>
          </w:tcPr>
          <w:p w:rsidR="00E415E2" w:rsidRPr="001A01AB" w:rsidRDefault="00E415E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Oportunidades:</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Constitución Política de la República de Gua</w:t>
            </w:r>
            <w:r w:rsidR="0090231D">
              <w:rPr>
                <w:rFonts w:ascii="Calibri" w:hAnsi="Calibri" w:cs="Calibri"/>
                <w:sz w:val="20"/>
                <w:szCs w:val="22"/>
                <w:lang w:val="es-GT"/>
              </w:rPr>
              <w:t>temala enfatiza la protección de</w:t>
            </w:r>
            <w:r w:rsidRPr="001A01AB">
              <w:rPr>
                <w:rFonts w:ascii="Calibri" w:hAnsi="Calibri" w:cs="Calibri"/>
                <w:sz w:val="20"/>
                <w:szCs w:val="22"/>
                <w:lang w:val="es-GT"/>
              </w:rPr>
              <w:t xml:space="preserve"> la persona humana, indicando que el Estado se organiza para proteger a la persona y a la familia</w:t>
            </w:r>
            <w:r w:rsidR="0090231D">
              <w:rPr>
                <w:rFonts w:ascii="Calibri" w:hAnsi="Calibri" w:cs="Calibri"/>
                <w:sz w:val="20"/>
                <w:szCs w:val="22"/>
                <w:lang w:val="es-GT"/>
              </w:rPr>
              <w:t>,</w:t>
            </w:r>
            <w:r w:rsidRPr="001A01AB">
              <w:rPr>
                <w:rFonts w:ascii="Calibri" w:hAnsi="Calibri" w:cs="Calibri"/>
                <w:sz w:val="20"/>
                <w:szCs w:val="22"/>
                <w:lang w:val="es-GT"/>
              </w:rPr>
              <w:t xml:space="preserve"> y su fin supremo es la realizac</w:t>
            </w:r>
            <w:r w:rsidR="009938B9" w:rsidRPr="001A01AB">
              <w:rPr>
                <w:rFonts w:ascii="Calibri" w:hAnsi="Calibri" w:cs="Calibri"/>
                <w:sz w:val="20"/>
                <w:szCs w:val="22"/>
                <w:lang w:val="es-GT"/>
              </w:rPr>
              <w:t>ión del bien común.</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Se establece el concepto de los bienes de dominio público </w:t>
            </w:r>
            <w:r w:rsidR="0090231D">
              <w:rPr>
                <w:rFonts w:ascii="Calibri" w:hAnsi="Calibri" w:cs="Calibri"/>
                <w:sz w:val="20"/>
                <w:szCs w:val="22"/>
                <w:lang w:val="es-GT"/>
              </w:rPr>
              <w:t>par</w:t>
            </w:r>
            <w:r w:rsidRPr="001A01AB">
              <w:rPr>
                <w:rFonts w:ascii="Calibri" w:hAnsi="Calibri" w:cs="Calibri"/>
                <w:sz w:val="20"/>
                <w:szCs w:val="22"/>
                <w:lang w:val="es-GT"/>
              </w:rPr>
              <w:t>a algunos recursos, descargando en el Estado el ejercicio de su salvaguarda, en función de la naturaleza social de estos bienes.</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w:t>
            </w:r>
            <w:r w:rsidR="0090231D">
              <w:rPr>
                <w:rFonts w:ascii="Calibri" w:hAnsi="Calibri" w:cs="Calibri"/>
                <w:sz w:val="20"/>
                <w:szCs w:val="22"/>
                <w:lang w:val="es-GT"/>
              </w:rPr>
              <w:t>n e</w:t>
            </w:r>
            <w:r w:rsidRPr="001A01AB">
              <w:rPr>
                <w:rFonts w:ascii="Calibri" w:hAnsi="Calibri" w:cs="Calibri"/>
                <w:sz w:val="20"/>
                <w:szCs w:val="22"/>
                <w:lang w:val="es-GT"/>
              </w:rPr>
              <w:t xml:space="preserve">l Tratado de Libre Comercio entre </w:t>
            </w:r>
            <w:r w:rsidR="0090231D">
              <w:rPr>
                <w:rFonts w:ascii="Calibri" w:hAnsi="Calibri" w:cs="Calibri"/>
                <w:sz w:val="20"/>
                <w:szCs w:val="22"/>
                <w:lang w:val="es-GT"/>
              </w:rPr>
              <w:t>Centroamérica</w:t>
            </w:r>
            <w:r w:rsidRPr="001A01AB">
              <w:rPr>
                <w:rFonts w:ascii="Calibri" w:hAnsi="Calibri" w:cs="Calibri"/>
                <w:sz w:val="20"/>
                <w:szCs w:val="22"/>
                <w:lang w:val="es-GT"/>
              </w:rPr>
              <w:t>, República Dominicana y Estados Unidos (DR-CAFTA), los países acordaron asegurar que sus leyes y políticas provean y estimulen altos niveles de protección ambiental.</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Guatemala cuenta con una amplia disponibilidad promedio anual de agua (97,120 millones de m</w:t>
            </w:r>
            <w:r w:rsidRPr="0090231D">
              <w:rPr>
                <w:rFonts w:ascii="Calibri" w:hAnsi="Calibri" w:cs="Calibri"/>
                <w:sz w:val="20"/>
                <w:szCs w:val="22"/>
                <w:vertAlign w:val="superscript"/>
                <w:lang w:val="es-GT"/>
              </w:rPr>
              <w:t>3</w:t>
            </w:r>
            <w:r w:rsidRPr="001A01AB">
              <w:rPr>
                <w:rFonts w:ascii="Calibri" w:hAnsi="Calibri" w:cs="Calibri"/>
                <w:sz w:val="20"/>
                <w:szCs w:val="22"/>
                <w:lang w:val="es-GT"/>
              </w:rPr>
              <w:t>, entre aguas superficiales y subterráneas) que supera abundantemente la demanda actual.</w:t>
            </w:r>
          </w:p>
        </w:tc>
      </w:tr>
      <w:tr w:rsidR="00E415E2" w:rsidRPr="000364C9" w:rsidTr="001A01AB">
        <w:trPr>
          <w:jc w:val="center"/>
        </w:trPr>
        <w:tc>
          <w:tcPr>
            <w:tcW w:w="4788" w:type="dxa"/>
            <w:shd w:val="clear" w:color="auto" w:fill="auto"/>
          </w:tcPr>
          <w:p w:rsidR="00E415E2" w:rsidRPr="001A01AB" w:rsidRDefault="00E415E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Existe poca legislación que oriente la actividad productiva agropecuaria en el país, contándose únicamente con la Ley de Sanidad Animal y Vegetal (Decreto 36-98). La</w:t>
            </w:r>
            <w:r w:rsidR="009938B9" w:rsidRPr="001A01AB">
              <w:rPr>
                <w:rFonts w:ascii="Calibri" w:hAnsi="Calibri" w:cs="Calibri"/>
                <w:sz w:val="20"/>
                <w:szCs w:val="22"/>
                <w:lang w:val="es-GT"/>
              </w:rPr>
              <w:t>s</w:t>
            </w:r>
            <w:r w:rsidRPr="001A01AB">
              <w:rPr>
                <w:rFonts w:ascii="Calibri" w:hAnsi="Calibri" w:cs="Calibri"/>
                <w:sz w:val="20"/>
                <w:szCs w:val="22"/>
                <w:lang w:val="es-GT"/>
              </w:rPr>
              <w:t xml:space="preserve"> mayor</w:t>
            </w:r>
            <w:r w:rsidR="009938B9" w:rsidRPr="001A01AB">
              <w:rPr>
                <w:rFonts w:ascii="Calibri" w:hAnsi="Calibri" w:cs="Calibri"/>
                <w:sz w:val="20"/>
                <w:szCs w:val="22"/>
                <w:lang w:val="es-GT"/>
              </w:rPr>
              <w:t>es</w:t>
            </w:r>
            <w:r w:rsidRPr="001A01AB">
              <w:rPr>
                <w:rFonts w:ascii="Calibri" w:hAnsi="Calibri" w:cs="Calibri"/>
                <w:sz w:val="20"/>
                <w:szCs w:val="22"/>
                <w:lang w:val="es-GT"/>
              </w:rPr>
              <w:t xml:space="preserve"> orientaciones devienen del marco de funcionamiento del MAGA</w:t>
            </w:r>
            <w:r w:rsidR="009938B9" w:rsidRPr="001A01AB">
              <w:rPr>
                <w:rFonts w:ascii="Calibri" w:hAnsi="Calibri" w:cs="Calibri"/>
                <w:sz w:val="20"/>
                <w:szCs w:val="22"/>
                <w:lang w:val="es-GT"/>
              </w:rPr>
              <w:t>.</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políticas de Estado relaciona</w:t>
            </w:r>
            <w:r w:rsidR="0086664C" w:rsidRPr="001A01AB">
              <w:rPr>
                <w:rFonts w:ascii="Calibri" w:hAnsi="Calibri" w:cs="Calibri"/>
                <w:sz w:val="20"/>
                <w:szCs w:val="22"/>
                <w:lang w:val="es-GT"/>
              </w:rPr>
              <w:t>das</w:t>
            </w:r>
            <w:r w:rsidRPr="001A01AB">
              <w:rPr>
                <w:rFonts w:ascii="Calibri" w:hAnsi="Calibri" w:cs="Calibri"/>
                <w:sz w:val="20"/>
                <w:szCs w:val="22"/>
                <w:lang w:val="es-GT"/>
              </w:rPr>
              <w:t xml:space="preserve"> con el sector agropecuario y ambiental, se basan en el derecho a la propiedad privada y al libre uso de la misma.</w:t>
            </w:r>
          </w:p>
          <w:p w:rsidR="00E415E2" w:rsidRPr="001A01AB" w:rsidRDefault="00E415E2" w:rsidP="001A01AB">
            <w:pPr>
              <w:numPr>
                <w:ilvl w:val="0"/>
                <w:numId w:val="27"/>
              </w:numPr>
              <w:tabs>
                <w:tab w:val="clear" w:pos="720"/>
                <w:tab w:val="num" w:pos="252"/>
                <w:tab w:val="num" w:pos="360"/>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Los flujos de financiamiento de las instituciones a la naturaleza son limitados, lo que explica las relaciones </w:t>
            </w:r>
            <w:r w:rsidR="0090231D">
              <w:rPr>
                <w:rFonts w:ascii="Calibri" w:hAnsi="Calibri" w:cs="Calibri"/>
                <w:sz w:val="20"/>
                <w:szCs w:val="22"/>
                <w:lang w:val="es-GT"/>
              </w:rPr>
              <w:t>in</w:t>
            </w:r>
            <w:r w:rsidRPr="001A01AB">
              <w:rPr>
                <w:rFonts w:ascii="Calibri" w:hAnsi="Calibri" w:cs="Calibri"/>
                <w:sz w:val="20"/>
                <w:szCs w:val="22"/>
                <w:lang w:val="es-GT"/>
              </w:rPr>
              <w:t>sostenibles.</w:t>
            </w:r>
          </w:p>
          <w:p w:rsidR="00E415E2" w:rsidRPr="001A01AB" w:rsidRDefault="0090231D" w:rsidP="001A01AB">
            <w:pPr>
              <w:numPr>
                <w:ilvl w:val="0"/>
                <w:numId w:val="27"/>
              </w:numPr>
              <w:tabs>
                <w:tab w:val="clear" w:pos="720"/>
                <w:tab w:val="num" w:pos="252"/>
                <w:tab w:val="num" w:pos="360"/>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w:t>
            </w:r>
            <w:r w:rsidR="00E415E2" w:rsidRPr="001A01AB">
              <w:rPr>
                <w:rFonts w:ascii="Calibri" w:hAnsi="Calibri" w:cs="Calibri"/>
                <w:sz w:val="20"/>
                <w:szCs w:val="22"/>
                <w:lang w:val="es-GT"/>
              </w:rPr>
              <w:t>a dinámica de la inversión pública destinada al desarrollo y dinamización del s</w:t>
            </w:r>
            <w:r>
              <w:rPr>
                <w:rFonts w:ascii="Calibri" w:hAnsi="Calibri" w:cs="Calibri"/>
                <w:sz w:val="20"/>
                <w:szCs w:val="22"/>
                <w:lang w:val="es-GT"/>
              </w:rPr>
              <w:t>ector ambiental</w:t>
            </w:r>
            <w:r w:rsidR="00E415E2" w:rsidRPr="001A01AB">
              <w:rPr>
                <w:rFonts w:ascii="Calibri" w:hAnsi="Calibri" w:cs="Calibri"/>
                <w:sz w:val="20"/>
                <w:szCs w:val="22"/>
                <w:lang w:val="es-GT"/>
              </w:rPr>
              <w:t xml:space="preserve"> es insuficiente a las necesidades del país</w:t>
            </w:r>
          </w:p>
          <w:p w:rsidR="00E415E2" w:rsidRPr="001A01AB" w:rsidRDefault="00E415E2" w:rsidP="001A01AB">
            <w:pPr>
              <w:numPr>
                <w:ilvl w:val="0"/>
                <w:numId w:val="27"/>
              </w:numPr>
              <w:tabs>
                <w:tab w:val="clear" w:pos="720"/>
                <w:tab w:val="num" w:pos="252"/>
                <w:tab w:val="num" w:pos="360"/>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Satisfacer los requerimientos de leña del 95.3% de la población rural debería considerarse como una alternativa innovadora para atender este tema, invisible en las políticas públicas sectoriales.</w:t>
            </w:r>
          </w:p>
          <w:p w:rsidR="00E415E2" w:rsidRPr="001A01AB" w:rsidRDefault="0090231D"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 falta de legislación para</w:t>
            </w:r>
            <w:r w:rsidR="00E415E2" w:rsidRPr="001A01AB">
              <w:rPr>
                <w:rFonts w:ascii="Calibri" w:hAnsi="Calibri" w:cs="Calibri"/>
                <w:sz w:val="20"/>
                <w:szCs w:val="22"/>
                <w:lang w:val="es-GT"/>
              </w:rPr>
              <w:t xml:space="preserve"> el uso del agua muestra que de los 20,374 millones de m</w:t>
            </w:r>
            <w:r w:rsidR="00E415E2" w:rsidRPr="0090231D">
              <w:rPr>
                <w:rFonts w:ascii="Calibri" w:hAnsi="Calibri" w:cs="Calibri"/>
                <w:sz w:val="20"/>
                <w:szCs w:val="22"/>
                <w:vertAlign w:val="superscript"/>
                <w:lang w:val="es-GT"/>
              </w:rPr>
              <w:t>3</w:t>
            </w:r>
            <w:r w:rsidR="00E415E2" w:rsidRPr="001A01AB">
              <w:rPr>
                <w:rFonts w:ascii="Calibri" w:hAnsi="Calibri" w:cs="Calibri"/>
                <w:sz w:val="20"/>
                <w:szCs w:val="22"/>
                <w:lang w:val="es-GT"/>
              </w:rPr>
              <w:t xml:space="preserve"> utilizados en 2010, 7,643 millones fueron usados por la industria, incluyendo la agroindustria (37.5% del agua utilizada). Las actividades agropecuarias y silviculturales </w:t>
            </w:r>
            <w:r>
              <w:rPr>
                <w:rFonts w:ascii="Calibri" w:hAnsi="Calibri" w:cs="Calibri"/>
                <w:sz w:val="20"/>
                <w:szCs w:val="22"/>
                <w:lang w:val="es-GT"/>
              </w:rPr>
              <w:t>emplearo</w:t>
            </w:r>
            <w:r w:rsidR="00E415E2" w:rsidRPr="001A01AB">
              <w:rPr>
                <w:rFonts w:ascii="Calibri" w:hAnsi="Calibri" w:cs="Calibri"/>
                <w:sz w:val="20"/>
                <w:szCs w:val="22"/>
                <w:lang w:val="es-GT"/>
              </w:rPr>
              <w:t>n el 32% de los recursos hídricos utilizados en el país, es decir 6,496.56 millones de m</w:t>
            </w:r>
            <w:r w:rsidR="00E415E2" w:rsidRPr="0090231D">
              <w:rPr>
                <w:rFonts w:ascii="Calibri" w:hAnsi="Calibri" w:cs="Calibri"/>
                <w:sz w:val="20"/>
                <w:szCs w:val="22"/>
                <w:vertAlign w:val="superscript"/>
                <w:lang w:val="es-GT"/>
              </w:rPr>
              <w:t>3</w:t>
            </w:r>
            <w:r w:rsidR="0086664C" w:rsidRPr="001A01AB">
              <w:rPr>
                <w:rFonts w:ascii="Calibri" w:hAnsi="Calibri" w:cs="Calibri"/>
                <w:sz w:val="20"/>
                <w:szCs w:val="22"/>
                <w:lang w:val="es-GT"/>
              </w:rPr>
              <w:t xml:space="preserve">. </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lastRenderedPageBreak/>
              <w:t xml:space="preserve">Por falta de normas y regulaciones claras, al menos 14 ríos principales y cuatro lagos presentan altos niveles de </w:t>
            </w:r>
            <w:r w:rsidR="0086664C" w:rsidRPr="001A01AB">
              <w:rPr>
                <w:rFonts w:ascii="Calibri" w:hAnsi="Calibri" w:cs="Calibri"/>
                <w:sz w:val="20"/>
                <w:szCs w:val="22"/>
                <w:lang w:val="es-GT"/>
              </w:rPr>
              <w:t>contaminación.</w:t>
            </w:r>
          </w:p>
          <w:p w:rsidR="00E415E2" w:rsidRPr="001A01AB" w:rsidRDefault="0086664C"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Las autoridades creadas para el manejo sustentable y protección de los cuatro lagos más importantes del país (Atitlán, Amatitlán, Izabal-Río Dulce y Petén Itzá) tienen pocas capacidades para revertir los </w:t>
            </w:r>
            <w:r w:rsidR="00E415E2" w:rsidRPr="001A01AB">
              <w:rPr>
                <w:rFonts w:ascii="Calibri" w:hAnsi="Calibri" w:cs="Calibri"/>
                <w:sz w:val="20"/>
                <w:szCs w:val="22"/>
                <w:lang w:val="es-GT"/>
              </w:rPr>
              <w:t>altos niveles de contaminación.</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debilidad institucional en el ordenamiento del territorio ha permitido </w:t>
            </w:r>
            <w:r w:rsidR="0086664C" w:rsidRPr="001A01AB">
              <w:rPr>
                <w:rFonts w:ascii="Calibri" w:hAnsi="Calibri" w:cs="Calibri"/>
                <w:sz w:val="20"/>
                <w:szCs w:val="22"/>
                <w:lang w:val="es-GT"/>
              </w:rPr>
              <w:t xml:space="preserve">un alto </w:t>
            </w:r>
            <w:r w:rsidRPr="001A01AB">
              <w:rPr>
                <w:rFonts w:ascii="Calibri" w:hAnsi="Calibri" w:cs="Calibri"/>
                <w:sz w:val="20"/>
                <w:szCs w:val="22"/>
                <w:lang w:val="es-GT"/>
              </w:rPr>
              <w:t xml:space="preserve">sobreuso </w:t>
            </w:r>
            <w:r w:rsidR="0086664C" w:rsidRPr="001A01AB">
              <w:rPr>
                <w:rFonts w:ascii="Calibri" w:hAnsi="Calibri" w:cs="Calibri"/>
                <w:sz w:val="20"/>
                <w:szCs w:val="22"/>
                <w:lang w:val="es-GT"/>
              </w:rPr>
              <w:t>de tierras.</w:t>
            </w:r>
          </w:p>
          <w:p w:rsidR="00E415E2" w:rsidRPr="001A01AB" w:rsidRDefault="00462654"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 debilidad de</w:t>
            </w:r>
            <w:r w:rsidR="00E415E2" w:rsidRPr="001A01AB">
              <w:rPr>
                <w:rFonts w:ascii="Calibri" w:hAnsi="Calibri" w:cs="Calibri"/>
                <w:sz w:val="20"/>
                <w:szCs w:val="22"/>
                <w:lang w:val="es-GT"/>
              </w:rPr>
              <w:t xml:space="preserve"> las políticas públicas legítimas ha provocado la falta de acc</w:t>
            </w:r>
            <w:r>
              <w:rPr>
                <w:rFonts w:ascii="Calibri" w:hAnsi="Calibri" w:cs="Calibri"/>
                <w:sz w:val="20"/>
                <w:szCs w:val="22"/>
                <w:lang w:val="es-GT"/>
              </w:rPr>
              <w:t xml:space="preserve">eso a los medios de producción y </w:t>
            </w:r>
            <w:r w:rsidR="00E415E2" w:rsidRPr="001A01AB">
              <w:rPr>
                <w:rFonts w:ascii="Calibri" w:hAnsi="Calibri" w:cs="Calibri"/>
                <w:sz w:val="20"/>
                <w:szCs w:val="22"/>
                <w:lang w:val="es-GT"/>
              </w:rPr>
              <w:t xml:space="preserve">de certeza jurídica sobre la tenencia y propiedad de la </w:t>
            </w:r>
            <w:r>
              <w:rPr>
                <w:rFonts w:ascii="Calibri" w:hAnsi="Calibri" w:cs="Calibri"/>
                <w:sz w:val="20"/>
                <w:szCs w:val="22"/>
                <w:lang w:val="es-GT"/>
              </w:rPr>
              <w:t>tierra</w:t>
            </w:r>
            <w:r w:rsidR="0086664C" w:rsidRPr="001A01AB">
              <w:rPr>
                <w:rFonts w:ascii="Calibri" w:hAnsi="Calibri" w:cs="Calibri"/>
                <w:sz w:val="20"/>
                <w:szCs w:val="22"/>
                <w:lang w:val="es-GT"/>
              </w:rPr>
              <w:t>.</w:t>
            </w:r>
          </w:p>
          <w:p w:rsidR="00E415E2" w:rsidRPr="001A01AB" w:rsidRDefault="00E415E2" w:rsidP="00EF6044">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Por falta de una institucionalidad en el tema agua </w:t>
            </w:r>
            <w:r w:rsidR="00EF6044">
              <w:rPr>
                <w:rFonts w:ascii="Calibri" w:hAnsi="Calibri" w:cs="Calibri"/>
                <w:sz w:val="20"/>
                <w:szCs w:val="22"/>
                <w:lang w:val="es-GT"/>
              </w:rPr>
              <w:t>existe</w:t>
            </w:r>
            <w:r w:rsidRPr="001A01AB">
              <w:rPr>
                <w:rFonts w:ascii="Calibri" w:hAnsi="Calibri" w:cs="Calibri"/>
                <w:sz w:val="20"/>
                <w:szCs w:val="22"/>
                <w:lang w:val="es-GT"/>
              </w:rPr>
              <w:t xml:space="preserve"> déficit en el fomento </w:t>
            </w:r>
            <w:r w:rsidR="00EF6044">
              <w:rPr>
                <w:rFonts w:ascii="Calibri" w:hAnsi="Calibri" w:cs="Calibri"/>
                <w:sz w:val="20"/>
                <w:szCs w:val="22"/>
                <w:lang w:val="es-GT"/>
              </w:rPr>
              <w:t>de</w:t>
            </w:r>
            <w:r w:rsidRPr="001A01AB">
              <w:rPr>
                <w:rFonts w:ascii="Calibri" w:hAnsi="Calibri" w:cs="Calibri"/>
                <w:sz w:val="20"/>
                <w:szCs w:val="22"/>
                <w:lang w:val="es-GT"/>
              </w:rPr>
              <w:t xml:space="preserve"> sistemas de riego rural que mejore</w:t>
            </w:r>
            <w:r w:rsidR="00BB065A">
              <w:rPr>
                <w:rFonts w:ascii="Calibri" w:hAnsi="Calibri" w:cs="Calibri"/>
                <w:sz w:val="20"/>
                <w:szCs w:val="22"/>
                <w:lang w:val="es-GT"/>
              </w:rPr>
              <w:t>n</w:t>
            </w:r>
            <w:r w:rsidRPr="001A01AB">
              <w:rPr>
                <w:rFonts w:ascii="Calibri" w:hAnsi="Calibri" w:cs="Calibri"/>
                <w:sz w:val="20"/>
                <w:szCs w:val="22"/>
                <w:lang w:val="es-GT"/>
              </w:rPr>
              <w:t xml:space="preserve"> las condiciones a los campesinos.</w:t>
            </w:r>
          </w:p>
        </w:tc>
        <w:tc>
          <w:tcPr>
            <w:tcW w:w="4788" w:type="dxa"/>
            <w:shd w:val="clear" w:color="auto" w:fill="auto"/>
          </w:tcPr>
          <w:p w:rsidR="00E415E2" w:rsidRPr="001A01AB" w:rsidRDefault="00E415E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Las </w:t>
            </w:r>
            <w:r w:rsidR="0086664C" w:rsidRPr="001A01AB">
              <w:rPr>
                <w:rFonts w:ascii="Calibri" w:hAnsi="Calibri" w:cs="Calibri"/>
                <w:sz w:val="20"/>
                <w:szCs w:val="22"/>
                <w:lang w:val="es-GT"/>
              </w:rPr>
              <w:t xml:space="preserve">políticas ambientales públicas </w:t>
            </w:r>
            <w:r w:rsidRPr="001A01AB">
              <w:rPr>
                <w:rFonts w:ascii="Calibri" w:hAnsi="Calibri" w:cs="Calibri"/>
                <w:sz w:val="20"/>
                <w:szCs w:val="22"/>
                <w:lang w:val="es-GT"/>
              </w:rPr>
              <w:t>no han buscado detener el creciente deterioro ambiental, son instrumentos diseñados para salvaguardar el sistema productivo</w:t>
            </w:r>
            <w:r w:rsidR="0086664C" w:rsidRPr="001A01AB">
              <w:rPr>
                <w:rFonts w:ascii="Calibri" w:hAnsi="Calibri" w:cs="Calibri"/>
                <w:sz w:val="20"/>
                <w:szCs w:val="22"/>
                <w:lang w:val="es-GT"/>
              </w:rPr>
              <w:t xml:space="preserve">, </w:t>
            </w:r>
            <w:r w:rsidRPr="001A01AB">
              <w:rPr>
                <w:rFonts w:ascii="Calibri" w:hAnsi="Calibri" w:cs="Calibri"/>
                <w:sz w:val="20"/>
                <w:szCs w:val="22"/>
                <w:lang w:val="es-GT"/>
              </w:rPr>
              <w:t>basa</w:t>
            </w:r>
            <w:r w:rsidR="0086664C" w:rsidRPr="001A01AB">
              <w:rPr>
                <w:rFonts w:ascii="Calibri" w:hAnsi="Calibri" w:cs="Calibri"/>
                <w:sz w:val="20"/>
                <w:szCs w:val="22"/>
                <w:lang w:val="es-GT"/>
              </w:rPr>
              <w:t>do en</w:t>
            </w:r>
            <w:r w:rsidRPr="001A01AB">
              <w:rPr>
                <w:rFonts w:ascii="Calibri" w:hAnsi="Calibri" w:cs="Calibri"/>
                <w:sz w:val="20"/>
                <w:szCs w:val="22"/>
                <w:lang w:val="es-GT"/>
              </w:rPr>
              <w:t xml:space="preserve"> el crecimiento económico.</w:t>
            </w:r>
          </w:p>
          <w:p w:rsidR="00E415E2" w:rsidRPr="001A01AB" w:rsidRDefault="0090231D"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Existen c</w:t>
            </w:r>
            <w:r w:rsidR="00E415E2" w:rsidRPr="001A01AB">
              <w:rPr>
                <w:rFonts w:ascii="Calibri" w:hAnsi="Calibri" w:cs="Calibri"/>
                <w:sz w:val="20"/>
                <w:szCs w:val="22"/>
                <w:lang w:val="es-GT"/>
              </w:rPr>
              <w:t>onflictos derivados de la falta de acceso a fuentes seguras de agua potable, principalmente en el área rural, donde el 24.73% de los hogares no posee servicio de agua potable</w:t>
            </w:r>
            <w:r w:rsidRPr="001A01AB">
              <w:rPr>
                <w:rFonts w:ascii="Calibri" w:hAnsi="Calibri" w:cs="Calibri"/>
                <w:sz w:val="20"/>
                <w:szCs w:val="22"/>
                <w:lang w:val="es-GT"/>
              </w:rPr>
              <w:t xml:space="preserve"> al año 2011</w:t>
            </w:r>
            <w:r w:rsidR="00E415E2" w:rsidRPr="001A01AB">
              <w:rPr>
                <w:rFonts w:ascii="Calibri" w:hAnsi="Calibri" w:cs="Calibri"/>
                <w:sz w:val="20"/>
                <w:szCs w:val="22"/>
                <w:lang w:val="es-GT"/>
              </w:rPr>
              <w:t>.</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falta de una ley de aguas para </w:t>
            </w:r>
            <w:r w:rsidR="0086664C" w:rsidRPr="001A01AB">
              <w:rPr>
                <w:rFonts w:ascii="Calibri" w:hAnsi="Calibri" w:cs="Calibri"/>
                <w:sz w:val="20"/>
                <w:szCs w:val="22"/>
                <w:lang w:val="es-GT"/>
              </w:rPr>
              <w:t>Guatemala</w:t>
            </w:r>
            <w:r w:rsidRPr="001A01AB">
              <w:rPr>
                <w:rFonts w:ascii="Calibri" w:hAnsi="Calibri" w:cs="Calibri"/>
                <w:sz w:val="20"/>
                <w:szCs w:val="22"/>
                <w:lang w:val="es-GT"/>
              </w:rPr>
              <w:t xml:space="preserve"> fomentará la ingobernabilidad y conflictividad </w:t>
            </w:r>
            <w:r w:rsidR="0086664C" w:rsidRPr="001A01AB">
              <w:rPr>
                <w:rFonts w:ascii="Calibri" w:hAnsi="Calibri" w:cs="Calibri"/>
                <w:sz w:val="20"/>
                <w:szCs w:val="22"/>
                <w:lang w:val="es-GT"/>
              </w:rPr>
              <w:t>por</w:t>
            </w:r>
            <w:r w:rsidRPr="001A01AB">
              <w:rPr>
                <w:rFonts w:ascii="Calibri" w:hAnsi="Calibri" w:cs="Calibri"/>
                <w:sz w:val="20"/>
                <w:szCs w:val="22"/>
                <w:lang w:val="es-GT"/>
              </w:rPr>
              <w:t xml:space="preserve"> el uso del recurso.</w:t>
            </w:r>
            <w:r w:rsidR="0090231D">
              <w:rPr>
                <w:rFonts w:ascii="Calibri" w:hAnsi="Calibri" w:cs="Calibri"/>
                <w:sz w:val="20"/>
                <w:szCs w:val="22"/>
                <w:lang w:val="es-GT"/>
              </w:rPr>
              <w:t xml:space="preserve"> </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Erosión potencial de 48 millones de toneladas de suelo al año debido </w:t>
            </w:r>
            <w:r w:rsidR="00462654">
              <w:rPr>
                <w:rFonts w:ascii="Calibri" w:hAnsi="Calibri" w:cs="Calibri"/>
                <w:sz w:val="20"/>
                <w:szCs w:val="22"/>
                <w:lang w:val="es-GT"/>
              </w:rPr>
              <w:t>a</w:t>
            </w:r>
            <w:r w:rsidRPr="001A01AB">
              <w:rPr>
                <w:rFonts w:ascii="Calibri" w:hAnsi="Calibri" w:cs="Calibri"/>
                <w:sz w:val="20"/>
                <w:szCs w:val="22"/>
                <w:lang w:val="es-GT"/>
              </w:rPr>
              <w:t xml:space="preserve"> sobreuso </w:t>
            </w:r>
            <w:r w:rsidRPr="00462654">
              <w:rPr>
                <w:rFonts w:ascii="Calibri" w:hAnsi="Calibri" w:cs="Calibri"/>
                <w:sz w:val="20"/>
                <w:szCs w:val="22"/>
                <w:highlight w:val="yellow"/>
                <w:lang w:val="es-GT"/>
              </w:rPr>
              <w:t>(24%).</w:t>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commentRangeStart w:id="176"/>
            <w:r w:rsidRPr="001A01AB">
              <w:rPr>
                <w:rFonts w:ascii="Calibri" w:hAnsi="Calibri" w:cs="Calibri"/>
                <w:sz w:val="20"/>
                <w:szCs w:val="22"/>
                <w:lang w:val="es-GT"/>
              </w:rPr>
              <w:t xml:space="preserve">Las políticas </w:t>
            </w:r>
            <w:r w:rsidR="00462654">
              <w:rPr>
                <w:rFonts w:ascii="Calibri" w:hAnsi="Calibri" w:cs="Calibri"/>
                <w:sz w:val="20"/>
                <w:szCs w:val="22"/>
                <w:lang w:val="es-GT"/>
              </w:rPr>
              <w:t>relativa</w:t>
            </w:r>
            <w:r w:rsidRPr="001A01AB">
              <w:rPr>
                <w:rFonts w:ascii="Calibri" w:hAnsi="Calibri" w:cs="Calibri"/>
                <w:sz w:val="20"/>
                <w:szCs w:val="22"/>
                <w:lang w:val="es-GT"/>
              </w:rPr>
              <w:t xml:space="preserve">s </w:t>
            </w:r>
            <w:r w:rsidR="00462654">
              <w:rPr>
                <w:rFonts w:ascii="Calibri" w:hAnsi="Calibri" w:cs="Calibri"/>
                <w:sz w:val="20"/>
                <w:szCs w:val="22"/>
                <w:lang w:val="es-GT"/>
              </w:rPr>
              <w:t>a</w:t>
            </w:r>
            <w:r w:rsidRPr="001A01AB">
              <w:rPr>
                <w:rFonts w:ascii="Calibri" w:hAnsi="Calibri" w:cs="Calibri"/>
                <w:sz w:val="20"/>
                <w:szCs w:val="22"/>
                <w:lang w:val="es-GT"/>
              </w:rPr>
              <w:t>l tema ambiental generan falsas expectativas y pocas veces son implementadas con instrumentos técnicos de gestión ambiental.</w:t>
            </w:r>
            <w:commentRangeEnd w:id="176"/>
            <w:r w:rsidR="00462654">
              <w:rPr>
                <w:rStyle w:val="Refdecomentario"/>
              </w:rPr>
              <w:commentReference w:id="176"/>
            </w:r>
          </w:p>
          <w:p w:rsidR="00E415E2" w:rsidRPr="001A01AB" w:rsidRDefault="00E415E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ausencia de autonomía institucional pone en riesgo el desarrollo rural de </w:t>
            </w:r>
            <w:r w:rsidR="0086664C" w:rsidRPr="001A01AB">
              <w:rPr>
                <w:rFonts w:ascii="Calibri" w:hAnsi="Calibri" w:cs="Calibri"/>
                <w:sz w:val="20"/>
                <w:szCs w:val="22"/>
                <w:lang w:val="es-GT"/>
              </w:rPr>
              <w:t>Guatemala</w:t>
            </w:r>
            <w:r w:rsidRPr="001A01AB">
              <w:rPr>
                <w:rFonts w:ascii="Calibri" w:hAnsi="Calibri" w:cs="Calibri"/>
                <w:sz w:val="20"/>
                <w:szCs w:val="22"/>
                <w:lang w:val="es-GT"/>
              </w:rPr>
              <w:t>.</w:t>
            </w:r>
          </w:p>
        </w:tc>
      </w:tr>
    </w:tbl>
    <w:p w:rsidR="00E31B19" w:rsidRPr="001A01AB" w:rsidRDefault="00E31B19" w:rsidP="00E31B19">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9576"/>
      </w:tblGrid>
      <w:tr w:rsidR="00E31B19" w:rsidRPr="000364C9" w:rsidTr="001A01AB">
        <w:trPr>
          <w:jc w:val="center"/>
        </w:trPr>
        <w:tc>
          <w:tcPr>
            <w:tcW w:w="9576" w:type="dxa"/>
            <w:shd w:val="clear" w:color="auto" w:fill="auto"/>
          </w:tcPr>
          <w:p w:rsidR="00E31B19" w:rsidRPr="001A01AB" w:rsidRDefault="00E31B19" w:rsidP="001A01AB">
            <w:pPr>
              <w:autoSpaceDE w:val="0"/>
              <w:autoSpaceDN w:val="0"/>
              <w:adjustRightInd w:val="0"/>
              <w:spacing w:after="60"/>
              <w:jc w:val="both"/>
              <w:rPr>
                <w:rFonts w:ascii="Calibri" w:hAnsi="Calibri" w:cs="Calibri"/>
                <w:b/>
                <w:color w:val="365F91"/>
                <w:sz w:val="22"/>
                <w:szCs w:val="22"/>
                <w:lang w:val="es-GT"/>
              </w:rPr>
            </w:pPr>
            <w:r w:rsidRPr="001A01AB">
              <w:rPr>
                <w:rFonts w:ascii="Calibri" w:hAnsi="Calibri" w:cs="Calibri"/>
                <w:b/>
                <w:color w:val="365F91"/>
                <w:sz w:val="22"/>
                <w:szCs w:val="22"/>
                <w:lang w:val="es-GT"/>
              </w:rPr>
              <w:t>Tendencias (basadas en un escenario de tipo tendencial)</w:t>
            </w:r>
          </w:p>
          <w:p w:rsidR="00E415E2" w:rsidRPr="001A01AB" w:rsidRDefault="00E415E2"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Una alarmante tendencia creciente de la tasa de deforestación anual.</w:t>
            </w:r>
          </w:p>
          <w:p w:rsidR="00E415E2" w:rsidRPr="001A01AB" w:rsidRDefault="00E415E2"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 xml:space="preserve">La regeneración natural de bosques se ha mantenido como un factor importante </w:t>
            </w:r>
            <w:r w:rsidR="00BB065A">
              <w:rPr>
                <w:rFonts w:cs="Calibri"/>
              </w:rPr>
              <w:t>en</w:t>
            </w:r>
            <w:r w:rsidRPr="001A01AB">
              <w:rPr>
                <w:rFonts w:cs="Calibri"/>
              </w:rPr>
              <w:t xml:space="preserve"> la recuperación de la cobertura forestal, pero esta tendencia no se considera permanente al no estar soportada por una política institucional. </w:t>
            </w:r>
          </w:p>
          <w:p w:rsidR="00E415E2" w:rsidRPr="001A01AB" w:rsidRDefault="00E415E2"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 xml:space="preserve">Si no hay evolución institucional en el manejo del SIGAP, la gestión en </w:t>
            </w:r>
            <w:r w:rsidR="007C3972" w:rsidRPr="001A01AB">
              <w:rPr>
                <w:rFonts w:cs="Calibri"/>
              </w:rPr>
              <w:t>áreas protegidas</w:t>
            </w:r>
            <w:r w:rsidRPr="001A01AB">
              <w:rPr>
                <w:rFonts w:cs="Calibri"/>
              </w:rPr>
              <w:t xml:space="preserve"> fracasará, debido a invasiones y al avance de </w:t>
            </w:r>
            <w:r w:rsidR="00BB065A">
              <w:rPr>
                <w:rFonts w:cs="Calibri"/>
              </w:rPr>
              <w:t xml:space="preserve">la </w:t>
            </w:r>
            <w:r w:rsidRPr="001A01AB">
              <w:rPr>
                <w:rFonts w:cs="Calibri"/>
              </w:rPr>
              <w:t xml:space="preserve">frontera agrícola y </w:t>
            </w:r>
            <w:r w:rsidR="00BB065A">
              <w:rPr>
                <w:rFonts w:cs="Calibri"/>
              </w:rPr>
              <w:t xml:space="preserve">la </w:t>
            </w:r>
            <w:r w:rsidRPr="001A01AB">
              <w:rPr>
                <w:rFonts w:cs="Calibri"/>
              </w:rPr>
              <w:t>narcoactividad.</w:t>
            </w:r>
          </w:p>
          <w:p w:rsidR="00E415E2" w:rsidRPr="001A01AB" w:rsidRDefault="00E415E2"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El área bajo manejo forestal sostenible se ha reducido de 22,060 en 2006 a 7,782 ha en 2010.</w:t>
            </w:r>
          </w:p>
          <w:p w:rsidR="00E415E2" w:rsidRPr="001A01AB" w:rsidRDefault="00E415E2"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El programa PINPEP es un instrumento que fortalecerá la productividad campesina rural para poseedores</w:t>
            </w:r>
            <w:r w:rsidR="00BB065A">
              <w:rPr>
                <w:rFonts w:cs="Calibri"/>
              </w:rPr>
              <w:t>, al incorporar</w:t>
            </w:r>
            <w:r w:rsidRPr="001A01AB">
              <w:rPr>
                <w:rFonts w:cs="Calibri"/>
              </w:rPr>
              <w:t xml:space="preserve"> los sistemas agroforestales </w:t>
            </w:r>
            <w:r w:rsidR="00BB065A">
              <w:rPr>
                <w:rFonts w:cs="Calibri"/>
              </w:rPr>
              <w:t xml:space="preserve">a </w:t>
            </w:r>
            <w:r w:rsidRPr="001A01AB">
              <w:rPr>
                <w:rFonts w:cs="Calibri"/>
              </w:rPr>
              <w:t>agroecosistemas productivos.</w:t>
            </w:r>
          </w:p>
          <w:p w:rsidR="00E415E2" w:rsidRPr="001A01AB" w:rsidRDefault="00E415E2"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El aumento de la población influirá en el crecimiento constante de la demanda de agua.</w:t>
            </w:r>
          </w:p>
          <w:p w:rsidR="00E415E2" w:rsidRPr="001A01AB" w:rsidRDefault="00E415E2"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Debido a intereses sociopolíticos difícilmente se dará una Ley de Aguas que re</w:t>
            </w:r>
            <w:r w:rsidR="00BB065A">
              <w:rPr>
                <w:rFonts w:cs="Calibri"/>
              </w:rPr>
              <w:t>gule el uso y manejo de este recurso</w:t>
            </w:r>
            <w:r w:rsidRPr="001A01AB">
              <w:rPr>
                <w:rFonts w:cs="Calibri"/>
              </w:rPr>
              <w:t>.</w:t>
            </w:r>
          </w:p>
          <w:p w:rsidR="00E415E2" w:rsidRPr="001A01AB" w:rsidRDefault="00E415E2"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Existe una clara tendencia hacia el incremento de la contaminación del agua como un hecho irreversible.</w:t>
            </w:r>
          </w:p>
          <w:p w:rsidR="00E415E2" w:rsidRPr="001A01AB" w:rsidRDefault="00BB065A" w:rsidP="004E6953">
            <w:pPr>
              <w:pStyle w:val="Prrafodelista"/>
              <w:numPr>
                <w:ilvl w:val="0"/>
                <w:numId w:val="28"/>
              </w:numPr>
              <w:autoSpaceDE w:val="0"/>
              <w:autoSpaceDN w:val="0"/>
              <w:adjustRightInd w:val="0"/>
              <w:spacing w:after="0" w:line="240" w:lineRule="auto"/>
              <w:ind w:left="284" w:hanging="284"/>
              <w:jc w:val="both"/>
              <w:rPr>
                <w:rFonts w:cs="Calibri"/>
              </w:rPr>
            </w:pPr>
            <w:r>
              <w:rPr>
                <w:rFonts w:cs="Calibri"/>
              </w:rPr>
              <w:t>Sin una L</w:t>
            </w:r>
            <w:r w:rsidR="00E415E2" w:rsidRPr="001A01AB">
              <w:rPr>
                <w:rFonts w:cs="Calibri"/>
              </w:rPr>
              <w:t xml:space="preserve">ey de Desarrollo Rural, la expansión de la agricultura anual y de </w:t>
            </w:r>
            <w:r>
              <w:rPr>
                <w:rFonts w:cs="Calibri"/>
              </w:rPr>
              <w:t>cultivos de subsistencia mostrará</w:t>
            </w:r>
            <w:r w:rsidR="00E415E2" w:rsidRPr="001A01AB">
              <w:rPr>
                <w:rFonts w:cs="Calibri"/>
              </w:rPr>
              <w:t xml:space="preserve"> una tendencia a expandirse hacia tierras marginales para la agricultura. </w:t>
            </w:r>
          </w:p>
          <w:p w:rsidR="00E415E2" w:rsidRPr="001A01AB" w:rsidRDefault="00E415E2"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 xml:space="preserve">La tendencia de reducción de la cobertura forestal </w:t>
            </w:r>
            <w:r w:rsidR="009B3213">
              <w:rPr>
                <w:rFonts w:cs="Calibri"/>
              </w:rPr>
              <w:t>causa</w:t>
            </w:r>
            <w:r w:rsidRPr="001A01AB">
              <w:rPr>
                <w:rFonts w:cs="Calibri"/>
              </w:rPr>
              <w:t xml:space="preserve"> el aumento de las tierras en condiciones de sobreuso, especialmente en zonas de ladera.</w:t>
            </w:r>
            <w:r w:rsidR="00141A70">
              <w:rPr>
                <w:rFonts w:cs="Calibri"/>
              </w:rPr>
              <w:t xml:space="preserve"> </w:t>
            </w:r>
            <w:r w:rsidRPr="001A01AB">
              <w:rPr>
                <w:rFonts w:cs="Calibri"/>
              </w:rPr>
              <w:t>Esto provoca u</w:t>
            </w:r>
            <w:r w:rsidR="00356204">
              <w:rPr>
                <w:rFonts w:cs="Calibri"/>
              </w:rPr>
              <w:t>na marcada tendencia hacia la pé</w:t>
            </w:r>
            <w:r w:rsidRPr="001A01AB">
              <w:rPr>
                <w:rFonts w:cs="Calibri"/>
              </w:rPr>
              <w:t>rdida de fertilidad de los suelos, la cual se incrementará de no reducirse esta tendencia.</w:t>
            </w:r>
          </w:p>
          <w:p w:rsidR="00E415E2" w:rsidRPr="001A01AB" w:rsidRDefault="00E415E2" w:rsidP="004E6953">
            <w:pPr>
              <w:pStyle w:val="Prrafodelista"/>
              <w:numPr>
                <w:ilvl w:val="0"/>
                <w:numId w:val="28"/>
              </w:numPr>
              <w:autoSpaceDE w:val="0"/>
              <w:autoSpaceDN w:val="0"/>
              <w:adjustRightInd w:val="0"/>
              <w:spacing w:after="0" w:line="240" w:lineRule="auto"/>
              <w:ind w:left="284" w:hanging="284"/>
              <w:jc w:val="both"/>
              <w:rPr>
                <w:rFonts w:cs="Calibri"/>
              </w:rPr>
            </w:pPr>
            <w:r w:rsidRPr="001A01AB">
              <w:rPr>
                <w:rFonts w:cs="Calibri"/>
              </w:rPr>
              <w:t xml:space="preserve">La tendencia </w:t>
            </w:r>
            <w:r w:rsidR="00356204">
              <w:rPr>
                <w:rFonts w:cs="Calibri"/>
              </w:rPr>
              <w:t>en la asignación o incremento de</w:t>
            </w:r>
            <w:r w:rsidRPr="001A01AB">
              <w:rPr>
                <w:rFonts w:cs="Calibri"/>
              </w:rPr>
              <w:t xml:space="preserve"> los presupuestos de funcionamiento de las instituciones ambientales, agrarias o de desarrollo rural no aumentarán en comparación con otras carteras que maneja el Estado, lo que mantendrá debilitado el accionar de las mismas</w:t>
            </w:r>
            <w:r w:rsidR="0086664C" w:rsidRPr="001A01AB">
              <w:rPr>
                <w:rFonts w:cs="Calibri"/>
              </w:rPr>
              <w:t>.</w:t>
            </w:r>
          </w:p>
        </w:tc>
      </w:tr>
    </w:tbl>
    <w:p w:rsidR="000D70BF" w:rsidRDefault="004E6953" w:rsidP="00E31B19">
      <w:pPr>
        <w:jc w:val="both"/>
        <w:rPr>
          <w:rFonts w:ascii="Calibri" w:hAnsi="Calibri" w:cs="Calibri"/>
          <w:lang w:val="es-GT"/>
        </w:rPr>
      </w:pPr>
      <w:r>
        <w:rPr>
          <w:rFonts w:ascii="Calibri" w:hAnsi="Calibri" w:cs="Calibri"/>
          <w:lang w:val="es-GT"/>
        </w:rPr>
        <w:br/>
      </w:r>
      <w:r>
        <w:rPr>
          <w:rFonts w:ascii="Calibri" w:hAnsi="Calibri" w:cs="Calibri"/>
          <w:lang w:val="es-GT"/>
        </w:rPr>
        <w:br/>
      </w:r>
    </w:p>
    <w:p w:rsidR="00E31B19" w:rsidRPr="001A01AB" w:rsidRDefault="004E6953" w:rsidP="00E31B19">
      <w:pPr>
        <w:jc w:val="both"/>
        <w:rPr>
          <w:rFonts w:ascii="Calibri" w:hAnsi="Calibri" w:cs="Calibri"/>
          <w:lang w:val="es-GT"/>
        </w:rPr>
      </w:pPr>
      <w:r>
        <w:rPr>
          <w:rFonts w:ascii="Calibri" w:hAnsi="Calibri" w:cs="Calibri"/>
          <w:lang w:val="es-GT"/>
        </w:rPr>
        <w:br/>
      </w:r>
    </w:p>
    <w:p w:rsidR="00E31B19" w:rsidRPr="001A01AB" w:rsidRDefault="00E31B19" w:rsidP="004E2482">
      <w:pPr>
        <w:pStyle w:val="Prrafodelista"/>
        <w:numPr>
          <w:ilvl w:val="1"/>
          <w:numId w:val="55"/>
        </w:numPr>
        <w:autoSpaceDE w:val="0"/>
        <w:autoSpaceDN w:val="0"/>
        <w:adjustRightInd w:val="0"/>
        <w:spacing w:after="120" w:line="264" w:lineRule="auto"/>
        <w:ind w:left="720" w:hanging="720"/>
        <w:jc w:val="both"/>
        <w:outlineLvl w:val="1"/>
        <w:rPr>
          <w:rFonts w:cs="Calibri"/>
          <w:b/>
          <w:color w:val="365F91"/>
          <w:sz w:val="28"/>
          <w:lang w:eastAsia="es-GT"/>
        </w:rPr>
      </w:pPr>
      <w:bookmarkStart w:id="177" w:name="_Toc339926607"/>
      <w:bookmarkStart w:id="178" w:name="_Toc340065174"/>
      <w:bookmarkStart w:id="179" w:name="_Toc340065266"/>
      <w:bookmarkStart w:id="180" w:name="_Toc340565859"/>
      <w:bookmarkStart w:id="181" w:name="_Toc347841309"/>
      <w:r w:rsidRPr="001A01AB">
        <w:rPr>
          <w:rFonts w:cs="Calibri"/>
          <w:b/>
          <w:color w:val="365F91"/>
          <w:sz w:val="28"/>
          <w:lang w:eastAsia="es-GT"/>
        </w:rPr>
        <w:lastRenderedPageBreak/>
        <w:t>Identificación y evaluación de Opciones Estratégicas</w:t>
      </w:r>
      <w:bookmarkEnd w:id="177"/>
      <w:bookmarkEnd w:id="178"/>
      <w:bookmarkEnd w:id="179"/>
      <w:bookmarkEnd w:id="180"/>
      <w:bookmarkEnd w:id="181"/>
    </w:p>
    <w:p w:rsidR="00E31B19" w:rsidRPr="001A01AB" w:rsidRDefault="00E31B19" w:rsidP="00E31B19">
      <w:pPr>
        <w:jc w:val="both"/>
        <w:rPr>
          <w:rFonts w:ascii="Calibri" w:hAnsi="Calibri" w:cs="Calibri"/>
          <w:lang w:val="es-GT"/>
        </w:rPr>
      </w:pPr>
      <w:r w:rsidRPr="001A01AB">
        <w:rPr>
          <w:rFonts w:ascii="Calibri" w:hAnsi="Calibri" w:cs="Calibri"/>
          <w:lang w:val="es-GT"/>
        </w:rPr>
        <w:t xml:space="preserve">Las opciones estratégicas </w:t>
      </w:r>
      <w:r w:rsidR="003A0ED2">
        <w:rPr>
          <w:rFonts w:ascii="Calibri" w:hAnsi="Calibri" w:cs="Calibri"/>
          <w:lang w:val="es-GT"/>
        </w:rPr>
        <w:t>d</w:t>
      </w:r>
      <w:r w:rsidRPr="001A01AB">
        <w:rPr>
          <w:rFonts w:ascii="Calibri" w:hAnsi="Calibri" w:cs="Calibri"/>
          <w:lang w:val="es-GT"/>
        </w:rPr>
        <w:t>el presente análisis constituyen una síntesis de las áreas potenciales de acción consideradas para conseguir el objetivo del Desarrollo Rural Integral en el país y con esto, lograr el objetivo de las intervenciones de FIDA en Guatemala</w:t>
      </w:r>
      <w:r w:rsidR="003A0ED2">
        <w:rPr>
          <w:rFonts w:ascii="Calibri" w:hAnsi="Calibri" w:cs="Calibri"/>
          <w:lang w:val="es-GT"/>
        </w:rPr>
        <w:t>. S</w:t>
      </w:r>
      <w:r w:rsidRPr="001A01AB">
        <w:rPr>
          <w:rFonts w:ascii="Calibri" w:hAnsi="Calibri" w:cs="Calibri"/>
          <w:lang w:val="es-GT"/>
        </w:rPr>
        <w:t xml:space="preserve">e centran en la promoción del </w:t>
      </w:r>
      <w:r w:rsidRPr="001A01AB">
        <w:rPr>
          <w:rFonts w:ascii="Calibri" w:hAnsi="Calibri" w:cs="Calibri"/>
          <w:bCs/>
          <w:lang w:val="es-GT"/>
        </w:rPr>
        <w:t>desarrollo rural en Guatemala, el aumento de la seguridad alimentaria y la reducción de la pobreza entre las comunidades rurales e indígenas.</w:t>
      </w:r>
    </w:p>
    <w:p w:rsidR="00E31B19" w:rsidRPr="001A01AB" w:rsidRDefault="00E31B19" w:rsidP="00E31B19">
      <w:pPr>
        <w:jc w:val="both"/>
        <w:rPr>
          <w:rFonts w:ascii="Calibri" w:hAnsi="Calibri" w:cs="Calibri"/>
          <w:lang w:val="es-GT"/>
        </w:rPr>
      </w:pPr>
    </w:p>
    <w:p w:rsidR="00E31B19" w:rsidRPr="001A01AB" w:rsidRDefault="00E31B19" w:rsidP="00E31B19">
      <w:pPr>
        <w:jc w:val="both"/>
        <w:rPr>
          <w:rFonts w:ascii="Calibri" w:hAnsi="Calibri" w:cs="Calibri"/>
          <w:lang w:val="es-GT"/>
        </w:rPr>
      </w:pPr>
      <w:r w:rsidRPr="001A01AB">
        <w:rPr>
          <w:rFonts w:ascii="Calibri" w:hAnsi="Calibri" w:cs="Calibri"/>
          <w:lang w:val="es-GT"/>
        </w:rPr>
        <w:t xml:space="preserve">Las alternativas </w:t>
      </w:r>
      <w:r w:rsidR="003A0ED2">
        <w:rPr>
          <w:rFonts w:ascii="Calibri" w:hAnsi="Calibri" w:cs="Calibri"/>
          <w:lang w:val="es-GT"/>
        </w:rPr>
        <w:t>de la evaluación ambiental estratégica</w:t>
      </w:r>
      <w:r w:rsidRPr="001A01AB">
        <w:rPr>
          <w:rFonts w:ascii="Calibri" w:hAnsi="Calibri" w:cs="Calibri"/>
          <w:lang w:val="es-GT"/>
        </w:rPr>
        <w:t xml:space="preserve"> pueden generarse </w:t>
      </w:r>
      <w:r w:rsidR="003A0ED2">
        <w:rPr>
          <w:rFonts w:ascii="Calibri" w:hAnsi="Calibri" w:cs="Calibri"/>
          <w:lang w:val="es-GT"/>
        </w:rPr>
        <w:t>a partir</w:t>
      </w:r>
      <w:r w:rsidRPr="001A01AB">
        <w:rPr>
          <w:rFonts w:ascii="Calibri" w:hAnsi="Calibri" w:cs="Calibri"/>
          <w:lang w:val="es-GT"/>
        </w:rPr>
        <w:t xml:space="preserve">: a) </w:t>
      </w:r>
      <w:r w:rsidR="003A0ED2">
        <w:rPr>
          <w:rFonts w:ascii="Calibri" w:hAnsi="Calibri" w:cs="Calibri"/>
          <w:lang w:val="es-GT"/>
        </w:rPr>
        <w:t xml:space="preserve">de </w:t>
      </w:r>
      <w:r w:rsidRPr="001A01AB">
        <w:rPr>
          <w:rFonts w:ascii="Calibri" w:hAnsi="Calibri" w:cs="Calibri"/>
          <w:lang w:val="es-GT"/>
        </w:rPr>
        <w:t xml:space="preserve">los objetivos estratégicos, b) del enfoque de actuación, c) del modelo territorial, d) del reparto de recursos y e) </w:t>
      </w:r>
      <w:r w:rsidR="003A0ED2">
        <w:rPr>
          <w:rFonts w:ascii="Calibri" w:hAnsi="Calibri" w:cs="Calibri"/>
          <w:lang w:val="es-GT"/>
        </w:rPr>
        <w:t xml:space="preserve">de </w:t>
      </w:r>
      <w:r w:rsidRPr="001A01AB">
        <w:rPr>
          <w:rFonts w:ascii="Calibri" w:hAnsi="Calibri" w:cs="Calibri"/>
          <w:lang w:val="es-GT"/>
        </w:rPr>
        <w:t>las modalidades de intervención y de gestión (Oñate</w:t>
      </w:r>
      <w:r w:rsidR="003A0ED2">
        <w:rPr>
          <w:rFonts w:ascii="Calibri" w:hAnsi="Calibri" w:cs="Calibri"/>
          <w:lang w:val="es-GT"/>
        </w:rPr>
        <w:t xml:space="preserve"> </w:t>
      </w:r>
      <w:r w:rsidR="003A0ED2" w:rsidRPr="003A0ED2">
        <w:rPr>
          <w:rFonts w:ascii="Calibri" w:hAnsi="Calibri" w:cs="Calibri"/>
          <w:i/>
          <w:lang w:val="es-GT"/>
        </w:rPr>
        <w:t>et al</w:t>
      </w:r>
      <w:r w:rsidR="003A0ED2">
        <w:rPr>
          <w:rFonts w:ascii="Calibri" w:hAnsi="Calibri" w:cs="Calibri"/>
          <w:lang w:val="es-GT"/>
        </w:rPr>
        <w:t>., 2002). P</w:t>
      </w:r>
      <w:r w:rsidRPr="001A01AB">
        <w:rPr>
          <w:rFonts w:ascii="Calibri" w:hAnsi="Calibri" w:cs="Calibri"/>
          <w:lang w:val="es-GT"/>
        </w:rPr>
        <w:t xml:space="preserve">ara este ejercicio, se </w:t>
      </w:r>
      <w:r w:rsidR="0010673E" w:rsidRPr="001A01AB">
        <w:rPr>
          <w:rFonts w:ascii="Calibri" w:hAnsi="Calibri" w:cs="Calibri"/>
          <w:lang w:val="es-GT"/>
        </w:rPr>
        <w:t>eligió</w:t>
      </w:r>
      <w:r w:rsidRPr="001A01AB">
        <w:rPr>
          <w:rFonts w:ascii="Calibri" w:hAnsi="Calibri" w:cs="Calibri"/>
          <w:lang w:val="es-GT"/>
        </w:rPr>
        <w:t xml:space="preserve"> la primera para seleccionar las</w:t>
      </w:r>
      <w:r w:rsidR="00F60963">
        <w:rPr>
          <w:rFonts w:ascii="Calibri" w:hAnsi="Calibri" w:cs="Calibri"/>
          <w:lang w:val="es-GT"/>
        </w:rPr>
        <w:t xml:space="preserve"> opciones estratégicas (Cuadro 10</w:t>
      </w:r>
      <w:r w:rsidRPr="001A01AB">
        <w:rPr>
          <w:rFonts w:ascii="Calibri" w:hAnsi="Calibri" w:cs="Calibri"/>
          <w:lang w:val="es-GT"/>
        </w:rPr>
        <w:t>). Cada una de estas opciones se evaluó respecto a los FCD, pe</w:t>
      </w:r>
      <w:r w:rsidR="0010673E">
        <w:rPr>
          <w:rFonts w:ascii="Calibri" w:hAnsi="Calibri" w:cs="Calibri"/>
          <w:lang w:val="es-GT"/>
        </w:rPr>
        <w:t>rmitiendo definir en qué medida</w:t>
      </w:r>
      <w:r w:rsidRPr="001A01AB">
        <w:rPr>
          <w:rFonts w:ascii="Calibri" w:hAnsi="Calibri" w:cs="Calibri"/>
          <w:lang w:val="es-GT"/>
        </w:rPr>
        <w:t xml:space="preserve"> responden a atender cada uno de los Factores Críticos. Este an</w:t>
      </w:r>
      <w:r w:rsidR="00F60963">
        <w:rPr>
          <w:rFonts w:ascii="Calibri" w:hAnsi="Calibri" w:cs="Calibri"/>
          <w:lang w:val="es-GT"/>
        </w:rPr>
        <w:t>álisis se muestra en el Cuadro 11</w:t>
      </w:r>
      <w:r w:rsidRPr="001A01AB">
        <w:rPr>
          <w:rFonts w:ascii="Calibri" w:hAnsi="Calibri" w:cs="Calibri"/>
          <w:lang w:val="es-GT"/>
        </w:rPr>
        <w:t>.</w:t>
      </w:r>
    </w:p>
    <w:p w:rsidR="00E31B19" w:rsidRPr="001A01AB" w:rsidRDefault="00E31B19" w:rsidP="00E31B19">
      <w:pPr>
        <w:jc w:val="both"/>
        <w:rPr>
          <w:rFonts w:ascii="Calibri" w:hAnsi="Calibri" w:cs="Calibri"/>
          <w:lang w:val="es-GT"/>
        </w:rPr>
      </w:pPr>
    </w:p>
    <w:p w:rsidR="00E31B19" w:rsidRDefault="00C54ACC" w:rsidP="00B16F0F">
      <w:pPr>
        <w:pStyle w:val="Epgrafe"/>
        <w:jc w:val="center"/>
        <w:rPr>
          <w:rFonts w:asciiTheme="minorHAnsi" w:hAnsiTheme="minorHAnsi" w:cstheme="minorHAnsi"/>
          <w:color w:val="365F91" w:themeColor="accent1" w:themeShade="BF"/>
          <w:sz w:val="22"/>
          <w:szCs w:val="22"/>
          <w:lang w:val="es-GT"/>
        </w:rPr>
      </w:pPr>
      <w:bookmarkStart w:id="182" w:name="_Toc347841192"/>
      <w:r w:rsidRPr="00B16F0F">
        <w:rPr>
          <w:rFonts w:asciiTheme="minorHAnsi" w:hAnsiTheme="minorHAnsi" w:cstheme="minorHAnsi"/>
          <w:color w:val="365F91" w:themeColor="accent1" w:themeShade="BF"/>
          <w:sz w:val="22"/>
          <w:szCs w:val="22"/>
          <w:lang w:val="es-GT"/>
        </w:rPr>
        <w:t xml:space="preserve">Cuadro </w:t>
      </w:r>
      <w:r w:rsidRPr="00B16F0F">
        <w:rPr>
          <w:rFonts w:asciiTheme="minorHAnsi" w:hAnsiTheme="minorHAnsi" w:cstheme="minorHAnsi"/>
          <w:color w:val="365F91" w:themeColor="accent1" w:themeShade="BF"/>
          <w:sz w:val="22"/>
          <w:szCs w:val="22"/>
          <w:lang w:val="es-GT"/>
        </w:rPr>
        <w:fldChar w:fldCharType="begin"/>
      </w:r>
      <w:r w:rsidRPr="00B16F0F">
        <w:rPr>
          <w:rFonts w:asciiTheme="minorHAnsi" w:hAnsiTheme="minorHAnsi" w:cstheme="minorHAnsi"/>
          <w:color w:val="365F91" w:themeColor="accent1" w:themeShade="BF"/>
          <w:sz w:val="22"/>
          <w:szCs w:val="22"/>
          <w:lang w:val="es-GT"/>
        </w:rPr>
        <w:instrText xml:space="preserve"> SEQ Cuadro \* ARABIC </w:instrText>
      </w:r>
      <w:r w:rsidRPr="00B16F0F">
        <w:rPr>
          <w:rFonts w:asciiTheme="minorHAnsi" w:hAnsiTheme="minorHAnsi" w:cstheme="minorHAnsi"/>
          <w:color w:val="365F91" w:themeColor="accent1" w:themeShade="BF"/>
          <w:sz w:val="22"/>
          <w:szCs w:val="22"/>
          <w:lang w:val="es-GT"/>
        </w:rPr>
        <w:fldChar w:fldCharType="separate"/>
      </w:r>
      <w:r w:rsidRPr="00B16F0F">
        <w:rPr>
          <w:rFonts w:asciiTheme="minorHAnsi" w:hAnsiTheme="minorHAnsi" w:cstheme="minorHAnsi"/>
          <w:color w:val="365F91" w:themeColor="accent1" w:themeShade="BF"/>
          <w:sz w:val="22"/>
          <w:szCs w:val="22"/>
          <w:lang w:val="es-GT"/>
        </w:rPr>
        <w:t>10</w:t>
      </w:r>
      <w:r w:rsidRPr="00B16F0F">
        <w:rPr>
          <w:rFonts w:asciiTheme="minorHAnsi" w:hAnsiTheme="minorHAnsi" w:cstheme="minorHAnsi"/>
          <w:color w:val="365F91" w:themeColor="accent1" w:themeShade="BF"/>
          <w:sz w:val="22"/>
          <w:szCs w:val="22"/>
          <w:lang w:val="es-GT"/>
        </w:rPr>
        <w:fldChar w:fldCharType="end"/>
      </w:r>
      <w:r w:rsidRPr="00B16F0F">
        <w:rPr>
          <w:rFonts w:asciiTheme="minorHAnsi" w:hAnsiTheme="minorHAnsi" w:cstheme="minorHAnsi"/>
          <w:color w:val="365F91" w:themeColor="accent1" w:themeShade="BF"/>
          <w:sz w:val="22"/>
          <w:szCs w:val="22"/>
          <w:lang w:val="es-GT"/>
        </w:rPr>
        <w:t xml:space="preserve">. </w:t>
      </w:r>
      <w:r w:rsidR="00E31B19" w:rsidRPr="00B16F0F">
        <w:rPr>
          <w:rFonts w:asciiTheme="minorHAnsi" w:hAnsiTheme="minorHAnsi" w:cstheme="minorHAnsi"/>
          <w:color w:val="365F91" w:themeColor="accent1" w:themeShade="BF"/>
          <w:sz w:val="22"/>
          <w:szCs w:val="22"/>
          <w:lang w:val="es-GT"/>
        </w:rPr>
        <w:t>Opciones Estratégicas seleccionadas</w:t>
      </w:r>
      <w:bookmarkEnd w:id="182"/>
    </w:p>
    <w:p w:rsidR="00B16F0F" w:rsidRPr="00B16F0F" w:rsidRDefault="00B16F0F" w:rsidP="00B16F0F">
      <w:pPr>
        <w:rPr>
          <w:rFonts w:eastAsia="Calibri"/>
          <w:lang w:val="es-GT"/>
        </w:rPr>
      </w:pPr>
    </w:p>
    <w:tbl>
      <w:tblPr>
        <w:tblW w:w="8931" w:type="dxa"/>
        <w:jc w:val="center"/>
        <w:tblInd w:w="61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0A0" w:firstRow="1" w:lastRow="0" w:firstColumn="1" w:lastColumn="0" w:noHBand="0" w:noVBand="0"/>
      </w:tblPr>
      <w:tblGrid>
        <w:gridCol w:w="1985"/>
        <w:gridCol w:w="2053"/>
        <w:gridCol w:w="4893"/>
      </w:tblGrid>
      <w:tr w:rsidR="00E31B19" w:rsidRPr="00C870E7" w:rsidTr="001A01AB">
        <w:trPr>
          <w:trHeight w:val="160"/>
          <w:tblHeader/>
          <w:jc w:val="center"/>
        </w:trPr>
        <w:tc>
          <w:tcPr>
            <w:tcW w:w="4038" w:type="dxa"/>
            <w:gridSpan w:val="2"/>
            <w:shd w:val="clear" w:color="auto" w:fill="17365D"/>
            <w:tcMar>
              <w:top w:w="15" w:type="dxa"/>
              <w:left w:w="50" w:type="dxa"/>
              <w:bottom w:w="0" w:type="dxa"/>
              <w:right w:w="50" w:type="dxa"/>
            </w:tcMar>
            <w:vAlign w:val="center"/>
          </w:tcPr>
          <w:p w:rsidR="00E31B19" w:rsidRPr="001A01AB" w:rsidRDefault="00E31B19" w:rsidP="007A5355">
            <w:pPr>
              <w:spacing w:before="40" w:after="40"/>
              <w:jc w:val="center"/>
              <w:rPr>
                <w:rFonts w:ascii="Calibri" w:hAnsi="Calibri" w:cs="Calibri"/>
                <w:b/>
                <w:bCs/>
                <w:color w:val="FFFFFF"/>
                <w:sz w:val="22"/>
                <w:szCs w:val="22"/>
                <w:lang w:val="es-GT"/>
              </w:rPr>
            </w:pPr>
            <w:r w:rsidRPr="001A01AB">
              <w:rPr>
                <w:rFonts w:ascii="Calibri" w:hAnsi="Calibri" w:cs="Calibri"/>
                <w:b/>
                <w:bCs/>
                <w:color w:val="FFFFFF"/>
                <w:sz w:val="22"/>
                <w:szCs w:val="22"/>
                <w:lang w:val="es-GT"/>
              </w:rPr>
              <w:t>Factores Críticos para la Decisión</w:t>
            </w:r>
          </w:p>
        </w:tc>
        <w:tc>
          <w:tcPr>
            <w:tcW w:w="4893" w:type="dxa"/>
            <w:shd w:val="clear" w:color="auto" w:fill="17365D"/>
            <w:tcMar>
              <w:top w:w="15" w:type="dxa"/>
              <w:left w:w="50" w:type="dxa"/>
              <w:bottom w:w="0" w:type="dxa"/>
              <w:right w:w="50" w:type="dxa"/>
            </w:tcMar>
            <w:vAlign w:val="center"/>
          </w:tcPr>
          <w:p w:rsidR="00E31B19" w:rsidRPr="001A01AB" w:rsidRDefault="00E31B19" w:rsidP="007A5355">
            <w:pPr>
              <w:spacing w:before="40" w:after="40"/>
              <w:jc w:val="center"/>
              <w:rPr>
                <w:rFonts w:ascii="Calibri" w:hAnsi="Calibri" w:cs="Calibri"/>
                <w:b/>
                <w:bCs/>
                <w:color w:val="FFFFFF"/>
                <w:sz w:val="22"/>
                <w:szCs w:val="22"/>
                <w:lang w:val="es-GT"/>
              </w:rPr>
            </w:pPr>
            <w:r w:rsidRPr="001A01AB">
              <w:rPr>
                <w:rFonts w:ascii="Calibri" w:hAnsi="Calibri" w:cs="Calibri"/>
                <w:b/>
                <w:bCs/>
                <w:color w:val="FFFFFF"/>
                <w:sz w:val="22"/>
                <w:szCs w:val="22"/>
                <w:lang w:val="es-GT"/>
              </w:rPr>
              <w:t>Opciones estratégicas</w:t>
            </w:r>
          </w:p>
        </w:tc>
      </w:tr>
      <w:tr w:rsidR="00E31B19" w:rsidRPr="000364C9" w:rsidTr="001A01AB">
        <w:trPr>
          <w:trHeight w:val="319"/>
          <w:jc w:val="center"/>
        </w:trPr>
        <w:tc>
          <w:tcPr>
            <w:tcW w:w="1985" w:type="dxa"/>
            <w:vMerge w:val="restart"/>
            <w:shd w:val="clear" w:color="auto" w:fill="DBE5F1"/>
            <w:tcMar>
              <w:top w:w="15" w:type="dxa"/>
              <w:left w:w="50" w:type="dxa"/>
              <w:bottom w:w="0" w:type="dxa"/>
              <w:right w:w="50" w:type="dxa"/>
            </w:tcMar>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 xml:space="preserve">Recursos naturales estratégicos (agua, suelo y bosque) </w:t>
            </w:r>
          </w:p>
        </w:tc>
        <w:tc>
          <w:tcPr>
            <w:tcW w:w="2053" w:type="dxa"/>
            <w:vMerge w:val="restart"/>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Bosque</w:t>
            </w:r>
          </w:p>
        </w:tc>
        <w:tc>
          <w:tcPr>
            <w:tcW w:w="4893" w:type="dxa"/>
            <w:shd w:val="clear" w:color="auto" w:fill="DBE5F1"/>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Fomento del manejo forestal sostenible</w:t>
            </w:r>
            <w:r w:rsidR="0010673E">
              <w:rPr>
                <w:rFonts w:ascii="Calibri" w:hAnsi="Calibri" w:cs="Calibri"/>
                <w:sz w:val="22"/>
                <w:szCs w:val="22"/>
                <w:lang w:val="es-GT"/>
              </w:rPr>
              <w:t>.</w:t>
            </w:r>
          </w:p>
        </w:tc>
      </w:tr>
      <w:tr w:rsidR="00E31B19" w:rsidRPr="000364C9" w:rsidTr="001A01AB">
        <w:trPr>
          <w:trHeight w:val="160"/>
          <w:jc w:val="center"/>
        </w:trPr>
        <w:tc>
          <w:tcPr>
            <w:tcW w:w="1985"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893" w:type="dxa"/>
            <w:shd w:val="clear" w:color="auto" w:fill="DBE5F1"/>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Promoción de la silvicultura de plantaciones</w:t>
            </w:r>
            <w:r w:rsidR="0010673E">
              <w:rPr>
                <w:rFonts w:ascii="Calibri" w:hAnsi="Calibri" w:cs="Calibri"/>
                <w:sz w:val="22"/>
                <w:szCs w:val="22"/>
                <w:lang w:val="es-GT"/>
              </w:rPr>
              <w:t>.</w:t>
            </w:r>
          </w:p>
        </w:tc>
      </w:tr>
      <w:tr w:rsidR="00E31B19" w:rsidRPr="000364C9" w:rsidTr="001A01AB">
        <w:trPr>
          <w:trHeight w:val="160"/>
          <w:jc w:val="center"/>
        </w:trPr>
        <w:tc>
          <w:tcPr>
            <w:tcW w:w="1985"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893" w:type="dxa"/>
            <w:shd w:val="clear" w:color="auto" w:fill="DBE5F1"/>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Promoción de</w:t>
            </w:r>
            <w:r w:rsidR="0010673E">
              <w:rPr>
                <w:rFonts w:ascii="Calibri" w:hAnsi="Calibri" w:cs="Calibri"/>
                <w:sz w:val="22"/>
                <w:szCs w:val="22"/>
                <w:lang w:val="es-GT"/>
              </w:rPr>
              <w:t xml:space="preserve"> la eficiencia dendroenergética.</w:t>
            </w:r>
          </w:p>
        </w:tc>
      </w:tr>
      <w:tr w:rsidR="00E31B19" w:rsidRPr="000364C9" w:rsidTr="001A01AB">
        <w:trPr>
          <w:trHeight w:val="407"/>
          <w:jc w:val="center"/>
        </w:trPr>
        <w:tc>
          <w:tcPr>
            <w:tcW w:w="1985"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val="restart"/>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Recursos hídricos</w:t>
            </w:r>
          </w:p>
        </w:tc>
        <w:tc>
          <w:tcPr>
            <w:tcW w:w="4893" w:type="dxa"/>
            <w:shd w:val="clear" w:color="auto" w:fill="DBE5F1"/>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Restauración de las tierras de importancia para captación y regulación hídrica</w:t>
            </w:r>
            <w:r w:rsidR="0010673E">
              <w:rPr>
                <w:rFonts w:ascii="Calibri" w:hAnsi="Calibri" w:cs="Calibri"/>
                <w:sz w:val="22"/>
                <w:szCs w:val="22"/>
                <w:lang w:val="es-GT"/>
              </w:rPr>
              <w:t>.</w:t>
            </w:r>
          </w:p>
        </w:tc>
      </w:tr>
      <w:tr w:rsidR="00E31B19" w:rsidRPr="000364C9" w:rsidTr="001A01AB">
        <w:trPr>
          <w:trHeight w:val="319"/>
          <w:jc w:val="center"/>
        </w:trPr>
        <w:tc>
          <w:tcPr>
            <w:tcW w:w="1985"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893" w:type="dxa"/>
            <w:shd w:val="clear" w:color="auto" w:fill="DBE5F1"/>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Construcción de plantas para el tratamiento de aguas residuales locales</w:t>
            </w:r>
            <w:r w:rsidR="0010673E">
              <w:rPr>
                <w:rFonts w:ascii="Calibri" w:hAnsi="Calibri" w:cs="Calibri"/>
                <w:sz w:val="22"/>
                <w:szCs w:val="22"/>
                <w:lang w:val="es-GT"/>
              </w:rPr>
              <w:t>.</w:t>
            </w:r>
          </w:p>
        </w:tc>
      </w:tr>
      <w:tr w:rsidR="00E31B19" w:rsidRPr="000364C9" w:rsidTr="001A01AB">
        <w:trPr>
          <w:trHeight w:val="319"/>
          <w:jc w:val="center"/>
        </w:trPr>
        <w:tc>
          <w:tcPr>
            <w:tcW w:w="1985"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val="restart"/>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Suelo</w:t>
            </w:r>
          </w:p>
        </w:tc>
        <w:tc>
          <w:tcPr>
            <w:tcW w:w="4893" w:type="dxa"/>
            <w:shd w:val="clear" w:color="auto" w:fill="DBE5F1"/>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Promoción del uso de sistemas agroforestales</w:t>
            </w:r>
            <w:r w:rsidR="0010673E">
              <w:rPr>
                <w:rFonts w:ascii="Calibri" w:hAnsi="Calibri" w:cs="Calibri"/>
                <w:sz w:val="22"/>
                <w:szCs w:val="22"/>
                <w:lang w:val="es-GT"/>
              </w:rPr>
              <w:t>.</w:t>
            </w:r>
          </w:p>
        </w:tc>
      </w:tr>
      <w:tr w:rsidR="00E31B19" w:rsidRPr="000364C9" w:rsidTr="001A01AB">
        <w:trPr>
          <w:trHeight w:val="319"/>
          <w:jc w:val="center"/>
        </w:trPr>
        <w:tc>
          <w:tcPr>
            <w:tcW w:w="1985"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893" w:type="dxa"/>
            <w:shd w:val="clear" w:color="auto" w:fill="DBE5F1"/>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Promoción de la conservación de suelos agrícolas</w:t>
            </w:r>
            <w:r w:rsidR="0010673E">
              <w:rPr>
                <w:rFonts w:ascii="Calibri" w:hAnsi="Calibri" w:cs="Calibri"/>
                <w:sz w:val="22"/>
                <w:szCs w:val="22"/>
                <w:lang w:val="es-GT"/>
              </w:rPr>
              <w:t>.</w:t>
            </w:r>
          </w:p>
        </w:tc>
      </w:tr>
      <w:tr w:rsidR="00E31B19" w:rsidRPr="000364C9" w:rsidTr="001A01AB">
        <w:trPr>
          <w:trHeight w:val="319"/>
          <w:jc w:val="center"/>
        </w:trPr>
        <w:tc>
          <w:tcPr>
            <w:tcW w:w="1985" w:type="dxa"/>
            <w:vMerge w:val="restart"/>
            <w:shd w:val="clear" w:color="auto" w:fill="E7EDF5"/>
            <w:tcMar>
              <w:top w:w="15" w:type="dxa"/>
              <w:left w:w="50" w:type="dxa"/>
              <w:bottom w:w="0" w:type="dxa"/>
              <w:right w:w="50" w:type="dxa"/>
            </w:tcMar>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 xml:space="preserve">Productividad rural campesina </w:t>
            </w:r>
          </w:p>
        </w:tc>
        <w:tc>
          <w:tcPr>
            <w:tcW w:w="2053" w:type="dxa"/>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Infraestructura vial</w:t>
            </w:r>
          </w:p>
        </w:tc>
        <w:tc>
          <w:tcPr>
            <w:tcW w:w="4893" w:type="dxa"/>
            <w:shd w:val="clear" w:color="auto" w:fill="E7EDF5"/>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Introducción y rehabilitación de caminos rurales</w:t>
            </w:r>
            <w:r w:rsidR="0010673E">
              <w:rPr>
                <w:rFonts w:ascii="Calibri" w:hAnsi="Calibri" w:cs="Calibri"/>
                <w:sz w:val="22"/>
                <w:szCs w:val="22"/>
                <w:lang w:val="es-GT"/>
              </w:rPr>
              <w:t>.</w:t>
            </w:r>
          </w:p>
        </w:tc>
      </w:tr>
      <w:tr w:rsidR="00E31B19" w:rsidRPr="000364C9" w:rsidTr="001A01AB">
        <w:trPr>
          <w:trHeight w:val="263"/>
          <w:jc w:val="center"/>
        </w:trPr>
        <w:tc>
          <w:tcPr>
            <w:tcW w:w="1985"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val="restart"/>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Productividad agrícola</w:t>
            </w:r>
          </w:p>
        </w:tc>
        <w:tc>
          <w:tcPr>
            <w:tcW w:w="4893" w:type="dxa"/>
            <w:shd w:val="clear" w:color="auto" w:fill="E7EDF5"/>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Construcción de sistemas de riego rural</w:t>
            </w:r>
            <w:r w:rsidR="0010673E">
              <w:rPr>
                <w:rFonts w:ascii="Calibri" w:hAnsi="Calibri" w:cs="Calibri"/>
                <w:sz w:val="22"/>
                <w:szCs w:val="22"/>
                <w:lang w:val="es-GT"/>
              </w:rPr>
              <w:t>.</w:t>
            </w:r>
          </w:p>
        </w:tc>
      </w:tr>
      <w:tr w:rsidR="00E31B19" w:rsidRPr="000364C9" w:rsidTr="001A01AB">
        <w:trPr>
          <w:trHeight w:val="244"/>
          <w:jc w:val="center"/>
        </w:trPr>
        <w:tc>
          <w:tcPr>
            <w:tcW w:w="1985"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4893" w:type="dxa"/>
            <w:shd w:val="clear" w:color="auto" w:fill="E7EDF5"/>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Encadenamientos productivos y servicios de apoyo a la comercialización</w:t>
            </w:r>
            <w:r w:rsidR="0010673E">
              <w:rPr>
                <w:rFonts w:ascii="Calibri" w:hAnsi="Calibri" w:cs="Calibri"/>
                <w:sz w:val="22"/>
                <w:szCs w:val="22"/>
                <w:lang w:val="es-GT"/>
              </w:rPr>
              <w:t>.</w:t>
            </w:r>
          </w:p>
        </w:tc>
      </w:tr>
      <w:tr w:rsidR="00E31B19" w:rsidRPr="000364C9" w:rsidTr="001A01AB">
        <w:trPr>
          <w:trHeight w:val="244"/>
          <w:jc w:val="center"/>
        </w:trPr>
        <w:tc>
          <w:tcPr>
            <w:tcW w:w="1985"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4893" w:type="dxa"/>
            <w:shd w:val="clear" w:color="auto" w:fill="E7EDF5"/>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Investigación y desarrollo tecnológico agrícola</w:t>
            </w:r>
            <w:r w:rsidR="0010673E">
              <w:rPr>
                <w:rFonts w:ascii="Calibri" w:hAnsi="Calibri" w:cs="Calibri"/>
                <w:sz w:val="22"/>
                <w:szCs w:val="22"/>
                <w:lang w:val="es-GT"/>
              </w:rPr>
              <w:t>.</w:t>
            </w:r>
          </w:p>
        </w:tc>
      </w:tr>
      <w:tr w:rsidR="00E31B19" w:rsidRPr="000364C9" w:rsidTr="001A01AB">
        <w:trPr>
          <w:trHeight w:val="244"/>
          <w:jc w:val="center"/>
        </w:trPr>
        <w:tc>
          <w:tcPr>
            <w:tcW w:w="1985"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4893" w:type="dxa"/>
            <w:shd w:val="clear" w:color="auto" w:fill="E7EDF5"/>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Asistencia técnica y extensión agrícola</w:t>
            </w:r>
            <w:r w:rsidR="0010673E">
              <w:rPr>
                <w:rFonts w:ascii="Calibri" w:hAnsi="Calibri" w:cs="Calibri"/>
                <w:sz w:val="22"/>
                <w:szCs w:val="22"/>
                <w:lang w:val="es-GT"/>
              </w:rPr>
              <w:t>.</w:t>
            </w:r>
          </w:p>
        </w:tc>
      </w:tr>
      <w:tr w:rsidR="00E31B19" w:rsidRPr="000364C9" w:rsidTr="001A01AB">
        <w:trPr>
          <w:trHeight w:val="430"/>
          <w:jc w:val="center"/>
        </w:trPr>
        <w:tc>
          <w:tcPr>
            <w:tcW w:w="1985" w:type="dxa"/>
            <w:vMerge w:val="restart"/>
            <w:shd w:val="clear" w:color="auto" w:fill="DBE5F1"/>
            <w:tcMar>
              <w:top w:w="15" w:type="dxa"/>
              <w:left w:w="50" w:type="dxa"/>
              <w:bottom w:w="0" w:type="dxa"/>
              <w:right w:w="50" w:type="dxa"/>
            </w:tcMar>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 xml:space="preserve">Vulnerabilidad sistémica y cambio climático </w:t>
            </w:r>
          </w:p>
        </w:tc>
        <w:tc>
          <w:tcPr>
            <w:tcW w:w="2053" w:type="dxa"/>
            <w:vMerge w:val="restart"/>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Vulnerabilidad y Cambio climático</w:t>
            </w:r>
          </w:p>
        </w:tc>
        <w:tc>
          <w:tcPr>
            <w:tcW w:w="4893" w:type="dxa"/>
            <w:shd w:val="clear" w:color="auto" w:fill="DBE5F1"/>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Planes de gestión de riesgo local</w:t>
            </w:r>
            <w:r w:rsidR="0010673E">
              <w:rPr>
                <w:rFonts w:ascii="Calibri" w:hAnsi="Calibri" w:cs="Calibri"/>
                <w:sz w:val="22"/>
                <w:szCs w:val="22"/>
                <w:lang w:val="es-GT"/>
              </w:rPr>
              <w:t>.</w:t>
            </w:r>
          </w:p>
        </w:tc>
      </w:tr>
      <w:tr w:rsidR="00E31B19" w:rsidRPr="000364C9" w:rsidTr="001A01AB">
        <w:trPr>
          <w:trHeight w:val="431"/>
          <w:jc w:val="center"/>
        </w:trPr>
        <w:tc>
          <w:tcPr>
            <w:tcW w:w="1985"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shd w:val="clear" w:color="auto" w:fill="DBE5F1"/>
            <w:vAlign w:val="center"/>
          </w:tcPr>
          <w:p w:rsidR="00E31B19" w:rsidRPr="001A01AB" w:rsidRDefault="00E31B19" w:rsidP="007A5355">
            <w:pPr>
              <w:spacing w:before="40" w:after="40"/>
              <w:ind w:left="144"/>
              <w:rPr>
                <w:rFonts w:ascii="Calibri" w:hAnsi="Calibri" w:cs="Calibri"/>
                <w:sz w:val="22"/>
                <w:szCs w:val="22"/>
                <w:lang w:val="es-GT"/>
              </w:rPr>
            </w:pPr>
          </w:p>
        </w:tc>
        <w:tc>
          <w:tcPr>
            <w:tcW w:w="4893" w:type="dxa"/>
            <w:shd w:val="clear" w:color="auto" w:fill="DBE5F1"/>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Generación de información climática local</w:t>
            </w:r>
            <w:r w:rsidR="0010673E">
              <w:rPr>
                <w:rFonts w:ascii="Calibri" w:hAnsi="Calibri" w:cs="Calibri"/>
                <w:sz w:val="22"/>
                <w:szCs w:val="22"/>
                <w:lang w:val="es-GT"/>
              </w:rPr>
              <w:t>.</w:t>
            </w:r>
          </w:p>
        </w:tc>
      </w:tr>
      <w:tr w:rsidR="00E31B19" w:rsidRPr="000364C9" w:rsidTr="001A01AB">
        <w:trPr>
          <w:trHeight w:val="111"/>
          <w:jc w:val="center"/>
        </w:trPr>
        <w:tc>
          <w:tcPr>
            <w:tcW w:w="1985" w:type="dxa"/>
            <w:vMerge w:val="restart"/>
            <w:shd w:val="clear" w:color="auto" w:fill="E7EDF5"/>
            <w:tcMar>
              <w:top w:w="15" w:type="dxa"/>
              <w:left w:w="50" w:type="dxa"/>
              <w:bottom w:w="0" w:type="dxa"/>
              <w:right w:w="50" w:type="dxa"/>
            </w:tcMar>
            <w:vAlign w:val="center"/>
          </w:tcPr>
          <w:p w:rsidR="00E31B19" w:rsidRPr="001A01AB" w:rsidRDefault="00E31B19" w:rsidP="007A5355">
            <w:pPr>
              <w:spacing w:before="40" w:after="40"/>
              <w:ind w:left="144"/>
              <w:rPr>
                <w:rFonts w:ascii="Calibri" w:hAnsi="Calibri" w:cs="Calibri"/>
                <w:sz w:val="22"/>
                <w:szCs w:val="22"/>
                <w:lang w:val="es-GT"/>
              </w:rPr>
            </w:pPr>
            <w:r w:rsidRPr="001A01AB">
              <w:rPr>
                <w:rFonts w:ascii="Calibri" w:hAnsi="Calibri" w:cs="Calibri"/>
                <w:sz w:val="22"/>
                <w:szCs w:val="22"/>
                <w:lang w:val="es-GT"/>
              </w:rPr>
              <w:t>Desarrollo institucional</w:t>
            </w:r>
          </w:p>
        </w:tc>
        <w:tc>
          <w:tcPr>
            <w:tcW w:w="2053" w:type="dxa"/>
            <w:vMerge w:val="restart"/>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4893" w:type="dxa"/>
            <w:shd w:val="clear" w:color="auto" w:fill="E7EDF5"/>
            <w:tcMar>
              <w:top w:w="15" w:type="dxa"/>
              <w:left w:w="50" w:type="dxa"/>
              <w:bottom w:w="0" w:type="dxa"/>
              <w:right w:w="50" w:type="dxa"/>
            </w:tcMar>
            <w:vAlign w:val="center"/>
          </w:tcPr>
          <w:p w:rsidR="00E31B19" w:rsidRPr="001A01AB" w:rsidRDefault="00E31B19" w:rsidP="007C3972">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Promoción de la asocia</w:t>
            </w:r>
            <w:r w:rsidR="007C3972" w:rsidRPr="001A01AB">
              <w:rPr>
                <w:rFonts w:ascii="Calibri" w:hAnsi="Calibri" w:cs="Calibri"/>
                <w:sz w:val="22"/>
                <w:szCs w:val="22"/>
                <w:lang w:val="es-GT"/>
              </w:rPr>
              <w:t>ción de</w:t>
            </w:r>
            <w:r w:rsidRPr="001A01AB">
              <w:rPr>
                <w:rFonts w:ascii="Calibri" w:hAnsi="Calibri" w:cs="Calibri"/>
                <w:sz w:val="22"/>
                <w:szCs w:val="22"/>
                <w:lang w:val="es-GT"/>
              </w:rPr>
              <w:t xml:space="preserve"> los pequeños y medianos productores rurales</w:t>
            </w:r>
            <w:r w:rsidR="0010673E">
              <w:rPr>
                <w:rFonts w:ascii="Calibri" w:hAnsi="Calibri" w:cs="Calibri"/>
                <w:sz w:val="22"/>
                <w:szCs w:val="22"/>
                <w:lang w:val="es-GT"/>
              </w:rPr>
              <w:t>.</w:t>
            </w:r>
          </w:p>
        </w:tc>
      </w:tr>
      <w:tr w:rsidR="00E31B19" w:rsidRPr="000364C9" w:rsidTr="001A01AB">
        <w:trPr>
          <w:trHeight w:val="111"/>
          <w:jc w:val="center"/>
        </w:trPr>
        <w:tc>
          <w:tcPr>
            <w:tcW w:w="1985" w:type="dxa"/>
            <w:vMerge/>
            <w:tcBorders>
              <w:bottom w:val="single" w:sz="4" w:space="0" w:color="FFFFFF"/>
            </w:tcBorders>
            <w:shd w:val="clear" w:color="auto" w:fill="E7EDF5"/>
            <w:tcMar>
              <w:top w:w="15" w:type="dxa"/>
              <w:left w:w="50" w:type="dxa"/>
              <w:bottom w:w="0" w:type="dxa"/>
              <w:right w:w="50" w:type="dxa"/>
            </w:tcMar>
            <w:vAlign w:val="center"/>
          </w:tcPr>
          <w:p w:rsidR="00E31B19" w:rsidRPr="001A01AB" w:rsidRDefault="00E31B19" w:rsidP="007A5355">
            <w:pPr>
              <w:spacing w:before="40" w:after="40"/>
              <w:ind w:left="144"/>
              <w:rPr>
                <w:rFonts w:ascii="Calibri" w:hAnsi="Calibri" w:cs="Calibri"/>
                <w:sz w:val="22"/>
                <w:szCs w:val="22"/>
                <w:lang w:val="es-GT"/>
              </w:rPr>
            </w:pPr>
          </w:p>
        </w:tc>
        <w:tc>
          <w:tcPr>
            <w:tcW w:w="2053" w:type="dxa"/>
            <w:vMerge/>
            <w:shd w:val="clear" w:color="auto" w:fill="E7EDF5"/>
            <w:vAlign w:val="center"/>
          </w:tcPr>
          <w:p w:rsidR="00E31B19" w:rsidRPr="001A01AB" w:rsidRDefault="00E31B19" w:rsidP="007A5355">
            <w:pPr>
              <w:spacing w:before="40" w:after="40"/>
              <w:ind w:left="144"/>
              <w:rPr>
                <w:rFonts w:ascii="Calibri" w:hAnsi="Calibri" w:cs="Calibri"/>
                <w:sz w:val="22"/>
                <w:szCs w:val="22"/>
                <w:lang w:val="es-GT"/>
              </w:rPr>
            </w:pPr>
          </w:p>
        </w:tc>
        <w:tc>
          <w:tcPr>
            <w:tcW w:w="4893" w:type="dxa"/>
            <w:tcBorders>
              <w:bottom w:val="single" w:sz="4" w:space="0" w:color="FFFFFF"/>
            </w:tcBorders>
            <w:shd w:val="clear" w:color="auto" w:fill="E7EDF5"/>
            <w:tcMar>
              <w:top w:w="15" w:type="dxa"/>
              <w:left w:w="50" w:type="dxa"/>
              <w:bottom w:w="0" w:type="dxa"/>
              <w:right w:w="50" w:type="dxa"/>
            </w:tcMar>
            <w:vAlign w:val="center"/>
          </w:tcPr>
          <w:p w:rsidR="00E31B19" w:rsidRPr="001A01AB" w:rsidRDefault="00E31B19" w:rsidP="00E7258A">
            <w:pPr>
              <w:numPr>
                <w:ilvl w:val="0"/>
                <w:numId w:val="15"/>
              </w:numPr>
              <w:tabs>
                <w:tab w:val="clear" w:pos="720"/>
                <w:tab w:val="num" w:pos="232"/>
              </w:tabs>
              <w:spacing w:before="20" w:after="20"/>
              <w:ind w:left="202" w:hanging="144"/>
              <w:rPr>
                <w:rFonts w:ascii="Calibri" w:hAnsi="Calibri" w:cs="Calibri"/>
                <w:sz w:val="22"/>
                <w:szCs w:val="22"/>
                <w:lang w:val="es-GT"/>
              </w:rPr>
            </w:pPr>
            <w:r w:rsidRPr="001A01AB">
              <w:rPr>
                <w:rFonts w:ascii="Calibri" w:hAnsi="Calibri" w:cs="Calibri"/>
                <w:sz w:val="22"/>
                <w:szCs w:val="22"/>
                <w:lang w:val="es-GT"/>
              </w:rPr>
              <w:t>Imp</w:t>
            </w:r>
            <w:r w:rsidR="0010673E">
              <w:rPr>
                <w:rFonts w:ascii="Calibri" w:hAnsi="Calibri" w:cs="Calibri"/>
                <w:sz w:val="22"/>
                <w:szCs w:val="22"/>
                <w:lang w:val="es-GT"/>
              </w:rPr>
              <w:t>ulso al diá</w:t>
            </w:r>
            <w:r w:rsidRPr="001A01AB">
              <w:rPr>
                <w:rFonts w:ascii="Calibri" w:hAnsi="Calibri" w:cs="Calibri"/>
                <w:sz w:val="22"/>
                <w:szCs w:val="22"/>
                <w:lang w:val="es-GT"/>
              </w:rPr>
              <w:t>logo sectorial y de políticas de los recursos hídricos</w:t>
            </w:r>
            <w:r w:rsidR="0010673E">
              <w:rPr>
                <w:rFonts w:ascii="Calibri" w:hAnsi="Calibri" w:cs="Calibri"/>
                <w:sz w:val="22"/>
                <w:szCs w:val="22"/>
                <w:lang w:val="es-GT"/>
              </w:rPr>
              <w:t>.</w:t>
            </w:r>
          </w:p>
        </w:tc>
      </w:tr>
    </w:tbl>
    <w:p w:rsidR="00E31B19" w:rsidRPr="001A01AB" w:rsidRDefault="00E31B19" w:rsidP="00E31B19">
      <w:pPr>
        <w:ind w:right="288"/>
        <w:jc w:val="right"/>
        <w:rPr>
          <w:rFonts w:ascii="Calibri" w:hAnsi="Calibri" w:cs="Calibri"/>
          <w:lang w:val="es-GT"/>
        </w:rPr>
      </w:pPr>
      <w:r w:rsidRPr="001A01AB">
        <w:rPr>
          <w:rFonts w:ascii="Calibri" w:eastAsia="Calibri" w:hAnsi="Calibri" w:cs="Calibri"/>
          <w:sz w:val="20"/>
          <w:szCs w:val="20"/>
          <w:lang w:val="es-GT"/>
        </w:rPr>
        <w:t>Fuente:</w:t>
      </w:r>
      <w:r w:rsidRPr="001A01AB">
        <w:rPr>
          <w:rFonts w:ascii="Calibri" w:hAnsi="Calibri" w:cs="Calibri"/>
          <w:sz w:val="20"/>
          <w:szCs w:val="20"/>
          <w:lang w:val="es-GT"/>
        </w:rPr>
        <w:t xml:space="preserve"> Elaboración propia.</w:t>
      </w:r>
      <w:r w:rsidR="00141A70">
        <w:rPr>
          <w:rFonts w:ascii="Calibri" w:hAnsi="Calibri" w:cs="Calibri"/>
          <w:sz w:val="20"/>
          <w:szCs w:val="20"/>
          <w:lang w:val="es-GT"/>
        </w:rPr>
        <w:t xml:space="preserve"> </w:t>
      </w:r>
    </w:p>
    <w:p w:rsidR="00E31B19" w:rsidRPr="001A01AB" w:rsidRDefault="00E31B19" w:rsidP="00E31B19">
      <w:pPr>
        <w:jc w:val="both"/>
        <w:rPr>
          <w:rFonts w:ascii="Calibri" w:hAnsi="Calibri" w:cs="Calibri"/>
          <w:lang w:val="es-GT"/>
        </w:rPr>
        <w:sectPr w:rsidR="00E31B19" w:rsidRPr="001A01AB" w:rsidSect="00577CC5">
          <w:pgSz w:w="12240" w:h="15840" w:code="1"/>
          <w:pgMar w:top="1440" w:right="1152" w:bottom="1440" w:left="1440" w:header="720" w:footer="720" w:gutter="0"/>
          <w:cols w:space="720"/>
          <w:docGrid w:linePitch="360"/>
        </w:sectPr>
      </w:pPr>
    </w:p>
    <w:p w:rsidR="00E31B19" w:rsidRDefault="00C54ACC" w:rsidP="00216872">
      <w:pPr>
        <w:pStyle w:val="Epgrafe"/>
        <w:jc w:val="center"/>
        <w:rPr>
          <w:rFonts w:asciiTheme="minorHAnsi" w:hAnsiTheme="minorHAnsi" w:cstheme="minorHAnsi"/>
          <w:color w:val="365F91" w:themeColor="accent1" w:themeShade="BF"/>
          <w:sz w:val="22"/>
          <w:szCs w:val="22"/>
          <w:lang w:val="es-GT"/>
        </w:rPr>
      </w:pPr>
      <w:bookmarkStart w:id="183" w:name="_Toc347841193"/>
      <w:r w:rsidRPr="00216872">
        <w:rPr>
          <w:rFonts w:asciiTheme="minorHAnsi" w:hAnsiTheme="minorHAnsi" w:cstheme="minorHAnsi"/>
          <w:color w:val="365F91" w:themeColor="accent1" w:themeShade="BF"/>
          <w:sz w:val="22"/>
          <w:szCs w:val="22"/>
          <w:lang w:val="es-GT"/>
        </w:rPr>
        <w:lastRenderedPageBreak/>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11</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E31B19" w:rsidRPr="00216872">
        <w:rPr>
          <w:rFonts w:asciiTheme="minorHAnsi" w:hAnsiTheme="minorHAnsi" w:cstheme="minorHAnsi"/>
          <w:color w:val="365F91" w:themeColor="accent1" w:themeShade="BF"/>
          <w:sz w:val="22"/>
          <w:szCs w:val="22"/>
          <w:lang w:val="es-GT"/>
        </w:rPr>
        <w:t>Evaluación de las Opciones Estratégicas seleccionadas, por cada Factor Crítico para la Decisión</w:t>
      </w:r>
      <w:bookmarkEnd w:id="183"/>
    </w:p>
    <w:p w:rsidR="00216872" w:rsidRPr="00216872" w:rsidRDefault="00216872" w:rsidP="00216872">
      <w:pPr>
        <w:rPr>
          <w:rFonts w:eastAsia="Calibri"/>
          <w:lang w:val="es-GT"/>
        </w:rPr>
      </w:pPr>
    </w:p>
    <w:tbl>
      <w:tblPr>
        <w:tblW w:w="1340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E7EDF5"/>
        <w:tblLayout w:type="fixed"/>
        <w:tblCellMar>
          <w:left w:w="70" w:type="dxa"/>
          <w:right w:w="70" w:type="dxa"/>
        </w:tblCellMar>
        <w:tblLook w:val="04A0" w:firstRow="1" w:lastRow="0" w:firstColumn="1" w:lastColumn="0" w:noHBand="0" w:noVBand="1"/>
      </w:tblPr>
      <w:tblGrid>
        <w:gridCol w:w="3096"/>
        <w:gridCol w:w="1145"/>
        <w:gridCol w:w="1145"/>
        <w:gridCol w:w="1136"/>
        <w:gridCol w:w="10"/>
        <w:gridCol w:w="1145"/>
        <w:gridCol w:w="1145"/>
        <w:gridCol w:w="1146"/>
        <w:gridCol w:w="1145"/>
        <w:gridCol w:w="1145"/>
        <w:gridCol w:w="1147"/>
      </w:tblGrid>
      <w:tr w:rsidR="00E31B19" w:rsidRPr="00C870E7" w:rsidTr="001A01AB">
        <w:trPr>
          <w:trHeight w:val="20"/>
          <w:tblHeader/>
          <w:jc w:val="center"/>
        </w:trPr>
        <w:tc>
          <w:tcPr>
            <w:tcW w:w="3096" w:type="dxa"/>
            <w:vMerge w:val="restart"/>
            <w:shd w:val="clear" w:color="auto" w:fill="C6D9F1"/>
            <w:vAlign w:val="center"/>
            <w:hideMark/>
          </w:tcPr>
          <w:p w:rsidR="00E31B19" w:rsidRPr="001A01AB" w:rsidRDefault="00E31B19" w:rsidP="007A5355">
            <w:pPr>
              <w:spacing w:before="20"/>
              <w:jc w:val="both"/>
              <w:rPr>
                <w:rFonts w:ascii="Calibri" w:hAnsi="Calibri" w:cs="Calibri"/>
                <w:b/>
                <w:color w:val="000000"/>
                <w:sz w:val="22"/>
                <w:szCs w:val="22"/>
                <w:lang w:val="es-GT" w:eastAsia="es-GT"/>
              </w:rPr>
            </w:pPr>
          </w:p>
        </w:tc>
        <w:tc>
          <w:tcPr>
            <w:tcW w:w="10309" w:type="dxa"/>
            <w:gridSpan w:val="10"/>
            <w:shd w:val="clear" w:color="auto" w:fill="C6D9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 xml:space="preserve">FCD-1: Recursos </w:t>
            </w:r>
            <w:r w:rsidR="00B850BA" w:rsidRPr="001A01AB">
              <w:rPr>
                <w:rFonts w:ascii="Calibri" w:hAnsi="Calibri" w:cs="Calibri"/>
                <w:b/>
                <w:color w:val="000000"/>
                <w:sz w:val="22"/>
                <w:szCs w:val="22"/>
                <w:lang w:eastAsia="es-GT"/>
              </w:rPr>
              <w:t>naturales estratégicos</w:t>
            </w:r>
          </w:p>
        </w:tc>
      </w:tr>
      <w:tr w:rsidR="00E31B19" w:rsidRPr="00C870E7" w:rsidTr="001A01AB">
        <w:trPr>
          <w:trHeight w:val="20"/>
          <w:tblHeader/>
          <w:jc w:val="center"/>
        </w:trPr>
        <w:tc>
          <w:tcPr>
            <w:tcW w:w="3096" w:type="dxa"/>
            <w:vMerge/>
            <w:shd w:val="clear" w:color="auto" w:fill="C6D9F1"/>
            <w:vAlign w:val="center"/>
            <w:hideMark/>
          </w:tcPr>
          <w:p w:rsidR="00E31B19" w:rsidRPr="001A01AB" w:rsidRDefault="00E31B19" w:rsidP="007A5355">
            <w:pPr>
              <w:spacing w:before="20"/>
              <w:jc w:val="both"/>
              <w:rPr>
                <w:rFonts w:ascii="Calibri" w:hAnsi="Calibri" w:cs="Calibri"/>
                <w:b/>
                <w:color w:val="000000"/>
                <w:sz w:val="22"/>
                <w:szCs w:val="22"/>
                <w:lang w:eastAsia="es-GT"/>
              </w:rPr>
            </w:pPr>
          </w:p>
        </w:tc>
        <w:tc>
          <w:tcPr>
            <w:tcW w:w="3426" w:type="dxa"/>
            <w:gridSpan w:val="3"/>
            <w:shd w:val="clear" w:color="auto" w:fill="C6D9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C-1.1: Bosque</w:t>
            </w:r>
          </w:p>
        </w:tc>
        <w:tc>
          <w:tcPr>
            <w:tcW w:w="4591" w:type="dxa"/>
            <w:gridSpan w:val="5"/>
            <w:shd w:val="clear" w:color="auto" w:fill="C6D9F1"/>
            <w:vAlign w:val="center"/>
            <w:hideMark/>
          </w:tcPr>
          <w:p w:rsidR="00E31B19" w:rsidRPr="001A01AB" w:rsidRDefault="0010673E" w:rsidP="007A5355">
            <w:pPr>
              <w:spacing w:before="20"/>
              <w:jc w:val="center"/>
              <w:rPr>
                <w:rFonts w:ascii="Calibri" w:hAnsi="Calibri" w:cs="Calibri"/>
                <w:b/>
                <w:color w:val="000000"/>
                <w:sz w:val="22"/>
                <w:szCs w:val="22"/>
                <w:lang w:eastAsia="es-GT"/>
              </w:rPr>
            </w:pPr>
            <w:r>
              <w:rPr>
                <w:rFonts w:ascii="Calibri" w:hAnsi="Calibri" w:cs="Calibri"/>
                <w:b/>
                <w:color w:val="000000"/>
                <w:sz w:val="22"/>
                <w:szCs w:val="22"/>
                <w:lang w:eastAsia="es-GT"/>
              </w:rPr>
              <w:t>C-1.2: Recursos h</w:t>
            </w:r>
            <w:r w:rsidR="00E31B19" w:rsidRPr="001A01AB">
              <w:rPr>
                <w:rFonts w:ascii="Calibri" w:hAnsi="Calibri" w:cs="Calibri"/>
                <w:b/>
                <w:color w:val="000000"/>
                <w:sz w:val="22"/>
                <w:szCs w:val="22"/>
                <w:lang w:eastAsia="es-GT"/>
              </w:rPr>
              <w:t>ídricos</w:t>
            </w:r>
          </w:p>
        </w:tc>
        <w:tc>
          <w:tcPr>
            <w:tcW w:w="2292" w:type="dxa"/>
            <w:gridSpan w:val="2"/>
            <w:shd w:val="clear" w:color="auto" w:fill="C6D9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C-3: Suelos</w:t>
            </w:r>
          </w:p>
        </w:tc>
      </w:tr>
      <w:tr w:rsidR="00E31B19" w:rsidRPr="000364C9" w:rsidTr="001A01AB">
        <w:trPr>
          <w:trHeight w:val="20"/>
          <w:tblHeader/>
          <w:jc w:val="center"/>
        </w:trPr>
        <w:tc>
          <w:tcPr>
            <w:tcW w:w="3096" w:type="dxa"/>
            <w:vMerge/>
            <w:shd w:val="clear" w:color="auto" w:fill="C6D9F1"/>
            <w:vAlign w:val="center"/>
            <w:hideMark/>
          </w:tcPr>
          <w:p w:rsidR="00E31B19" w:rsidRPr="001A01AB" w:rsidRDefault="00E31B19" w:rsidP="007A5355">
            <w:pPr>
              <w:spacing w:before="20"/>
              <w:jc w:val="both"/>
              <w:rPr>
                <w:rFonts w:ascii="Calibri" w:hAnsi="Calibri" w:cs="Calibri"/>
                <w:b/>
                <w:color w:val="000000"/>
                <w:sz w:val="22"/>
                <w:szCs w:val="22"/>
                <w:lang w:eastAsia="es-GT"/>
              </w:rPr>
            </w:pPr>
          </w:p>
        </w:tc>
        <w:tc>
          <w:tcPr>
            <w:tcW w:w="1145" w:type="dxa"/>
            <w:shd w:val="clear" w:color="auto" w:fill="C6D9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I-1.1.1: Dinámica de la cobertura forestal</w:t>
            </w:r>
          </w:p>
        </w:tc>
        <w:tc>
          <w:tcPr>
            <w:tcW w:w="1145" w:type="dxa"/>
            <w:shd w:val="clear" w:color="auto" w:fill="C6D9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 xml:space="preserve">I-1.1.2: Frentes de </w:t>
            </w:r>
            <w:r w:rsidR="007C3972" w:rsidRPr="001A01AB">
              <w:rPr>
                <w:rFonts w:ascii="Calibri" w:hAnsi="Calibri" w:cs="Calibri"/>
                <w:b/>
                <w:color w:val="000000"/>
                <w:sz w:val="20"/>
                <w:szCs w:val="22"/>
                <w:lang w:val="es-GT" w:eastAsia="es-GT"/>
              </w:rPr>
              <w:t>deforesta-ción</w:t>
            </w:r>
          </w:p>
        </w:tc>
        <w:tc>
          <w:tcPr>
            <w:tcW w:w="1146" w:type="dxa"/>
            <w:gridSpan w:val="2"/>
            <w:shd w:val="clear" w:color="auto" w:fill="C6D9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I-1.1.3: Dinámica de los aprove-chamientos forestales</w:t>
            </w:r>
          </w:p>
        </w:tc>
        <w:tc>
          <w:tcPr>
            <w:tcW w:w="1145" w:type="dxa"/>
            <w:shd w:val="clear" w:color="auto" w:fill="C6D9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I-1.2.1: Agua y cobertura vegetal</w:t>
            </w:r>
          </w:p>
        </w:tc>
        <w:tc>
          <w:tcPr>
            <w:tcW w:w="1145" w:type="dxa"/>
            <w:shd w:val="clear" w:color="auto" w:fill="C6D9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I-1.2.2: Oferta y utilización del agua</w:t>
            </w:r>
          </w:p>
        </w:tc>
        <w:tc>
          <w:tcPr>
            <w:tcW w:w="1146" w:type="dxa"/>
            <w:shd w:val="clear" w:color="auto" w:fill="C6D9F1"/>
            <w:vAlign w:val="center"/>
            <w:hideMark/>
          </w:tcPr>
          <w:p w:rsidR="00E31B19" w:rsidRPr="001A01AB" w:rsidRDefault="00E31B19" w:rsidP="007A5355">
            <w:pPr>
              <w:spacing w:before="20"/>
              <w:jc w:val="center"/>
              <w:rPr>
                <w:rFonts w:ascii="Calibri" w:hAnsi="Calibri" w:cs="Calibri"/>
                <w:b/>
                <w:color w:val="000000"/>
                <w:sz w:val="20"/>
                <w:szCs w:val="22"/>
                <w:lang w:eastAsia="es-GT"/>
              </w:rPr>
            </w:pPr>
            <w:r w:rsidRPr="001A01AB">
              <w:rPr>
                <w:rFonts w:ascii="Calibri" w:hAnsi="Calibri" w:cs="Calibri"/>
                <w:b/>
                <w:color w:val="000000"/>
                <w:sz w:val="20"/>
                <w:szCs w:val="22"/>
                <w:lang w:eastAsia="es-GT"/>
              </w:rPr>
              <w:t>I-1.2.3: Balance hídrico nacional</w:t>
            </w:r>
          </w:p>
        </w:tc>
        <w:tc>
          <w:tcPr>
            <w:tcW w:w="1145" w:type="dxa"/>
            <w:shd w:val="clear" w:color="auto" w:fill="C6D9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I-1.2.4: Contamina-ción del agua</w:t>
            </w:r>
          </w:p>
        </w:tc>
        <w:tc>
          <w:tcPr>
            <w:tcW w:w="1145" w:type="dxa"/>
            <w:shd w:val="clear" w:color="auto" w:fill="C6D9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I-1.3.1: Intensidad de uso del suelo</w:t>
            </w:r>
          </w:p>
        </w:tc>
        <w:tc>
          <w:tcPr>
            <w:tcW w:w="1147" w:type="dxa"/>
            <w:shd w:val="clear" w:color="auto" w:fill="C6D9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I-1.3.2: Susceptibi-lidad a la erosión</w: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rPr>
                <w:rFonts w:ascii="Calibri" w:hAnsi="Calibri" w:cs="Calibri"/>
                <w:b/>
                <w:color w:val="365F91"/>
                <w:sz w:val="22"/>
                <w:szCs w:val="22"/>
                <w:lang w:eastAsia="es-GT"/>
              </w:rPr>
            </w:pPr>
            <w:r w:rsidRPr="001A01AB">
              <w:rPr>
                <w:rFonts w:ascii="Calibri" w:hAnsi="Calibri" w:cs="Calibri"/>
                <w:b/>
                <w:color w:val="365F91"/>
                <w:sz w:val="22"/>
                <w:szCs w:val="22"/>
                <w:lang w:eastAsia="es-GT"/>
              </w:rPr>
              <w:t>OE.1. Bosques</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gridSpan w:val="2"/>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7"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Fomento del manejo forestal sostenible</w:t>
            </w:r>
            <w:r w:rsidR="0010673E">
              <w:rPr>
                <w:rFonts w:ascii="Calibri" w:hAnsi="Calibri" w:cs="Calibri"/>
                <w:color w:val="000000"/>
                <w:sz w:val="22"/>
                <w:szCs w:val="22"/>
                <w:lang w:val="es-GT" w:eastAsia="es-GT"/>
              </w:rPr>
              <w:t>.</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8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HQZGQIAAEMEAAAOAAAAZHJzL2Uyb0RvYy54bWysU9tuGjEQfa/Uf7D8XvZC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tkx0G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90500"/>
                      <wp:effectExtent l="33338" t="4762" r="0" b="23813"/>
                      <wp:docPr id="38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905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" adj="10773" fillcolor="#8eb4e3" strokecolor="#4f81bd">
                      <w10:anchorlock/>
                    </v:shape>
                  </w:pict>
                </mc:Fallback>
              </mc:AlternateContent>
            </w:r>
          </w:p>
        </w:tc>
        <w:tc>
          <w:tcPr>
            <w:tcW w:w="1146" w:type="dxa"/>
            <w:gridSpan w:val="2"/>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33350" cy="228600"/>
                      <wp:effectExtent l="19050" t="19050" r="38100" b="19050"/>
                      <wp:docPr id="17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286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" adj="6615"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7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ia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0ivomh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23825"/>
                      <wp:effectExtent l="0" t="47625" r="38100" b="57150"/>
                      <wp:docPr id="17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" adj="11340" fillcolor="#8eb4e3" strokecolor="#4f81bd">
                      <w10:anchorlock/>
                    </v:shape>
                  </w:pict>
                </mc:Fallback>
              </mc:AlternateContent>
            </w:r>
          </w:p>
        </w:tc>
        <w:tc>
          <w:tcPr>
            <w:tcW w:w="1146"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16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AYkOYL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16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BgY2Ct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6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V6cWYh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7"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28600" cy="133350"/>
                      <wp:effectExtent l="0" t="47625" r="47625" b="66675"/>
                      <wp:docPr id="16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" adj="11340" fillcolor="#8eb4e3" strokecolor="#4f81bd">
                      <w10:anchorlock/>
                    </v:shape>
                  </w:pict>
                </mc:Fallback>
              </mc:AlternateConten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 la silvicultura de plantaciones</w:t>
            </w:r>
            <w:r w:rsidR="0010673E">
              <w:rPr>
                <w:rFonts w:ascii="Calibri" w:hAnsi="Calibri" w:cs="Calibri"/>
                <w:color w:val="000000"/>
                <w:sz w:val="22"/>
                <w:szCs w:val="22"/>
                <w:lang w:val="es-GT" w:eastAsia="es-GT"/>
              </w:rPr>
              <w:t>.</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7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Bz7FwIAAEM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90500"/>
                      <wp:effectExtent l="33338" t="4762" r="0" b="23813"/>
                      <wp:docPr id="17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905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" adj="10773" fillcolor="#8eb4e3" strokecolor="#4f81bd">
                      <w10:anchorlock/>
                    </v:shape>
                  </w:pict>
                </mc:Fallback>
              </mc:AlternateContent>
            </w:r>
          </w:p>
        </w:tc>
        <w:tc>
          <w:tcPr>
            <w:tcW w:w="1146" w:type="dxa"/>
            <w:gridSpan w:val="2"/>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33350" cy="219075"/>
                      <wp:effectExtent l="19050" t="19050" r="38100" b="28575"/>
                      <wp:docPr id="18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190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0.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" adj="6903"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8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Z&#10;gFQl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23825"/>
                      <wp:effectExtent l="0" t="47625" r="38100" b="57150"/>
                      <wp:docPr id="18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" adj="11340" fillcolor="#8eb4e3" strokecolor="#4f81bd">
                      <w10:anchorlock/>
                    </v:shape>
                  </w:pict>
                </mc:Fallback>
              </mc:AlternateContent>
            </w:r>
          </w:p>
        </w:tc>
        <w:tc>
          <w:tcPr>
            <w:tcW w:w="1146"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17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APO+yS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18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CWt6RM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7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Q4GAIAAEM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k&#10;Q/Q4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7"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28600" cy="133350"/>
                      <wp:effectExtent l="0" t="47625" r="47625" b="66675"/>
                      <wp:docPr id="18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" adj="11340" fillcolor="#8eb4e3" strokecolor="#4f81bd">
                      <w10:anchorlock/>
                    </v:shape>
                  </w:pict>
                </mc:Fallback>
              </mc:AlternateConten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w:t>
            </w:r>
            <w:r w:rsidR="0010673E">
              <w:rPr>
                <w:rFonts w:ascii="Calibri" w:hAnsi="Calibri" w:cs="Calibri"/>
                <w:color w:val="000000"/>
                <w:sz w:val="22"/>
                <w:szCs w:val="22"/>
                <w:lang w:val="es-GT" w:eastAsia="es-GT"/>
              </w:rPr>
              <w:t xml:space="preserve"> la eficiencia dendroenergética.</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27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VX6GAIAAEQ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AC&#10;5VX6GAIAAEQ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27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y/avyhkCAABE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6" w:type="dxa"/>
            <w:gridSpan w:val="2"/>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27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SlsGQIAAEQ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swUpbBkCAABE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23825"/>
                      <wp:effectExtent l="0" t="47625" r="38100" b="57150"/>
                      <wp:docPr id="127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28600" cy="123825"/>
                      <wp:effectExtent l="0" t="42863" r="33338" b="52387"/>
                      <wp:docPr id="127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8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" adj="11340" fillcolor="#8eb4e3" strokecolor="#4f81bd">
                      <w10:anchorlock/>
                    </v:shape>
                  </w:pict>
                </mc:Fallback>
              </mc:AlternateContent>
            </w:r>
          </w:p>
        </w:tc>
        <w:tc>
          <w:tcPr>
            <w:tcW w:w="1146"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38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D5e4Rw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28600" cy="133350"/>
                      <wp:effectExtent l="0" t="47625" r="47625" b="66675"/>
                      <wp:docPr id="19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23825"/>
                      <wp:effectExtent l="0" t="47625" r="38100" b="57150"/>
                      <wp:docPr id="19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" adj="11340" fillcolor="#8eb4e3" strokecolor="#4f81bd">
                      <w10:anchorlock/>
                    </v:shape>
                  </w:pict>
                </mc:Fallback>
              </mc:AlternateContent>
            </w:r>
          </w:p>
        </w:tc>
        <w:tc>
          <w:tcPr>
            <w:tcW w:w="1147"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28600" cy="123825"/>
                      <wp:effectExtent l="0" t="42863" r="33338" b="52387"/>
                      <wp:docPr id="19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8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" adj="11340" fillcolor="#8eb4e3" strokecolor="#4f81bd">
                      <w10:anchorlock/>
                    </v:shape>
                  </w:pict>
                </mc:Fallback>
              </mc:AlternateContent>
            </w:r>
          </w:p>
        </w:tc>
      </w:tr>
      <w:tr w:rsidR="00E31B19" w:rsidRPr="00C870E7" w:rsidTr="001A01AB">
        <w:trPr>
          <w:trHeight w:val="20"/>
          <w:jc w:val="center"/>
        </w:trPr>
        <w:tc>
          <w:tcPr>
            <w:tcW w:w="3096" w:type="dxa"/>
            <w:shd w:val="clear" w:color="auto" w:fill="FAFAFA"/>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OE.2. Recursos hídricos</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gridSpan w:val="2"/>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7"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096"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Restauración de las tierras de importancia para captación y regulación hídrica</w:t>
            </w:r>
            <w:r w:rsidR="0010673E">
              <w:rPr>
                <w:rFonts w:ascii="Calibri" w:hAnsi="Calibri" w:cs="Calibri"/>
                <w:color w:val="000000"/>
                <w:sz w:val="22"/>
                <w:szCs w:val="22"/>
                <w:lang w:val="es-GT" w:eastAsia="es-GT"/>
              </w:rPr>
              <w:t>.</w: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9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c&#10;DKrd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23825"/>
                      <wp:effectExtent l="0" t="47625" r="38100" b="57150"/>
                      <wp:docPr id="19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" adj="11340" fillcolor="#8eb4e3" strokecolor="#4f81bd">
                      <w10:anchorlock/>
                    </v:shape>
                  </w:pict>
                </mc:Fallback>
              </mc:AlternateContent>
            </w:r>
          </w:p>
        </w:tc>
        <w:tc>
          <w:tcPr>
            <w:tcW w:w="1146" w:type="dxa"/>
            <w:gridSpan w:val="2"/>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23825"/>
                      <wp:effectExtent l="0" t="47625" r="38100" b="57150"/>
                      <wp:docPr id="19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" adj="11340" fillcolor="#8eb4e3" strokecolor="#4f81bd">
                      <w10:anchorlock/>
                    </v:shape>
                  </w:pict>
                </mc:Fallback>
              </mc:AlternateConten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33350" cy="228600"/>
                      <wp:effectExtent l="19050" t="19050" r="38100" b="19050"/>
                      <wp:docPr id="19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286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" adj="6615" fillcolor="#8eb4e3" strokecolor="#4f81bd">
                      <w10:anchorlock/>
                    </v:shape>
                  </w:pict>
                </mc:Fallback>
              </mc:AlternateConten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9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0IeGAIAAEM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4&#10;Q0Ie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6"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19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D+Z0hH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28600" cy="133350"/>
                      <wp:effectExtent l="0" t="47625" r="47625" b="66675"/>
                      <wp:docPr id="20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" adj="11340" fillcolor="#8eb4e3" strokecolor="#4f81bd">
                      <w10:anchorlock/>
                    </v:shape>
                  </w:pict>
                </mc:Fallback>
              </mc:AlternateConten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20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y&#10;rwrS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7"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20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" adj="11340" fillcolor="#8eb4e3" strokecolor="#4f81bd">
                      <w10:anchorlock/>
                    </v:shape>
                  </w:pict>
                </mc:Fallback>
              </mc:AlternateContent>
            </w:r>
          </w:p>
        </w:tc>
      </w:tr>
      <w:tr w:rsidR="00E31B19" w:rsidRPr="00C870E7" w:rsidTr="001A01AB">
        <w:trPr>
          <w:trHeight w:val="20"/>
          <w:jc w:val="center"/>
        </w:trPr>
        <w:tc>
          <w:tcPr>
            <w:tcW w:w="3096"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Construcción de plantas para el tratamiento de aguas residuales locales</w:t>
            </w:r>
            <w:r w:rsidR="0010673E">
              <w:rPr>
                <w:rFonts w:ascii="Calibri" w:hAnsi="Calibri" w:cs="Calibri"/>
                <w:color w:val="000000"/>
                <w:sz w:val="22"/>
                <w:szCs w:val="22"/>
                <w:lang w:val="es-GT" w:eastAsia="es-GT"/>
              </w:rPr>
              <w:t>.</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6" w:type="dxa"/>
            <w:gridSpan w:val="2"/>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8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f1+OK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6"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33350" cy="219075"/>
                      <wp:effectExtent l="19050" t="19050" r="38100" b="28575"/>
                      <wp:docPr id="37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190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0.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" adj="6903" fillcolor="#8eb4e3" strokecolor="#4f81bd">
                      <w10:anchorlock/>
                    </v:shape>
                  </w:pict>
                </mc:Fallback>
              </mc:AlternateConten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7"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OE.3. Suelo</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gridSpan w:val="2"/>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7"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del uso de sistemas agroforestales</w:t>
            </w:r>
            <w:r w:rsidR="0010673E">
              <w:rPr>
                <w:rFonts w:ascii="Calibri" w:hAnsi="Calibri" w:cs="Calibri"/>
                <w:color w:val="000000"/>
                <w:sz w:val="22"/>
                <w:szCs w:val="22"/>
                <w:lang w:val="es-GT" w:eastAsia="es-GT"/>
              </w:rPr>
              <w:t>.</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5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4IiGAIAAEM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m&#10;T4Ii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5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5DRGAIAAEM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AL&#10;E5DR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6" w:type="dxa"/>
            <w:gridSpan w:val="2"/>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5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z&#10;4BZ3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5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xHGAIAAEM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C6&#10;8+xH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5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C&#10;AGrh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6"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33350" cy="219075"/>
                      <wp:effectExtent l="19050" t="19050" r="38100" b="28575"/>
                      <wp:docPr id="15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190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0.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" adj="6903" fillcolor="#8eb4e3" strokecolor="#4f81bd">
                      <w10:anchorlock/>
                    </v:shape>
                  </w:pict>
                </mc:Fallback>
              </mc:AlternateContent>
            </w:r>
          </w:p>
        </w:tc>
        <w:tc>
          <w:tcPr>
            <w:tcW w:w="1147"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5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UCeegB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 la conservación de suelos agrícolas</w:t>
            </w:r>
            <w:r w:rsidR="0010673E">
              <w:rPr>
                <w:rFonts w:ascii="Calibri" w:hAnsi="Calibri" w:cs="Calibri"/>
                <w:color w:val="000000"/>
                <w:sz w:val="22"/>
                <w:szCs w:val="22"/>
                <w:lang w:val="es-GT" w:eastAsia="es-GT"/>
              </w:rPr>
              <w:t>.</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23825"/>
                      <wp:effectExtent l="0" t="47625" r="38100" b="57150"/>
                      <wp:docPr id="15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23825"/>
                      <wp:effectExtent l="0" t="47625" r="38100" b="57150"/>
                      <wp:docPr id="15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" adj="11340" fillcolor="#8eb4e3" strokecolor="#4f81bd">
                      <w10:anchorlock/>
                    </v:shape>
                  </w:pict>
                </mc:Fallback>
              </mc:AlternateContent>
            </w:r>
          </w:p>
        </w:tc>
        <w:tc>
          <w:tcPr>
            <w:tcW w:w="1146" w:type="dxa"/>
            <w:gridSpan w:val="2"/>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23825"/>
                      <wp:effectExtent l="0" t="47625" r="38100" b="57150"/>
                      <wp:docPr id="14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23825"/>
                      <wp:effectExtent l="0" t="47625" r="38100" b="57150"/>
                      <wp:docPr id="14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2382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9.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4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2&#10;bOiP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6"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33350" cy="228600"/>
                      <wp:effectExtent l="19050" t="19050" r="38100" b="19050"/>
                      <wp:docPr id="13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286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" adj="6615" fillcolor="#8eb4e3" strokecolor="#4f81bd">
                      <w10:anchorlock/>
                    </v:shape>
                  </w:pict>
                </mc:Fallback>
              </mc:AlternateContent>
            </w:r>
          </w:p>
        </w:tc>
        <w:tc>
          <w:tcPr>
            <w:tcW w:w="1147"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33350" cy="228600"/>
                      <wp:effectExtent l="19050" t="19050" r="38100" b="19050"/>
                      <wp:docPr id="13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286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" adj="6615" fillcolor="#8eb4e3" strokecolor="#4f81bd">
                      <w10:anchorlock/>
                    </v:shape>
                  </w:pict>
                </mc:Fallback>
              </mc:AlternateContent>
            </w:r>
          </w:p>
        </w:tc>
      </w:tr>
      <w:tr w:rsidR="00E31B19" w:rsidRPr="00C870E7" w:rsidTr="001A01AB">
        <w:trPr>
          <w:trHeight w:val="20"/>
          <w:jc w:val="center"/>
        </w:trPr>
        <w:tc>
          <w:tcPr>
            <w:tcW w:w="3096" w:type="dxa"/>
            <w:shd w:val="clear" w:color="auto" w:fill="FAFAFA"/>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OE.4. Infraestructura vial</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gridSpan w:val="2"/>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7"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096"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Introducción y rehabilitación de caminos rurales</w:t>
            </w:r>
            <w:r w:rsidR="0010673E">
              <w:rPr>
                <w:rFonts w:ascii="Calibri" w:hAnsi="Calibri" w:cs="Calibri"/>
                <w:color w:val="000000"/>
                <w:sz w:val="22"/>
                <w:szCs w:val="22"/>
                <w:lang w:val="es-GT" w:eastAsia="es-GT"/>
              </w:rPr>
              <w:t>.</w: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19050" t="38100" r="0" b="0"/>
                      <wp:docPr id="13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" adj="11340" fillcolor="#8eb4e3" strokecolor="#4f81bd">
                      <w10:anchorlock/>
                    </v:shape>
                  </w:pict>
                </mc:Fallback>
              </mc:AlternateConten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19050" t="38100" r="0" b="0"/>
                      <wp:docPr id="12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" adj="11340" fillcolor="#8eb4e3" strokecolor="#4f81bd">
                      <w10:anchorlock/>
                    </v:shape>
                  </w:pict>
                </mc:Fallback>
              </mc:AlternateContent>
            </w:r>
          </w:p>
        </w:tc>
        <w:tc>
          <w:tcPr>
            <w:tcW w:w="1146" w:type="dxa"/>
            <w:gridSpan w:val="2"/>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2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ppiGAIAAEM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U&#10;Nppi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4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" adj="11340" fillcolor="#8eb4e3" strokecolor="#4f81bd">
                      <w10:anchorlock/>
                    </v:shape>
                  </w:pict>
                </mc:Fallback>
              </mc:AlternateConten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6"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4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" adj="11340" fillcolor="#8eb4e3" strokecolor="#4f81bd">
                      <w10:anchorlock/>
                    </v:shape>
                  </w:pict>
                </mc:Fallback>
              </mc:AlternateConten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4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5sPGAIAAEMEAAAOAAAAZHJzL2Uyb0RvYy54bWysU9tuGjEQfa/Uf7D8XvYS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" adj="11340" fillcolor="#8eb4e3" strokecolor="#4f81bd">
                      <w10:anchorlock/>
                    </v:shape>
                  </w:pict>
                </mc:Fallback>
              </mc:AlternateContent>
            </w:r>
          </w:p>
        </w:tc>
        <w:tc>
          <w:tcPr>
            <w:tcW w:w="1147"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19050" t="38100" r="0" b="0"/>
                      <wp:docPr id="34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" adj="11340" fillcolor="#8eb4e3" strokecolor="#4f81bd">
                      <w10:anchorlock/>
                    </v:shape>
                  </w:pict>
                </mc:Fallback>
              </mc:AlternateConten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lastRenderedPageBreak/>
              <w:t>OE.5. Productividad agrícola</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gridSpan w:val="2"/>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7"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Construcción de sistemas de riego rural</w:t>
            </w:r>
            <w:r w:rsidR="0010673E">
              <w:rPr>
                <w:rFonts w:ascii="Calibri" w:hAnsi="Calibri" w:cs="Calibri"/>
                <w:color w:val="000000"/>
                <w:sz w:val="22"/>
                <w:szCs w:val="22"/>
                <w:lang w:val="es-GT" w:eastAsia="es-GT"/>
              </w:rPr>
              <w:t>.</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4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0BEGAIAAEMEAAAOAAAAZHJzL2Uyb0RvYy54bWysU9tuGjEQfa/Uf7D8XvYS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C6&#10;Z0BE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0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G&#10;jSrW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6" w:type="dxa"/>
            <w:gridSpan w:val="2"/>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30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DxSVwZ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30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0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" adj="11340" fillcolor="#8eb4e3" strokecolor="#4f81bd">
                      <w10:anchorlock/>
                    </v:shape>
                  </w:pict>
                </mc:Fallback>
              </mc:AlternateContent>
            </w:r>
          </w:p>
        </w:tc>
        <w:tc>
          <w:tcPr>
            <w:tcW w:w="1146"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30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0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0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" adj="11340" fillcolor="#8eb4e3" strokecolor="#4f81bd">
                      <w10:anchorlock/>
                    </v:shape>
                  </w:pict>
                </mc:Fallback>
              </mc:AlternateContent>
            </w:r>
          </w:p>
        </w:tc>
        <w:tc>
          <w:tcPr>
            <w:tcW w:w="1147"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29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" adj="11340" fillcolor="#8eb4e3" strokecolor="#4f81bd">
                      <w10:anchorlock/>
                    </v:shape>
                  </w:pict>
                </mc:Fallback>
              </mc:AlternateConten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Encadenamientos productivos y servicios de apoyo a la comercialización</w:t>
            </w:r>
            <w:r w:rsidR="0010673E">
              <w:rPr>
                <w:rFonts w:ascii="Calibri" w:hAnsi="Calibri" w:cs="Calibri"/>
                <w:color w:val="000000"/>
                <w:sz w:val="22"/>
                <w:szCs w:val="22"/>
                <w:lang w:val="es-GT" w:eastAsia="es-GT"/>
              </w:rPr>
              <w:t>.</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6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6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" adj="11340" fillcolor="#8eb4e3" strokecolor="#4f81bd">
                      <w10:anchorlock/>
                    </v:shape>
                  </w:pict>
                </mc:Fallback>
              </mc:AlternateContent>
            </w:r>
          </w:p>
        </w:tc>
        <w:tc>
          <w:tcPr>
            <w:tcW w:w="1146" w:type="dxa"/>
            <w:gridSpan w:val="2"/>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6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S&#10;v0SZ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6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19050" t="38100" r="0" b="0"/>
                      <wp:docPr id="36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" adj="11340" fillcolor="#8eb4e3" strokecolor="#4f81bd">
                      <w10:anchorlock/>
                    </v:shape>
                  </w:pict>
                </mc:Fallback>
              </mc:AlternateContent>
            </w:r>
          </w:p>
        </w:tc>
        <w:tc>
          <w:tcPr>
            <w:tcW w:w="1146"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36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19050" t="38100" r="0" b="0"/>
                      <wp:docPr id="36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19050" t="38100" r="0" b="0"/>
                      <wp:docPr id="36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" adj="11340" fillcolor="#8eb4e3" strokecolor="#4f81bd">
                      <w10:anchorlock/>
                    </v:shape>
                  </w:pict>
                </mc:Fallback>
              </mc:AlternateContent>
            </w:r>
          </w:p>
        </w:tc>
        <w:tc>
          <w:tcPr>
            <w:tcW w:w="1147"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19050" t="38100" r="0" b="0"/>
                      <wp:docPr id="36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" adj="11340" fillcolor="#8eb4e3" strokecolor="#4f81bd">
                      <w10:anchorlock/>
                    </v:shape>
                  </w:pict>
                </mc:Fallback>
              </mc:AlternateConten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Investigación y desarrollo tecnológico agrícola</w:t>
            </w:r>
            <w:r w:rsidR="0010673E">
              <w:rPr>
                <w:rFonts w:ascii="Calibri" w:hAnsi="Calibri" w:cs="Calibri"/>
                <w:color w:val="000000"/>
                <w:sz w:val="22"/>
                <w:szCs w:val="22"/>
                <w:lang w:val="es-GT" w:eastAsia="es-GT"/>
              </w:rPr>
              <w:t>.</w:t>
            </w:r>
          </w:p>
        </w:tc>
        <w:tc>
          <w:tcPr>
            <w:tcW w:w="114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6" w:type="dxa"/>
            <w:gridSpan w:val="2"/>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30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Ct9TJ8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0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xw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vn6scB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6"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0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Tgl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K9E4J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71450"/>
                      <wp:effectExtent l="23813" t="0" r="0" b="33338"/>
                      <wp:docPr id="31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" adj="11340" fillcolor="#8eb4e3" strokecolor="#4f81bd">
                      <w10:anchorlock/>
                    </v:shape>
                  </w:pict>
                </mc:Fallback>
              </mc:AlternateContent>
            </w:r>
          </w:p>
        </w:tc>
        <w:tc>
          <w:tcPr>
            <w:tcW w:w="1147"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71450"/>
                      <wp:effectExtent l="23813" t="0" r="0" b="33338"/>
                      <wp:docPr id="31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" adj="11340" fillcolor="#8eb4e3" strokecolor="#4f81bd">
                      <w10:anchorlock/>
                    </v:shape>
                  </w:pict>
                </mc:Fallback>
              </mc:AlternateConten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Asistencia técnica y extensión agrícola</w:t>
            </w:r>
            <w:r w:rsidR="0010673E">
              <w:rPr>
                <w:rFonts w:ascii="Calibri" w:hAnsi="Calibri" w:cs="Calibri"/>
                <w:color w:val="000000"/>
                <w:sz w:val="22"/>
                <w:szCs w:val="22"/>
                <w:lang w:val="es-GT" w:eastAsia="es-GT"/>
              </w:rPr>
              <w:t>.</w:t>
            </w:r>
          </w:p>
        </w:tc>
        <w:tc>
          <w:tcPr>
            <w:tcW w:w="114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6" w:type="dxa"/>
            <w:gridSpan w:val="2"/>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31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BQikoi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1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dQu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QwHULh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6"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1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kB7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1q5Ae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2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rlUuC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7"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2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W&#10;pqit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r>
      <w:tr w:rsidR="00E31B19" w:rsidRPr="000364C9" w:rsidTr="001A01AB">
        <w:trPr>
          <w:trHeight w:val="20"/>
          <w:jc w:val="center"/>
        </w:trPr>
        <w:tc>
          <w:tcPr>
            <w:tcW w:w="3096" w:type="dxa"/>
            <w:shd w:val="clear" w:color="auto" w:fill="FAFAFA"/>
            <w:vAlign w:val="center"/>
            <w:hideMark/>
          </w:tcPr>
          <w:p w:rsidR="00E31B19" w:rsidRPr="001A01AB" w:rsidRDefault="00E31B19" w:rsidP="007A5355">
            <w:pPr>
              <w:spacing w:before="40" w:after="20"/>
              <w:rPr>
                <w:rFonts w:ascii="Calibri" w:hAnsi="Calibri" w:cs="Calibri"/>
                <w:color w:val="000000"/>
                <w:sz w:val="22"/>
                <w:szCs w:val="22"/>
                <w:lang w:val="es-GT" w:eastAsia="es-GT"/>
              </w:rPr>
            </w:pPr>
            <w:r w:rsidRPr="001A01AB">
              <w:rPr>
                <w:rFonts w:ascii="Calibri" w:hAnsi="Calibri" w:cs="Calibri"/>
                <w:b/>
                <w:color w:val="365F91"/>
                <w:sz w:val="22"/>
                <w:szCs w:val="22"/>
                <w:lang w:val="es-GT" w:eastAsia="es-GT"/>
              </w:rPr>
              <w:t>OE.6. Vulnerabilidad y cambio climático</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46" w:type="dxa"/>
            <w:gridSpan w:val="2"/>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46"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47"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r>
      <w:tr w:rsidR="00E31B19" w:rsidRPr="00C870E7" w:rsidTr="001A01AB">
        <w:trPr>
          <w:trHeight w:val="20"/>
          <w:jc w:val="center"/>
        </w:trPr>
        <w:tc>
          <w:tcPr>
            <w:tcW w:w="3096"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Planes de gestión de riesgo local</w:t>
            </w:r>
            <w:r w:rsidR="0010673E">
              <w:rPr>
                <w:rFonts w:ascii="Calibri" w:hAnsi="Calibri" w:cs="Calibri"/>
                <w:color w:val="000000"/>
                <w:sz w:val="22"/>
                <w:szCs w:val="22"/>
                <w:lang w:val="es-GT" w:eastAsia="es-GT"/>
              </w:rPr>
              <w:t>.</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6" w:type="dxa"/>
            <w:gridSpan w:val="2"/>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3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UypWV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6"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3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K9nQ8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7"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A01AB">
        <w:trPr>
          <w:trHeight w:val="20"/>
          <w:jc w:val="center"/>
        </w:trPr>
        <w:tc>
          <w:tcPr>
            <w:tcW w:w="3096"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Generación de información climática local</w:t>
            </w:r>
            <w:r w:rsidR="0010673E">
              <w:rPr>
                <w:rFonts w:ascii="Calibri" w:hAnsi="Calibri" w:cs="Calibri"/>
                <w:color w:val="000000"/>
                <w:sz w:val="22"/>
                <w:szCs w:val="22"/>
                <w:lang w:val="es-GT" w:eastAsia="es-GT"/>
              </w:rPr>
              <w:t>.</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6" w:type="dxa"/>
            <w:gridSpan w:val="2"/>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3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SSGQIAAEMEAAAOAAAAZHJzL2Uyb0RvYy54bWysU9tuGjEQfa/Uf7D8XvZC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uf4kkh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6"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3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jZhGAIAAEMEAAAOAAAAZHJzL2Uyb0RvYy54bWysU9tuGjEQfa/Uf7D8XvZC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U&#10;ojZh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7"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OE.7. Desarrollo institucional</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gridSpan w:val="2"/>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6"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47"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096" w:type="dxa"/>
            <w:shd w:val="clear" w:color="auto" w:fill="E7EDF5"/>
            <w:vAlign w:val="center"/>
            <w:hideMark/>
          </w:tcPr>
          <w:p w:rsidR="00E31B19" w:rsidRPr="001A01AB" w:rsidRDefault="00E31B19" w:rsidP="007C3972">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xml:space="preserve">Promoción de la </w:t>
            </w:r>
            <w:r w:rsidR="007C3972" w:rsidRPr="001A01AB">
              <w:rPr>
                <w:rFonts w:ascii="Calibri" w:hAnsi="Calibri" w:cs="Calibri"/>
                <w:color w:val="000000"/>
                <w:sz w:val="22"/>
                <w:szCs w:val="22"/>
                <w:lang w:val="es-GT" w:eastAsia="es-GT"/>
              </w:rPr>
              <w:t>asociación</w:t>
            </w:r>
            <w:r w:rsidRPr="001A01AB">
              <w:rPr>
                <w:rFonts w:ascii="Calibri" w:hAnsi="Calibri" w:cs="Calibri"/>
                <w:color w:val="000000"/>
                <w:sz w:val="22"/>
                <w:szCs w:val="22"/>
                <w:lang w:val="es-GT" w:eastAsia="es-GT"/>
              </w:rPr>
              <w:t xml:space="preserve"> de los pequeños y medianos productores rurales</w:t>
            </w:r>
            <w:r w:rsidR="0010673E">
              <w:rPr>
                <w:rFonts w:ascii="Calibri" w:hAnsi="Calibri" w:cs="Calibri"/>
                <w:color w:val="000000"/>
                <w:sz w:val="22"/>
                <w:szCs w:val="22"/>
                <w:lang w:val="es-GT" w:eastAsia="es-GT"/>
              </w:rPr>
              <w:t>.</w:t>
            </w:r>
          </w:p>
        </w:tc>
        <w:tc>
          <w:tcPr>
            <w:tcW w:w="114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46" w:type="dxa"/>
            <w:gridSpan w:val="2"/>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5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HCw2S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5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ZN+w7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46"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4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5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" adj="11340" fillcolor="#8eb4e3" strokecolor="#4f81bd">
                      <w10:anchorlock/>
                    </v:shape>
                  </w:pict>
                </mc:Fallback>
              </mc:AlternateContent>
            </w:r>
          </w:p>
        </w:tc>
        <w:tc>
          <w:tcPr>
            <w:tcW w:w="1147"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28600" cy="133350"/>
                      <wp:effectExtent l="0" t="47625" r="47625" b="66675"/>
                      <wp:docPr id="35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" adj="11340" fillcolor="#8eb4e3" strokecolor="#4f81bd">
                      <w10:anchorlock/>
                    </v:shape>
                  </w:pict>
                </mc:Fallback>
              </mc:AlternateContent>
            </w:r>
          </w:p>
        </w:tc>
      </w:tr>
      <w:tr w:rsidR="00E31B19" w:rsidRPr="00C870E7" w:rsidTr="001A01AB">
        <w:trPr>
          <w:trHeight w:val="20"/>
          <w:jc w:val="center"/>
        </w:trPr>
        <w:tc>
          <w:tcPr>
            <w:tcW w:w="3096" w:type="dxa"/>
            <w:shd w:val="clear" w:color="auto" w:fill="E7EDF5"/>
            <w:vAlign w:val="center"/>
          </w:tcPr>
          <w:p w:rsidR="00E31B19" w:rsidRPr="001A01AB" w:rsidRDefault="00E31B19" w:rsidP="0010673E">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Impulso al di</w:t>
            </w:r>
            <w:r w:rsidR="0010673E">
              <w:rPr>
                <w:rFonts w:ascii="Calibri" w:hAnsi="Calibri" w:cs="Calibri"/>
                <w:color w:val="000000"/>
                <w:sz w:val="22"/>
                <w:szCs w:val="22"/>
                <w:lang w:val="es-GT" w:eastAsia="es-GT"/>
              </w:rPr>
              <w:t>á</w:t>
            </w:r>
            <w:r w:rsidRPr="001A01AB">
              <w:rPr>
                <w:rFonts w:ascii="Calibri" w:hAnsi="Calibri" w:cs="Calibri"/>
                <w:color w:val="000000"/>
                <w:sz w:val="22"/>
                <w:szCs w:val="22"/>
                <w:lang w:val="es-GT" w:eastAsia="es-GT"/>
              </w:rPr>
              <w:t>logo sectorial y de políticas de los recursos hídricos</w:t>
            </w:r>
            <w:r w:rsidR="0010673E">
              <w:rPr>
                <w:rFonts w:ascii="Calibri" w:hAnsi="Calibri" w:cs="Calibri"/>
                <w:color w:val="000000"/>
                <w:sz w:val="22"/>
                <w:szCs w:val="22"/>
                <w:lang w:val="es-GT" w:eastAsia="es-GT"/>
              </w:rPr>
              <w:t>.</w:t>
            </w:r>
          </w:p>
        </w:tc>
        <w:tc>
          <w:tcPr>
            <w:tcW w:w="1145" w:type="dxa"/>
            <w:shd w:val="clear" w:color="auto" w:fill="E7EDF5"/>
            <w:vAlign w:val="center"/>
          </w:tcPr>
          <w:p w:rsidR="00E31B19" w:rsidRPr="001A01AB" w:rsidRDefault="00E31B19" w:rsidP="007A5355">
            <w:pPr>
              <w:spacing w:before="20"/>
              <w:jc w:val="center"/>
              <w:rPr>
                <w:rFonts w:ascii="Calibri" w:hAnsi="Calibri" w:cs="Calibri"/>
                <w:b/>
                <w:bCs/>
                <w:color w:val="000000"/>
                <w:sz w:val="22"/>
                <w:szCs w:val="22"/>
                <w:lang w:val="es-GT" w:eastAsia="es-GT"/>
              </w:rPr>
            </w:pPr>
          </w:p>
        </w:tc>
        <w:tc>
          <w:tcPr>
            <w:tcW w:w="1145" w:type="dxa"/>
            <w:shd w:val="clear" w:color="auto" w:fill="E7EDF5"/>
            <w:vAlign w:val="center"/>
          </w:tcPr>
          <w:p w:rsidR="00E31B19" w:rsidRPr="001A01AB" w:rsidRDefault="00E31B19" w:rsidP="007A5355">
            <w:pPr>
              <w:spacing w:before="20"/>
              <w:jc w:val="center"/>
              <w:rPr>
                <w:rFonts w:ascii="Calibri" w:hAnsi="Calibri" w:cs="Calibri"/>
                <w:b/>
                <w:bCs/>
                <w:color w:val="000000"/>
                <w:sz w:val="22"/>
                <w:szCs w:val="22"/>
                <w:lang w:val="es-GT" w:eastAsia="es-GT"/>
              </w:rPr>
            </w:pPr>
          </w:p>
        </w:tc>
        <w:tc>
          <w:tcPr>
            <w:tcW w:w="1146" w:type="dxa"/>
            <w:gridSpan w:val="2"/>
            <w:shd w:val="clear" w:color="auto" w:fill="E7EDF5"/>
            <w:vAlign w:val="center"/>
          </w:tcPr>
          <w:p w:rsidR="00E31B19" w:rsidRPr="001A01AB" w:rsidRDefault="00E31B19" w:rsidP="007A5355">
            <w:pPr>
              <w:spacing w:before="20"/>
              <w:jc w:val="center"/>
              <w:rPr>
                <w:rFonts w:ascii="Calibri" w:hAnsi="Calibri" w:cs="Calibri"/>
                <w:b/>
                <w:bCs/>
                <w:noProof/>
                <w:color w:val="000000"/>
                <w:sz w:val="22"/>
                <w:szCs w:val="22"/>
                <w:lang w:val="es-GT" w:eastAsia="es-GT"/>
              </w:rPr>
            </w:pPr>
          </w:p>
        </w:tc>
        <w:tc>
          <w:tcPr>
            <w:tcW w:w="1145" w:type="dxa"/>
            <w:shd w:val="clear" w:color="auto" w:fill="E7EDF5"/>
            <w:vAlign w:val="center"/>
          </w:tcPr>
          <w:p w:rsidR="00E31B19" w:rsidRPr="001A01AB"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extent cx="180975" cy="180975"/>
                      <wp:effectExtent l="19050" t="0" r="0" b="28575"/>
                      <wp:docPr id="13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ng4GAIAAEMEAAAOAAAAZHJzL2Uyb0RvYy54bWysU9tuGjEQfa/Uf7D8XvZC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n&#10;0ng4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tcPr>
          <w:p w:rsidR="00E31B19" w:rsidRPr="001A01AB" w:rsidRDefault="00544A9F" w:rsidP="007A5355">
            <w:pPr>
              <w:spacing w:before="20"/>
              <w:jc w:val="center"/>
              <w:rPr>
                <w:rFonts w:ascii="Calibri" w:hAnsi="Calibri" w:cs="Calibri"/>
                <w:b/>
                <w:bCs/>
                <w:noProof/>
                <w:color w:val="000000"/>
                <w:sz w:val="22"/>
                <w:szCs w:val="22"/>
                <w:lang w:val="es-GT" w:eastAsia="es-GT"/>
              </w:rPr>
            </w:pPr>
            <w:r>
              <w:rPr>
                <w:noProof/>
                <w:lang w:val="es-GT" w:eastAsia="es-GT"/>
              </w:rPr>
              <mc:AlternateContent>
                <mc:Choice Requires="wps">
                  <w:drawing>
                    <wp:inline distT="0" distB="0" distL="0" distR="0">
                      <wp:extent cx="180975" cy="180975"/>
                      <wp:effectExtent l="19050" t="0" r="0" b="28575"/>
                      <wp:docPr id="13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gr/GAIAAEMEAAAOAAAAZHJzL2Uyb0RvYy54bWysU9tuGjEQfa/Uf7D8XvYS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CN&#10;Bgr/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6" w:type="dxa"/>
            <w:shd w:val="clear" w:color="auto" w:fill="E7EDF5"/>
            <w:vAlign w:val="center"/>
          </w:tcPr>
          <w:p w:rsidR="00E31B19" w:rsidRPr="001A01AB" w:rsidRDefault="00E31B19" w:rsidP="007A5355">
            <w:pPr>
              <w:spacing w:before="20"/>
              <w:jc w:val="center"/>
              <w:rPr>
                <w:rFonts w:ascii="Calibri" w:hAnsi="Calibri" w:cs="Calibri"/>
                <w:b/>
                <w:bCs/>
                <w:color w:val="000000"/>
                <w:sz w:val="22"/>
                <w:szCs w:val="22"/>
                <w:lang w:val="es-GT" w:eastAsia="es-GT"/>
              </w:rPr>
            </w:pPr>
          </w:p>
        </w:tc>
        <w:tc>
          <w:tcPr>
            <w:tcW w:w="1145" w:type="dxa"/>
            <w:shd w:val="clear" w:color="auto" w:fill="E7EDF5"/>
            <w:vAlign w:val="center"/>
          </w:tcPr>
          <w:p w:rsidR="00E31B19" w:rsidRPr="001A01AB"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extent cx="180975" cy="180975"/>
                      <wp:effectExtent l="19050" t="0" r="0" b="28575"/>
                      <wp:docPr id="13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YxZGA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1&#10;9YxZ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45" w:type="dxa"/>
            <w:shd w:val="clear" w:color="auto" w:fill="E7EDF5"/>
            <w:vAlign w:val="center"/>
          </w:tcPr>
          <w:p w:rsidR="00E31B19" w:rsidRPr="001A01AB" w:rsidRDefault="00E31B19" w:rsidP="007A5355">
            <w:pPr>
              <w:spacing w:before="20"/>
              <w:jc w:val="center"/>
              <w:rPr>
                <w:rFonts w:ascii="Calibri" w:hAnsi="Calibri" w:cs="Calibri"/>
                <w:b/>
                <w:bCs/>
                <w:noProof/>
                <w:color w:val="000000"/>
                <w:sz w:val="22"/>
                <w:szCs w:val="22"/>
                <w:lang w:val="es-GT" w:eastAsia="es-GT"/>
              </w:rPr>
            </w:pPr>
          </w:p>
        </w:tc>
        <w:tc>
          <w:tcPr>
            <w:tcW w:w="1147" w:type="dxa"/>
            <w:shd w:val="clear" w:color="auto" w:fill="E7EDF5"/>
            <w:vAlign w:val="center"/>
          </w:tcPr>
          <w:p w:rsidR="00E31B19" w:rsidRPr="001A01AB" w:rsidRDefault="00E31B19" w:rsidP="007A5355">
            <w:pPr>
              <w:spacing w:before="20"/>
              <w:jc w:val="center"/>
              <w:rPr>
                <w:rFonts w:ascii="Calibri" w:hAnsi="Calibri" w:cs="Calibri"/>
                <w:b/>
                <w:bCs/>
                <w:noProof/>
                <w:color w:val="000000"/>
                <w:sz w:val="22"/>
                <w:szCs w:val="22"/>
                <w:lang w:val="es-GT" w:eastAsia="es-GT"/>
              </w:rPr>
            </w:pPr>
          </w:p>
        </w:tc>
      </w:tr>
    </w:tbl>
    <w:p w:rsidR="00E31B19" w:rsidRPr="001A01AB" w:rsidRDefault="00E31B19" w:rsidP="00E31B19">
      <w:pPr>
        <w:rPr>
          <w:rFonts w:ascii="Calibri" w:hAnsi="Calibri" w:cs="Calibri"/>
          <w:lang w:val="es-GT"/>
        </w:rPr>
      </w:pPr>
    </w:p>
    <w:p w:rsidR="00E31B19" w:rsidRPr="001A01AB" w:rsidRDefault="00E31B19" w:rsidP="00E31B19">
      <w:pPr>
        <w:rPr>
          <w:rFonts w:ascii="Calibri" w:hAnsi="Calibri" w:cs="Calibri"/>
          <w:lang w:val="es-GT"/>
        </w:rPr>
      </w:pPr>
    </w:p>
    <w:p w:rsidR="00E31B19" w:rsidRPr="001A01AB" w:rsidRDefault="00E31B19" w:rsidP="004E6953">
      <w:pPr>
        <w:pStyle w:val="Epgrafe"/>
        <w:spacing w:after="120"/>
        <w:ind w:left="288"/>
        <w:jc w:val="right"/>
        <w:rPr>
          <w:rFonts w:ascii="Calibri" w:eastAsia="Calibri" w:hAnsi="Calibri" w:cs="Calibri"/>
          <w:color w:val="365F91"/>
          <w:sz w:val="24"/>
          <w:szCs w:val="24"/>
          <w:lang w:val="es-GT"/>
        </w:rPr>
      </w:pPr>
    </w:p>
    <w:tbl>
      <w:tblPr>
        <w:tblW w:w="1245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AFAFA"/>
        <w:tblCellMar>
          <w:left w:w="70" w:type="dxa"/>
          <w:right w:w="70" w:type="dxa"/>
        </w:tblCellMar>
        <w:tblLook w:val="04A0" w:firstRow="1" w:lastRow="0" w:firstColumn="1" w:lastColumn="0" w:noHBand="0" w:noVBand="1"/>
      </w:tblPr>
      <w:tblGrid>
        <w:gridCol w:w="3414"/>
        <w:gridCol w:w="1393"/>
        <w:gridCol w:w="1946"/>
        <w:gridCol w:w="1616"/>
        <w:gridCol w:w="1363"/>
        <w:gridCol w:w="1362"/>
        <w:gridCol w:w="1361"/>
      </w:tblGrid>
      <w:tr w:rsidR="00E31B19" w:rsidRPr="000364C9" w:rsidTr="001A01AB">
        <w:trPr>
          <w:trHeight w:val="296"/>
          <w:tblHeader/>
          <w:jc w:val="center"/>
        </w:trPr>
        <w:tc>
          <w:tcPr>
            <w:tcW w:w="3425" w:type="dxa"/>
            <w:vMerge w:val="restart"/>
            <w:shd w:val="clear" w:color="auto" w:fill="DBE5F1"/>
            <w:vAlign w:val="center"/>
            <w:hideMark/>
          </w:tcPr>
          <w:p w:rsidR="00E31B19" w:rsidRPr="001A01AB" w:rsidRDefault="00E31B19" w:rsidP="007A5355">
            <w:pPr>
              <w:spacing w:before="20"/>
              <w:rPr>
                <w:rFonts w:ascii="Calibri" w:hAnsi="Calibri" w:cs="Calibri"/>
                <w:b/>
                <w:color w:val="000000"/>
                <w:sz w:val="22"/>
                <w:szCs w:val="22"/>
                <w:lang w:val="es-GT" w:eastAsia="es-GT"/>
              </w:rPr>
            </w:pPr>
          </w:p>
        </w:tc>
        <w:tc>
          <w:tcPr>
            <w:tcW w:w="4935" w:type="dxa"/>
            <w:gridSpan w:val="3"/>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FCD-2: Productividad rural campesina</w:t>
            </w:r>
          </w:p>
        </w:tc>
        <w:tc>
          <w:tcPr>
            <w:tcW w:w="4095" w:type="dxa"/>
            <w:gridSpan w:val="3"/>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val="es-GT" w:eastAsia="es-GT"/>
              </w:rPr>
            </w:pPr>
            <w:r w:rsidRPr="001A01AB">
              <w:rPr>
                <w:rFonts w:ascii="Calibri" w:hAnsi="Calibri" w:cs="Calibri"/>
                <w:b/>
                <w:color w:val="000000"/>
                <w:sz w:val="22"/>
                <w:szCs w:val="22"/>
                <w:lang w:val="es-GT" w:eastAsia="es-GT"/>
              </w:rPr>
              <w:t>FCD-3: Seguridad alimentaria y nutricional</w:t>
            </w:r>
          </w:p>
        </w:tc>
      </w:tr>
      <w:tr w:rsidR="00E31B19" w:rsidRPr="00C870E7" w:rsidTr="001A01AB">
        <w:trPr>
          <w:trHeight w:val="20"/>
          <w:tblHeader/>
          <w:jc w:val="center"/>
        </w:trPr>
        <w:tc>
          <w:tcPr>
            <w:tcW w:w="3425" w:type="dxa"/>
            <w:vMerge/>
            <w:shd w:val="clear" w:color="auto" w:fill="DBE5F1"/>
            <w:vAlign w:val="center"/>
            <w:hideMark/>
          </w:tcPr>
          <w:p w:rsidR="00E31B19" w:rsidRPr="001A01AB" w:rsidRDefault="00E31B19" w:rsidP="007A5355">
            <w:pPr>
              <w:spacing w:before="20"/>
              <w:rPr>
                <w:rFonts w:ascii="Calibri" w:hAnsi="Calibri" w:cs="Calibri"/>
                <w:b/>
                <w:color w:val="000000"/>
                <w:sz w:val="22"/>
                <w:szCs w:val="22"/>
                <w:lang w:val="es-GT" w:eastAsia="es-GT"/>
              </w:rPr>
            </w:pPr>
          </w:p>
        </w:tc>
        <w:tc>
          <w:tcPr>
            <w:tcW w:w="3315" w:type="dxa"/>
            <w:gridSpan w:val="2"/>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C-2.1: Infraestructura productiva</w:t>
            </w:r>
          </w:p>
        </w:tc>
        <w:tc>
          <w:tcPr>
            <w:tcW w:w="1620" w:type="dxa"/>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C-2.2: Producti-vidad agrícola</w:t>
            </w:r>
          </w:p>
        </w:tc>
        <w:tc>
          <w:tcPr>
            <w:tcW w:w="2730" w:type="dxa"/>
            <w:gridSpan w:val="2"/>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C-3.1: Desnutrición</w:t>
            </w:r>
          </w:p>
        </w:tc>
        <w:tc>
          <w:tcPr>
            <w:tcW w:w="1365" w:type="dxa"/>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C-3.2: Pobreza</w:t>
            </w:r>
          </w:p>
        </w:tc>
      </w:tr>
      <w:tr w:rsidR="00E31B19" w:rsidRPr="00C870E7" w:rsidTr="001A01AB">
        <w:trPr>
          <w:trHeight w:val="20"/>
          <w:tblHeader/>
          <w:jc w:val="center"/>
        </w:trPr>
        <w:tc>
          <w:tcPr>
            <w:tcW w:w="3425" w:type="dxa"/>
            <w:vMerge/>
            <w:shd w:val="clear" w:color="auto" w:fill="DBE5F1"/>
            <w:vAlign w:val="center"/>
            <w:hideMark/>
          </w:tcPr>
          <w:p w:rsidR="00E31B19" w:rsidRPr="001A01AB" w:rsidRDefault="00E31B19" w:rsidP="007A5355">
            <w:pPr>
              <w:spacing w:before="20"/>
              <w:rPr>
                <w:rFonts w:ascii="Calibri" w:hAnsi="Calibri" w:cs="Calibri"/>
                <w:b/>
                <w:color w:val="000000"/>
                <w:sz w:val="22"/>
                <w:szCs w:val="22"/>
                <w:lang w:eastAsia="es-GT"/>
              </w:rPr>
            </w:pPr>
          </w:p>
        </w:tc>
        <w:tc>
          <w:tcPr>
            <w:tcW w:w="1365" w:type="dxa"/>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eastAsia="es-GT"/>
              </w:rPr>
            </w:pPr>
            <w:r w:rsidRPr="001A01AB">
              <w:rPr>
                <w:rFonts w:ascii="Calibri" w:hAnsi="Calibri" w:cs="Calibri"/>
                <w:b/>
                <w:color w:val="000000"/>
                <w:sz w:val="20"/>
                <w:szCs w:val="22"/>
                <w:lang w:eastAsia="es-GT"/>
              </w:rPr>
              <w:t>I-2.1.1: Infraestructura de riego</w:t>
            </w:r>
          </w:p>
        </w:tc>
        <w:tc>
          <w:tcPr>
            <w:tcW w:w="1950" w:type="dxa"/>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I-2.1.2: Infraestructura vial – relación caminos rurales y ocupación agrícola</w:t>
            </w:r>
          </w:p>
        </w:tc>
        <w:tc>
          <w:tcPr>
            <w:tcW w:w="1620" w:type="dxa"/>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I-2.2.1: Producción de granos básicos</w:t>
            </w:r>
          </w:p>
        </w:tc>
        <w:tc>
          <w:tcPr>
            <w:tcW w:w="1365" w:type="dxa"/>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I-3.1.1: Prevalencia del retardo en peso y talla</w:t>
            </w:r>
          </w:p>
        </w:tc>
        <w:tc>
          <w:tcPr>
            <w:tcW w:w="1365" w:type="dxa"/>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I-3.1.2: Reservas familiares de granos básicos</w:t>
            </w:r>
          </w:p>
        </w:tc>
        <w:tc>
          <w:tcPr>
            <w:tcW w:w="1365" w:type="dxa"/>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eastAsia="es-GT"/>
              </w:rPr>
            </w:pPr>
            <w:r w:rsidRPr="001A01AB">
              <w:rPr>
                <w:rFonts w:ascii="Calibri" w:hAnsi="Calibri" w:cs="Calibri"/>
                <w:b/>
                <w:color w:val="000000"/>
                <w:sz w:val="20"/>
                <w:szCs w:val="22"/>
                <w:lang w:eastAsia="es-GT"/>
              </w:rPr>
              <w:t>I-3.1.3: Pobreza</w: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OE.1. Bosques</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95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62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Fomento del manejo forestal sostenible</w:t>
            </w:r>
            <w:r w:rsidR="0010673E">
              <w:rPr>
                <w:rFonts w:ascii="Calibri" w:hAnsi="Calibri" w:cs="Calibri"/>
                <w:color w:val="000000"/>
                <w:sz w:val="22"/>
                <w:szCs w:val="22"/>
                <w:lang w:val="es-GT" w:eastAsia="es-GT"/>
              </w:rPr>
              <w:t>.</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95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62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6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" adj="11340" fillcolor="#8eb4e3" strokecolor="#4f81bd">
                      <w10:anchorlock/>
                    </v:shape>
                  </w:pict>
                </mc:Fallback>
              </mc:AlternateConten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 la silvicultura de plantaciones</w:t>
            </w:r>
            <w:r w:rsidR="0010673E">
              <w:rPr>
                <w:rFonts w:ascii="Calibri" w:hAnsi="Calibri" w:cs="Calibri"/>
                <w:color w:val="000000"/>
                <w:sz w:val="22"/>
                <w:szCs w:val="22"/>
                <w:lang w:val="es-GT" w:eastAsia="es-GT"/>
              </w:rPr>
              <w:t>.</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95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62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18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6&#10;R9zS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 la eficiencia dendroenergética</w:t>
            </w:r>
            <w:r w:rsidR="0010673E">
              <w:rPr>
                <w:rFonts w:ascii="Calibri" w:hAnsi="Calibri" w:cs="Calibri"/>
                <w:color w:val="000000"/>
                <w:sz w:val="22"/>
                <w:szCs w:val="22"/>
                <w:lang w:val="es-GT" w:eastAsia="es-GT"/>
              </w:rPr>
              <w:t>.</w:t>
            </w:r>
            <w:r w:rsidRPr="001A01AB">
              <w:rPr>
                <w:rFonts w:ascii="Calibri" w:hAnsi="Calibri" w:cs="Calibri"/>
                <w:color w:val="000000"/>
                <w:sz w:val="22"/>
                <w:szCs w:val="22"/>
                <w:lang w:val="es-GT" w:eastAsia="es-GT"/>
              </w:rPr>
              <w:t xml:space="preserve"> </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95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62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19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BID1Tl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r>
      <w:tr w:rsidR="00E31B19" w:rsidRPr="00C870E7" w:rsidTr="001A01AB">
        <w:trPr>
          <w:trHeight w:val="20"/>
          <w:jc w:val="center"/>
        </w:trPr>
        <w:tc>
          <w:tcPr>
            <w:tcW w:w="3425" w:type="dxa"/>
            <w:shd w:val="clear" w:color="auto" w:fill="FAFAFA"/>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OE.2. Recursos hídricos</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950"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620"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425"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Restauración de las tierras de importancia para captación y regulación hídrica</w:t>
            </w:r>
            <w:r w:rsidR="0010673E">
              <w:rPr>
                <w:rFonts w:ascii="Calibri" w:hAnsi="Calibri" w:cs="Calibri"/>
                <w:color w:val="000000"/>
                <w:sz w:val="22"/>
                <w:szCs w:val="22"/>
                <w:lang w:val="es-GT" w:eastAsia="es-GT"/>
              </w:rPr>
              <w:t>.</w:t>
            </w:r>
          </w:p>
        </w:tc>
        <w:tc>
          <w:tcPr>
            <w:tcW w:w="136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21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l&#10;BABL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95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62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A01AB">
        <w:trPr>
          <w:trHeight w:val="20"/>
          <w:jc w:val="center"/>
        </w:trPr>
        <w:tc>
          <w:tcPr>
            <w:tcW w:w="3425"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Construcción de plantas para el tratamiento de aguas residuales locales</w:t>
            </w:r>
            <w:r w:rsidR="0010673E">
              <w:rPr>
                <w:rFonts w:ascii="Calibri" w:hAnsi="Calibri" w:cs="Calibri"/>
                <w:color w:val="000000"/>
                <w:sz w:val="22"/>
                <w:szCs w:val="22"/>
                <w:lang w:val="es-GT" w:eastAsia="es-GT"/>
              </w:rPr>
              <w:t>.</w:t>
            </w:r>
          </w:p>
        </w:tc>
        <w:tc>
          <w:tcPr>
            <w:tcW w:w="136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29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sSAGAIAAEM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b&#10;XsSA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95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62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90500"/>
                      <wp:effectExtent l="33338" t="4762" r="0" b="23813"/>
                      <wp:docPr id="13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905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" adj="10773" fillcolor="#8eb4e3" strokecolor="#4f81bd">
                      <w10:anchorlock/>
                    </v:shape>
                  </w:pict>
                </mc:Fallback>
              </mc:AlternateConten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OE.3. Suelo</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95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62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del uso de sistemas agroforestales</w:t>
            </w:r>
            <w:r w:rsidR="0010673E">
              <w:rPr>
                <w:rFonts w:ascii="Calibri" w:hAnsi="Calibri" w:cs="Calibri"/>
                <w:color w:val="000000"/>
                <w:sz w:val="22"/>
                <w:szCs w:val="22"/>
                <w:lang w:val="es-GT" w:eastAsia="es-GT"/>
              </w:rPr>
              <w:t>.</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95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62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23812" t="0" r="0" b="23812"/>
                      <wp:docPr id="29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" adj="11340" fillcolor="#8eb4e3" strokecolor="#4f81bd">
                      <w10:anchorlock/>
                    </v:shape>
                  </w:pict>
                </mc:Fallback>
              </mc:AlternateConten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29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O&#10;8VDV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23812" t="0" r="0" b="23812"/>
                      <wp:docPr id="13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" adj="11340" fillcolor="#8eb4e3" strokecolor="#4f81bd">
                      <w10:anchorlock/>
                    </v:shape>
                  </w:pict>
                </mc:Fallback>
              </mc:AlternateConten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 la conservación de suelos agrícolas</w:t>
            </w:r>
            <w:r w:rsidR="0010673E">
              <w:rPr>
                <w:rFonts w:ascii="Calibri" w:hAnsi="Calibri" w:cs="Calibri"/>
                <w:color w:val="000000"/>
                <w:sz w:val="22"/>
                <w:szCs w:val="22"/>
                <w:lang w:val="es-GT" w:eastAsia="es-GT"/>
              </w:rPr>
              <w:t>.</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95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62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23812" t="0" r="0" b="23812"/>
                      <wp:docPr id="29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" adj="11340" fillcolor="#8eb4e3" strokecolor="#4f81bd">
                      <w10:anchorlock/>
                    </v:shape>
                  </w:pict>
                </mc:Fallback>
              </mc:AlternateConten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A01AB">
        <w:trPr>
          <w:trHeight w:val="20"/>
          <w:jc w:val="center"/>
        </w:trPr>
        <w:tc>
          <w:tcPr>
            <w:tcW w:w="3425" w:type="dxa"/>
            <w:shd w:val="clear" w:color="auto" w:fill="FAFAFA"/>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OE.4. Infraestructura vial</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950"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620"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425"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Introducción y rehabilitación de caminos rurales</w:t>
            </w:r>
            <w:r w:rsidR="0010673E">
              <w:rPr>
                <w:rFonts w:ascii="Calibri" w:hAnsi="Calibri" w:cs="Calibri"/>
                <w:color w:val="000000"/>
                <w:sz w:val="22"/>
                <w:szCs w:val="22"/>
                <w:lang w:val="es-GT" w:eastAsia="es-GT"/>
              </w:rPr>
              <w:t>.</w:t>
            </w:r>
          </w:p>
        </w:tc>
        <w:tc>
          <w:tcPr>
            <w:tcW w:w="136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71450"/>
                      <wp:effectExtent l="23813" t="0" r="0" b="33338"/>
                      <wp:docPr id="29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" adj="11340" fillcolor="#8eb4e3" strokecolor="#4f81bd">
                      <w10:anchorlock/>
                    </v:shape>
                  </w:pict>
                </mc:Fallback>
              </mc:AlternateContent>
            </w:r>
          </w:p>
        </w:tc>
        <w:tc>
          <w:tcPr>
            <w:tcW w:w="1950"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23825" cy="228600"/>
                      <wp:effectExtent l="19050" t="19050" r="47625" b="19050"/>
                      <wp:docPr id="29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2286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9.7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" adj="6143" fillcolor="#8eb4e3" strokecolor="#4f81bd">
                      <w10:anchorlock/>
                    </v:shape>
                  </w:pict>
                </mc:Fallback>
              </mc:AlternateContent>
            </w:r>
          </w:p>
        </w:tc>
        <w:tc>
          <w:tcPr>
            <w:tcW w:w="1620"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33350" cy="228600"/>
                      <wp:effectExtent l="19050" t="19050" r="38100" b="19050"/>
                      <wp:docPr id="29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286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" adj="6615" fillcolor="#8eb4e3" strokecolor="#4f81bd">
                      <w10:anchorlock/>
                    </v:shape>
                  </w:pict>
                </mc:Fallback>
              </mc:AlternateConten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71450"/>
                      <wp:effectExtent l="23813" t="0" r="0" b="33338"/>
                      <wp:docPr id="29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" adj="11340" fillcolor="#8eb4e3" strokecolor="#4f81bd">
                      <w10:anchorlock/>
                    </v:shape>
                  </w:pict>
                </mc:Fallback>
              </mc:AlternateConten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OE.5. Productividad agrícola</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95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62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lastRenderedPageBreak/>
              <w:t>Construcción de sistemas de riego rural</w:t>
            </w:r>
            <w:r w:rsidR="0010673E">
              <w:rPr>
                <w:rFonts w:ascii="Calibri" w:hAnsi="Calibri" w:cs="Calibri"/>
                <w:color w:val="000000"/>
                <w:sz w:val="22"/>
                <w:szCs w:val="22"/>
                <w:lang w:val="es-GT" w:eastAsia="es-GT"/>
              </w:rPr>
              <w:t>.</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23825" cy="228600"/>
                      <wp:effectExtent l="19050" t="19050" r="47625" b="19050"/>
                      <wp:docPr id="29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2286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9.7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" adj="6143" fillcolor="#8eb4e3" strokecolor="#4f81bd">
                      <w10:anchorlock/>
                    </v:shape>
                  </w:pict>
                </mc:Fallback>
              </mc:AlternateContent>
            </w:r>
          </w:p>
        </w:tc>
        <w:tc>
          <w:tcPr>
            <w:tcW w:w="195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19075" cy="133350"/>
                      <wp:effectExtent l="0" t="33337" r="33337" b="52388"/>
                      <wp:docPr id="28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9075"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7.25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" adj="11340" fillcolor="#8eb4e3" strokecolor="#4f81bd">
                      <w10:anchorlock/>
                    </v:shape>
                  </w:pict>
                </mc:Fallback>
              </mc:AlternateContent>
            </w:r>
          </w:p>
        </w:tc>
        <w:tc>
          <w:tcPr>
            <w:tcW w:w="162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33350" cy="228600"/>
                      <wp:effectExtent l="19050" t="19050" r="38100" b="19050"/>
                      <wp:docPr id="28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286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" adj="6615" fillcolor="#8eb4e3" strokecolor="#4f81bd">
                      <w10:anchorlock/>
                    </v:shape>
                  </w:pict>
                </mc:Fallback>
              </mc:AlternateConten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28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S32uL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28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Az&#10;jiiL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Encadenamientos productivos y servicios de apoyo a la comercialización</w:t>
            </w:r>
            <w:r w:rsidR="0010673E">
              <w:rPr>
                <w:rFonts w:ascii="Calibri" w:hAnsi="Calibri" w:cs="Calibri"/>
                <w:color w:val="000000"/>
                <w:sz w:val="22"/>
                <w:szCs w:val="22"/>
                <w:lang w:val="es-GT" w:eastAsia="es-GT"/>
              </w:rPr>
              <w:t>.</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7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5tPG9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95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7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niBAU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62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7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" adj="11340" fillcolor="#8eb4e3" strokecolor="#4f81bd">
                      <w10:anchorlock/>
                    </v:shape>
                  </w:pict>
                </mc:Fallback>
              </mc:AlternateConten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228600" cy="133350"/>
                      <wp:effectExtent l="0" t="47625" r="47625" b="66675"/>
                      <wp:docPr id="37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1333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8pt;height:1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" adj="11340" fillcolor="#8eb4e3" strokecolor="#4f81bd">
                      <w10:anchorlock/>
                    </v:shape>
                  </w:pict>
                </mc:Fallback>
              </mc:AlternateConten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19050" r="0" b="0"/>
                      <wp:docPr id="37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JsaGAIAAEMEAAAOAAAAZHJzL2Uyb0RvYy54bWysU9tuGjEQfa/Uf7D8XvZC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" adj="11340" fillcolor="#8eb4e3" strokecolor="#4f81bd">
                      <w10:anchorlock/>
                    </v:shape>
                  </w:pict>
                </mc:Fallback>
              </mc:AlternateConten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90500" cy="180975"/>
                      <wp:effectExtent l="23812" t="0" r="0" b="23812"/>
                      <wp:docPr id="37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" adj="11340" fillcolor="#8eb4e3" strokecolor="#4f81bd">
                      <w10:anchorlock/>
                    </v:shape>
                  </w:pict>
                </mc:Fallback>
              </mc:AlternateConten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Investigación y desarrollo tecnológico agrícola</w:t>
            </w:r>
            <w:r w:rsidR="0010673E">
              <w:rPr>
                <w:rFonts w:ascii="Calibri" w:hAnsi="Calibri" w:cs="Calibri"/>
                <w:color w:val="000000"/>
                <w:sz w:val="22"/>
                <w:szCs w:val="22"/>
                <w:lang w:val="es-GT" w:eastAsia="es-GT"/>
              </w:rPr>
              <w:t>.</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71450"/>
                      <wp:effectExtent l="23813" t="0" r="0" b="33338"/>
                      <wp:docPr id="31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" adj="11340" fillcolor="#8eb4e3" strokecolor="#4f81bd">
                      <w10:anchorlock/>
                    </v:shape>
                  </w:pict>
                </mc:Fallback>
              </mc:AlternateContent>
            </w:r>
          </w:p>
        </w:tc>
        <w:tc>
          <w:tcPr>
            <w:tcW w:w="195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62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71450"/>
                      <wp:effectExtent l="23813" t="0" r="0" b="33338"/>
                      <wp:docPr id="31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" adj="11340" fillcolor="#8eb4e3" strokecolor="#4f81bd">
                      <w10:anchorlock/>
                    </v:shape>
                  </w:pict>
                </mc:Fallback>
              </mc:AlternateConten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71450"/>
                      <wp:effectExtent l="23813" t="0" r="0" b="33338"/>
                      <wp:docPr id="31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" adj="11340" fillcolor="#8eb4e3" strokecolor="#4f81bd">
                      <w10:anchorlock/>
                    </v:shape>
                  </w:pict>
                </mc:Fallback>
              </mc:AlternateConten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71450"/>
                      <wp:effectExtent l="23813" t="0" r="0" b="33338"/>
                      <wp:docPr id="31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" adj="11340" fillcolor="#8eb4e3" strokecolor="#4f81bd">
                      <w10:anchorlock/>
                    </v:shape>
                  </w:pict>
                </mc:Fallback>
              </mc:AlternateConten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Asistencia técnica y extensión agrícola</w:t>
            </w:r>
            <w:r w:rsidR="0010673E">
              <w:rPr>
                <w:rFonts w:ascii="Calibri" w:hAnsi="Calibri" w:cs="Calibri"/>
                <w:color w:val="000000"/>
                <w:sz w:val="22"/>
                <w:szCs w:val="22"/>
                <w:lang w:val="es-GT" w:eastAsia="es-GT"/>
              </w:rPr>
              <w:t>.</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2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" adj="11340" fillcolor="#8eb4e3" strokecolor="#4f81bd">
                      <w10:anchorlock/>
                    </v:shape>
                  </w:pict>
                </mc:Fallback>
              </mc:AlternateContent>
            </w:r>
          </w:p>
        </w:tc>
        <w:tc>
          <w:tcPr>
            <w:tcW w:w="195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62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2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tQ7GQIAAEMEAAAOAAAAZHJzL2Uyb0RvYy54bWysU9tuGjEQfa/Uf7D8XvZC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Z0bUO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2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qb8GQIAAEMEAAAOAAAAZHJzL2Uyb0RvYy54bWysU9tuGjEQfa/Uf7D8XvYS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jZKm/B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2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" adj="11340" fillcolor="#8eb4e3" strokecolor="#4f81bd">
                      <w10:anchorlock/>
                    </v:shape>
                  </w:pict>
                </mc:Fallback>
              </mc:AlternateContent>
            </w:r>
          </w:p>
        </w:tc>
      </w:tr>
      <w:tr w:rsidR="00E31B19" w:rsidRPr="000364C9" w:rsidTr="001A01AB">
        <w:trPr>
          <w:trHeight w:val="20"/>
          <w:jc w:val="center"/>
        </w:trPr>
        <w:tc>
          <w:tcPr>
            <w:tcW w:w="3425" w:type="dxa"/>
            <w:shd w:val="clear" w:color="auto" w:fill="FAFAFA"/>
            <w:vAlign w:val="center"/>
            <w:hideMark/>
          </w:tcPr>
          <w:p w:rsidR="00E31B19" w:rsidRPr="001A01AB" w:rsidRDefault="00E31B19" w:rsidP="007A5355">
            <w:pPr>
              <w:spacing w:before="40" w:after="20"/>
              <w:rPr>
                <w:rFonts w:ascii="Calibri" w:hAnsi="Calibri" w:cs="Calibri"/>
                <w:b/>
                <w:color w:val="365F91"/>
                <w:sz w:val="22"/>
                <w:szCs w:val="22"/>
                <w:lang w:val="es-GT" w:eastAsia="es-GT"/>
              </w:rPr>
            </w:pPr>
            <w:r w:rsidRPr="001A01AB">
              <w:rPr>
                <w:rFonts w:ascii="Calibri" w:hAnsi="Calibri" w:cs="Calibri"/>
                <w:b/>
                <w:color w:val="365F91"/>
                <w:sz w:val="22"/>
                <w:szCs w:val="22"/>
                <w:lang w:val="es-GT" w:eastAsia="es-GT"/>
              </w:rPr>
              <w:t>OE.6. Vulnerabilidad y cambio climático</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950"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620"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365"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r>
      <w:tr w:rsidR="00E31B19" w:rsidRPr="00C870E7" w:rsidTr="001A01AB">
        <w:trPr>
          <w:trHeight w:val="20"/>
          <w:jc w:val="center"/>
        </w:trPr>
        <w:tc>
          <w:tcPr>
            <w:tcW w:w="3425"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Planes de gestión de riesgo local</w:t>
            </w:r>
            <w:r w:rsidR="0010673E">
              <w:rPr>
                <w:rFonts w:ascii="Calibri" w:hAnsi="Calibri" w:cs="Calibri"/>
                <w:color w:val="000000"/>
                <w:sz w:val="22"/>
                <w:szCs w:val="22"/>
                <w:lang w:val="es-GT" w:eastAsia="es-GT"/>
              </w:rPr>
              <w:t>.</w:t>
            </w:r>
          </w:p>
        </w:tc>
        <w:tc>
          <w:tcPr>
            <w:tcW w:w="136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3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" adj="11340" fillcolor="#8eb4e3" strokecolor="#4f81bd">
                      <w10:anchorlock/>
                    </v:shape>
                  </w:pict>
                </mc:Fallback>
              </mc:AlternateContent>
            </w:r>
          </w:p>
        </w:tc>
        <w:tc>
          <w:tcPr>
            <w:tcW w:w="195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62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3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axlGQIAAEMEAAAOAAAAZHJzL2Uyb0RvYy54bWysU9tuGjEQfa/Uf7D8XvZC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mjmsZ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365"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3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w&#10;7d6i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r>
      <w:tr w:rsidR="00E31B19" w:rsidRPr="00C870E7" w:rsidTr="001A01AB">
        <w:trPr>
          <w:trHeight w:val="20"/>
          <w:jc w:val="center"/>
        </w:trPr>
        <w:tc>
          <w:tcPr>
            <w:tcW w:w="3425"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Generación de información climática local</w:t>
            </w:r>
            <w:r w:rsidR="0010673E">
              <w:rPr>
                <w:rFonts w:ascii="Calibri" w:hAnsi="Calibri" w:cs="Calibri"/>
                <w:color w:val="000000"/>
                <w:sz w:val="22"/>
                <w:szCs w:val="22"/>
                <w:lang w:val="es-GT" w:eastAsia="es-GT"/>
              </w:rPr>
              <w:t>.</w: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95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620"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3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bDHGQIAAEMEAAAOAAAAZHJzL2Uyb0RvYy54bWysU9tuGjEQfa/Uf7D8XvZC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LFGwx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OE.7. Desarrollo institucional</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95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62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A01AB">
        <w:trPr>
          <w:trHeight w:val="20"/>
          <w:jc w:val="center"/>
        </w:trPr>
        <w:tc>
          <w:tcPr>
            <w:tcW w:w="3425" w:type="dxa"/>
            <w:shd w:val="clear" w:color="auto" w:fill="E7EDF5"/>
            <w:vAlign w:val="center"/>
            <w:hideMark/>
          </w:tcPr>
          <w:p w:rsidR="00E31B19" w:rsidRPr="001A01AB" w:rsidRDefault="00E31B19" w:rsidP="007C3972">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 la asocia</w:t>
            </w:r>
            <w:r w:rsidR="007C3972" w:rsidRPr="001A01AB">
              <w:rPr>
                <w:rFonts w:ascii="Calibri" w:hAnsi="Calibri" w:cs="Calibri"/>
                <w:color w:val="000000"/>
                <w:sz w:val="22"/>
                <w:szCs w:val="22"/>
                <w:lang w:val="es-GT" w:eastAsia="es-GT"/>
              </w:rPr>
              <w:t>ción</w:t>
            </w:r>
            <w:r w:rsidRPr="001A01AB">
              <w:rPr>
                <w:rFonts w:ascii="Calibri" w:hAnsi="Calibri" w:cs="Calibri"/>
                <w:color w:val="000000"/>
                <w:sz w:val="22"/>
                <w:szCs w:val="22"/>
                <w:lang w:val="es-GT" w:eastAsia="es-GT"/>
              </w:rPr>
              <w:t xml:space="preserve"> de los pequeños y medianos productores rurales</w:t>
            </w:r>
            <w:r w:rsidR="0010673E">
              <w:rPr>
                <w:rFonts w:ascii="Calibri" w:hAnsi="Calibri" w:cs="Calibri"/>
                <w:color w:val="000000"/>
                <w:sz w:val="22"/>
                <w:szCs w:val="22"/>
                <w:lang w:val="es-GT" w:eastAsia="es-GT"/>
              </w:rPr>
              <w:t>.</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5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68GQIAAEMEAAAOAAAAZHJzL2Uyb0RvYy54bWysU9tuGjEQfa/Uf7D8XvYS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P+u+vB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95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5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Dga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Rxg4Gh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62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5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CO&#10;C8Iq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365"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extent cx="180975" cy="180975"/>
                      <wp:effectExtent l="19050" t="0" r="0" b="28575"/>
                      <wp:docPr id="35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SM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9vhEjB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r>
      <w:tr w:rsidR="00E31B19" w:rsidRPr="000364C9" w:rsidTr="001A01AB">
        <w:trPr>
          <w:trHeight w:val="20"/>
          <w:jc w:val="center"/>
        </w:trPr>
        <w:tc>
          <w:tcPr>
            <w:tcW w:w="3425" w:type="dxa"/>
            <w:shd w:val="clear" w:color="auto" w:fill="E7EDF5"/>
            <w:vAlign w:val="center"/>
          </w:tcPr>
          <w:p w:rsidR="00E31B19" w:rsidRPr="001A01AB" w:rsidRDefault="00E31B19" w:rsidP="0010673E">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Impulso al di</w:t>
            </w:r>
            <w:r w:rsidR="0010673E">
              <w:rPr>
                <w:rFonts w:ascii="Calibri" w:hAnsi="Calibri" w:cs="Calibri"/>
                <w:color w:val="000000"/>
                <w:sz w:val="22"/>
                <w:szCs w:val="22"/>
                <w:lang w:val="es-GT" w:eastAsia="es-GT"/>
              </w:rPr>
              <w:t>á</w:t>
            </w:r>
            <w:r w:rsidRPr="001A01AB">
              <w:rPr>
                <w:rFonts w:ascii="Calibri" w:hAnsi="Calibri" w:cs="Calibri"/>
                <w:color w:val="000000"/>
                <w:sz w:val="22"/>
                <w:szCs w:val="22"/>
                <w:lang w:val="es-GT" w:eastAsia="es-GT"/>
              </w:rPr>
              <w:t>logo sectorial y de políticas de los recursos hídricos</w:t>
            </w:r>
            <w:r w:rsidR="0010673E">
              <w:rPr>
                <w:rFonts w:ascii="Calibri" w:hAnsi="Calibri" w:cs="Calibri"/>
                <w:color w:val="000000"/>
                <w:sz w:val="22"/>
                <w:szCs w:val="22"/>
                <w:lang w:val="es-GT" w:eastAsia="es-GT"/>
              </w:rPr>
              <w:t>.</w:t>
            </w:r>
          </w:p>
        </w:tc>
        <w:tc>
          <w:tcPr>
            <w:tcW w:w="1365" w:type="dxa"/>
            <w:shd w:val="clear" w:color="auto" w:fill="E7EDF5"/>
            <w:vAlign w:val="center"/>
          </w:tcPr>
          <w:p w:rsidR="00E31B19" w:rsidRPr="001A01AB" w:rsidRDefault="00E31B19" w:rsidP="007A5355">
            <w:pPr>
              <w:spacing w:before="20"/>
              <w:jc w:val="center"/>
              <w:rPr>
                <w:rFonts w:ascii="Calibri" w:hAnsi="Calibri" w:cs="Calibri"/>
                <w:b/>
                <w:bCs/>
                <w:noProof/>
                <w:color w:val="000000"/>
                <w:sz w:val="22"/>
                <w:szCs w:val="22"/>
                <w:lang w:val="es-GT" w:eastAsia="es-GT"/>
              </w:rPr>
            </w:pPr>
          </w:p>
        </w:tc>
        <w:tc>
          <w:tcPr>
            <w:tcW w:w="1950" w:type="dxa"/>
            <w:shd w:val="clear" w:color="auto" w:fill="E7EDF5"/>
            <w:vAlign w:val="center"/>
          </w:tcPr>
          <w:p w:rsidR="00E31B19" w:rsidRPr="001A01AB" w:rsidRDefault="00E31B19" w:rsidP="007A5355">
            <w:pPr>
              <w:spacing w:before="20"/>
              <w:jc w:val="center"/>
              <w:rPr>
                <w:rFonts w:ascii="Calibri" w:hAnsi="Calibri" w:cs="Calibri"/>
                <w:b/>
                <w:bCs/>
                <w:noProof/>
                <w:color w:val="000000"/>
                <w:sz w:val="22"/>
                <w:szCs w:val="22"/>
                <w:lang w:val="es-GT" w:eastAsia="es-GT"/>
              </w:rPr>
            </w:pPr>
          </w:p>
        </w:tc>
        <w:tc>
          <w:tcPr>
            <w:tcW w:w="1620" w:type="dxa"/>
            <w:shd w:val="clear" w:color="auto" w:fill="E7EDF5"/>
            <w:vAlign w:val="center"/>
          </w:tcPr>
          <w:p w:rsidR="00E31B19" w:rsidRPr="001A01AB" w:rsidRDefault="00E31B19" w:rsidP="007A5355">
            <w:pPr>
              <w:spacing w:before="20"/>
              <w:jc w:val="center"/>
              <w:rPr>
                <w:rFonts w:ascii="Calibri" w:hAnsi="Calibri" w:cs="Calibri"/>
                <w:b/>
                <w:bCs/>
                <w:color w:val="000000"/>
                <w:sz w:val="22"/>
                <w:szCs w:val="22"/>
                <w:lang w:val="es-GT" w:eastAsia="es-GT"/>
              </w:rPr>
            </w:pPr>
          </w:p>
        </w:tc>
        <w:tc>
          <w:tcPr>
            <w:tcW w:w="1365" w:type="dxa"/>
            <w:shd w:val="clear" w:color="auto" w:fill="E7EDF5"/>
            <w:vAlign w:val="center"/>
          </w:tcPr>
          <w:p w:rsidR="00E31B19" w:rsidRPr="001A01AB" w:rsidRDefault="00E31B19" w:rsidP="007A5355">
            <w:pPr>
              <w:spacing w:before="20"/>
              <w:jc w:val="center"/>
              <w:rPr>
                <w:rFonts w:ascii="Calibri" w:hAnsi="Calibri" w:cs="Calibri"/>
                <w:b/>
                <w:bCs/>
                <w:color w:val="000000"/>
                <w:sz w:val="22"/>
                <w:szCs w:val="22"/>
                <w:lang w:val="es-GT" w:eastAsia="es-GT"/>
              </w:rPr>
            </w:pPr>
          </w:p>
        </w:tc>
        <w:tc>
          <w:tcPr>
            <w:tcW w:w="1365" w:type="dxa"/>
            <w:shd w:val="clear" w:color="auto" w:fill="E7EDF5"/>
            <w:vAlign w:val="center"/>
          </w:tcPr>
          <w:p w:rsidR="00E31B19" w:rsidRPr="001A01AB" w:rsidRDefault="00E31B19" w:rsidP="007A5355">
            <w:pPr>
              <w:spacing w:before="20"/>
              <w:jc w:val="center"/>
              <w:rPr>
                <w:rFonts w:ascii="Calibri" w:hAnsi="Calibri" w:cs="Calibri"/>
                <w:b/>
                <w:bCs/>
                <w:noProof/>
                <w:color w:val="000000"/>
                <w:sz w:val="22"/>
                <w:szCs w:val="22"/>
                <w:lang w:val="es-GT" w:eastAsia="es-GT"/>
              </w:rPr>
            </w:pPr>
          </w:p>
        </w:tc>
        <w:tc>
          <w:tcPr>
            <w:tcW w:w="1365" w:type="dxa"/>
            <w:shd w:val="clear" w:color="auto" w:fill="E7EDF5"/>
            <w:vAlign w:val="center"/>
          </w:tcPr>
          <w:p w:rsidR="00E31B19" w:rsidRPr="001A01AB" w:rsidRDefault="00E31B19" w:rsidP="007A5355">
            <w:pPr>
              <w:spacing w:before="20"/>
              <w:jc w:val="center"/>
              <w:rPr>
                <w:rFonts w:ascii="Calibri" w:hAnsi="Calibri" w:cs="Calibri"/>
                <w:b/>
                <w:bCs/>
                <w:noProof/>
                <w:color w:val="000000"/>
                <w:sz w:val="22"/>
                <w:szCs w:val="22"/>
                <w:lang w:val="es-GT" w:eastAsia="es-GT"/>
              </w:rPr>
            </w:pPr>
          </w:p>
        </w:tc>
      </w:tr>
    </w:tbl>
    <w:p w:rsidR="00E31B19" w:rsidRPr="001A01AB" w:rsidRDefault="00E31B19" w:rsidP="00E31B19">
      <w:pPr>
        <w:rPr>
          <w:rFonts w:ascii="Calibri" w:hAnsi="Calibri" w:cs="Calibri"/>
          <w:lang w:val="es-GT"/>
        </w:rPr>
      </w:pPr>
    </w:p>
    <w:p w:rsidR="00E31B19" w:rsidRPr="001A01AB" w:rsidRDefault="00E31B19" w:rsidP="00E31B19">
      <w:pPr>
        <w:rPr>
          <w:rFonts w:ascii="Calibri" w:hAnsi="Calibri" w:cs="Calibri"/>
          <w:lang w:val="es-GT"/>
        </w:rPr>
      </w:pPr>
    </w:p>
    <w:p w:rsidR="00E31B19" w:rsidRPr="001A01AB" w:rsidRDefault="00E31B19" w:rsidP="00E31B19">
      <w:pPr>
        <w:rPr>
          <w:rFonts w:ascii="Calibri" w:hAnsi="Calibri" w:cs="Calibri"/>
          <w:lang w:val="es-GT"/>
        </w:rPr>
      </w:pPr>
    </w:p>
    <w:p w:rsidR="00E31B19" w:rsidRPr="001A01AB" w:rsidRDefault="00E31B19" w:rsidP="00E31B19">
      <w:pPr>
        <w:rPr>
          <w:rFonts w:ascii="Calibri" w:hAnsi="Calibri" w:cs="Calibri"/>
          <w:lang w:val="es-GT"/>
        </w:rPr>
      </w:pPr>
    </w:p>
    <w:p w:rsidR="00E31B19" w:rsidRPr="001A01AB" w:rsidRDefault="00E31B19" w:rsidP="004E6953">
      <w:pPr>
        <w:pStyle w:val="Epgrafe"/>
        <w:spacing w:after="120"/>
        <w:ind w:left="288"/>
        <w:jc w:val="right"/>
        <w:rPr>
          <w:rFonts w:ascii="Calibri" w:eastAsia="Calibri" w:hAnsi="Calibri" w:cs="Calibri"/>
          <w:color w:val="365F91"/>
          <w:sz w:val="24"/>
          <w:szCs w:val="24"/>
          <w:lang w:val="es-GT"/>
        </w:rPr>
      </w:pPr>
    </w:p>
    <w:tbl>
      <w:tblPr>
        <w:tblW w:w="13519"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AFAFA"/>
        <w:tblLayout w:type="fixed"/>
        <w:tblCellMar>
          <w:left w:w="70" w:type="dxa"/>
          <w:right w:w="70" w:type="dxa"/>
        </w:tblCellMar>
        <w:tblLook w:val="04A0" w:firstRow="1" w:lastRow="0" w:firstColumn="1" w:lastColumn="0" w:noHBand="0" w:noVBand="1"/>
      </w:tblPr>
      <w:tblGrid>
        <w:gridCol w:w="3587"/>
        <w:gridCol w:w="1179"/>
        <w:gridCol w:w="1463"/>
        <w:gridCol w:w="1239"/>
        <w:gridCol w:w="1181"/>
        <w:gridCol w:w="1180"/>
        <w:gridCol w:w="1180"/>
        <w:gridCol w:w="1178"/>
        <w:gridCol w:w="1332"/>
      </w:tblGrid>
      <w:tr w:rsidR="00E31B19" w:rsidRPr="00C870E7" w:rsidTr="001A01AB">
        <w:trPr>
          <w:trHeight w:val="20"/>
          <w:tblHeader/>
          <w:jc w:val="center"/>
        </w:trPr>
        <w:tc>
          <w:tcPr>
            <w:tcW w:w="3587" w:type="dxa"/>
            <w:vMerge w:val="restart"/>
            <w:shd w:val="clear" w:color="auto" w:fill="DBE5F1"/>
            <w:vAlign w:val="center"/>
            <w:hideMark/>
          </w:tcPr>
          <w:p w:rsidR="00E31B19" w:rsidRPr="001A01AB" w:rsidRDefault="00E31B19" w:rsidP="007A5355">
            <w:pPr>
              <w:spacing w:before="20"/>
              <w:rPr>
                <w:rFonts w:ascii="Calibri" w:hAnsi="Calibri" w:cs="Calibri"/>
                <w:b/>
                <w:color w:val="000000"/>
                <w:sz w:val="22"/>
                <w:szCs w:val="22"/>
                <w:lang w:val="es-GT" w:eastAsia="es-GT"/>
              </w:rPr>
            </w:pPr>
          </w:p>
        </w:tc>
        <w:tc>
          <w:tcPr>
            <w:tcW w:w="6242" w:type="dxa"/>
            <w:gridSpan w:val="5"/>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val="es-GT" w:eastAsia="es-GT"/>
              </w:rPr>
            </w:pPr>
            <w:r w:rsidRPr="001A01AB">
              <w:rPr>
                <w:rFonts w:ascii="Calibri" w:hAnsi="Calibri" w:cs="Calibri"/>
                <w:b/>
                <w:color w:val="000000"/>
                <w:sz w:val="22"/>
                <w:szCs w:val="22"/>
                <w:lang w:val="es-GT" w:eastAsia="es-GT"/>
              </w:rPr>
              <w:t>FCD-4: Vulnerabilidad sistémica y cambio climático</w:t>
            </w:r>
          </w:p>
        </w:tc>
        <w:tc>
          <w:tcPr>
            <w:tcW w:w="3690" w:type="dxa"/>
            <w:gridSpan w:val="3"/>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FCD-5: Desarrollo institucional</w:t>
            </w:r>
          </w:p>
        </w:tc>
      </w:tr>
      <w:tr w:rsidR="00E31B19" w:rsidRPr="00C870E7" w:rsidTr="0010673E">
        <w:trPr>
          <w:trHeight w:val="20"/>
          <w:tblHeader/>
          <w:jc w:val="center"/>
        </w:trPr>
        <w:tc>
          <w:tcPr>
            <w:tcW w:w="3587" w:type="dxa"/>
            <w:vMerge/>
            <w:shd w:val="clear" w:color="auto" w:fill="DBE5F1"/>
            <w:vAlign w:val="center"/>
            <w:hideMark/>
          </w:tcPr>
          <w:p w:rsidR="00E31B19" w:rsidRPr="001A01AB" w:rsidRDefault="00E31B19" w:rsidP="007A5355">
            <w:pPr>
              <w:spacing w:before="20"/>
              <w:rPr>
                <w:rFonts w:ascii="Calibri" w:hAnsi="Calibri" w:cs="Calibri"/>
                <w:b/>
                <w:color w:val="000000"/>
                <w:sz w:val="22"/>
                <w:szCs w:val="22"/>
                <w:lang w:eastAsia="es-GT"/>
              </w:rPr>
            </w:pPr>
          </w:p>
        </w:tc>
        <w:tc>
          <w:tcPr>
            <w:tcW w:w="2642" w:type="dxa"/>
            <w:gridSpan w:val="2"/>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C-4.1: Vulnerabilidad</w:t>
            </w:r>
          </w:p>
        </w:tc>
        <w:tc>
          <w:tcPr>
            <w:tcW w:w="3600" w:type="dxa"/>
            <w:gridSpan w:val="3"/>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C-4.2: Cambio climático</w:t>
            </w:r>
          </w:p>
        </w:tc>
        <w:tc>
          <w:tcPr>
            <w:tcW w:w="2358" w:type="dxa"/>
            <w:gridSpan w:val="2"/>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C-5.1: Inversiones sectoriales</w:t>
            </w:r>
          </w:p>
        </w:tc>
        <w:tc>
          <w:tcPr>
            <w:tcW w:w="1332" w:type="dxa"/>
            <w:shd w:val="clear" w:color="auto" w:fill="DBE5F1"/>
            <w:vAlign w:val="center"/>
            <w:hideMark/>
          </w:tcPr>
          <w:p w:rsidR="00E31B19" w:rsidRPr="001A01AB" w:rsidRDefault="00E31B19" w:rsidP="007A5355">
            <w:pPr>
              <w:spacing w:before="20"/>
              <w:jc w:val="center"/>
              <w:rPr>
                <w:rFonts w:ascii="Calibri" w:hAnsi="Calibri" w:cs="Calibri"/>
                <w:b/>
                <w:color w:val="000000"/>
                <w:sz w:val="22"/>
                <w:szCs w:val="22"/>
                <w:lang w:eastAsia="es-GT"/>
              </w:rPr>
            </w:pPr>
            <w:r w:rsidRPr="001A01AB">
              <w:rPr>
                <w:rFonts w:ascii="Calibri" w:hAnsi="Calibri" w:cs="Calibri"/>
                <w:b/>
                <w:color w:val="000000"/>
                <w:sz w:val="22"/>
                <w:szCs w:val="22"/>
                <w:lang w:eastAsia="es-GT"/>
              </w:rPr>
              <w:t>C-5.2: Gestión local</w:t>
            </w:r>
          </w:p>
        </w:tc>
      </w:tr>
      <w:tr w:rsidR="00E31B19" w:rsidRPr="000364C9" w:rsidTr="0010673E">
        <w:trPr>
          <w:trHeight w:val="20"/>
          <w:tblHeader/>
          <w:jc w:val="center"/>
        </w:trPr>
        <w:tc>
          <w:tcPr>
            <w:tcW w:w="3587" w:type="dxa"/>
            <w:vMerge/>
            <w:tcBorders>
              <w:bottom w:val="single" w:sz="4" w:space="0" w:color="FFFFFF"/>
            </w:tcBorders>
            <w:shd w:val="clear" w:color="auto" w:fill="DBE5F1"/>
            <w:vAlign w:val="center"/>
            <w:hideMark/>
          </w:tcPr>
          <w:p w:rsidR="00E31B19" w:rsidRPr="001A01AB" w:rsidRDefault="00E31B19" w:rsidP="007A5355">
            <w:pPr>
              <w:spacing w:before="20"/>
              <w:rPr>
                <w:rFonts w:ascii="Calibri" w:hAnsi="Calibri" w:cs="Calibri"/>
                <w:b/>
                <w:color w:val="000000"/>
                <w:sz w:val="22"/>
                <w:szCs w:val="22"/>
                <w:lang w:eastAsia="es-GT"/>
              </w:rPr>
            </w:pPr>
          </w:p>
        </w:tc>
        <w:tc>
          <w:tcPr>
            <w:tcW w:w="1179" w:type="dxa"/>
            <w:tcBorders>
              <w:bottom w:val="single" w:sz="4" w:space="0" w:color="FFFFFF"/>
            </w:tcBorders>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I-4.1.1: Índice de influencia humana en el territorio</w:t>
            </w:r>
          </w:p>
        </w:tc>
        <w:tc>
          <w:tcPr>
            <w:tcW w:w="1463" w:type="dxa"/>
            <w:tcBorders>
              <w:bottom w:val="single" w:sz="4" w:space="0" w:color="FFFFFF"/>
            </w:tcBorders>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I-4.1.2: Población en situación d</w:t>
            </w:r>
            <w:r w:rsidR="0010673E">
              <w:rPr>
                <w:rFonts w:ascii="Calibri" w:hAnsi="Calibri" w:cs="Calibri"/>
                <w:b/>
                <w:color w:val="000000"/>
                <w:sz w:val="20"/>
                <w:szCs w:val="22"/>
                <w:lang w:val="es-GT" w:eastAsia="es-GT"/>
              </w:rPr>
              <w:t>e exposición a amenazas inducidas por el cambio c</w:t>
            </w:r>
            <w:r w:rsidRPr="001A01AB">
              <w:rPr>
                <w:rFonts w:ascii="Calibri" w:hAnsi="Calibri" w:cs="Calibri"/>
                <w:b/>
                <w:color w:val="000000"/>
                <w:sz w:val="20"/>
                <w:szCs w:val="22"/>
                <w:lang w:val="es-GT" w:eastAsia="es-GT"/>
              </w:rPr>
              <w:t>limático</w:t>
            </w:r>
          </w:p>
        </w:tc>
        <w:tc>
          <w:tcPr>
            <w:tcW w:w="1239" w:type="dxa"/>
            <w:tcBorders>
              <w:bottom w:val="single" w:sz="4" w:space="0" w:color="FFFFFF"/>
            </w:tcBorders>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I-4.2.1: Escenarios climáticos</w:t>
            </w:r>
          </w:p>
        </w:tc>
        <w:tc>
          <w:tcPr>
            <w:tcW w:w="1181" w:type="dxa"/>
            <w:tcBorders>
              <w:bottom w:val="single" w:sz="4" w:space="0" w:color="FFFFFF"/>
            </w:tcBorders>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I-4.2.2: Impacto del cambio climático en los ecosistemas</w:t>
            </w:r>
          </w:p>
        </w:tc>
        <w:tc>
          <w:tcPr>
            <w:tcW w:w="1180" w:type="dxa"/>
            <w:tcBorders>
              <w:bottom w:val="single" w:sz="4" w:space="0" w:color="FFFFFF"/>
            </w:tcBorders>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I-4.2.3: Impacto del cambio climático en el PIB agrícola</w:t>
            </w:r>
          </w:p>
        </w:tc>
        <w:tc>
          <w:tcPr>
            <w:tcW w:w="1180" w:type="dxa"/>
            <w:tcBorders>
              <w:bottom w:val="single" w:sz="4" w:space="0" w:color="FFFFFF"/>
            </w:tcBorders>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I-5.1.1: Dinámica de la inversión pública sectorial</w:t>
            </w:r>
          </w:p>
        </w:tc>
        <w:tc>
          <w:tcPr>
            <w:tcW w:w="1178" w:type="dxa"/>
            <w:tcBorders>
              <w:bottom w:val="single" w:sz="4" w:space="0" w:color="FFFFFF"/>
            </w:tcBorders>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 xml:space="preserve">I-5.1.2: Gasto público destinado a la protección y </w:t>
            </w:r>
            <w:r w:rsidRPr="0010673E">
              <w:rPr>
                <w:rFonts w:ascii="Calibri" w:hAnsi="Calibri" w:cs="Calibri"/>
                <w:b/>
                <w:color w:val="000000"/>
                <w:sz w:val="18"/>
                <w:szCs w:val="18"/>
                <w:lang w:val="es-GT" w:eastAsia="es-GT"/>
              </w:rPr>
              <w:t>recuperación</w:t>
            </w:r>
            <w:r w:rsidRPr="001A01AB">
              <w:rPr>
                <w:rFonts w:ascii="Calibri" w:hAnsi="Calibri" w:cs="Calibri"/>
                <w:b/>
                <w:color w:val="000000"/>
                <w:sz w:val="20"/>
                <w:szCs w:val="22"/>
                <w:lang w:val="es-GT" w:eastAsia="es-GT"/>
              </w:rPr>
              <w:t xml:space="preserve"> del ambiente</w:t>
            </w:r>
          </w:p>
        </w:tc>
        <w:tc>
          <w:tcPr>
            <w:tcW w:w="1332" w:type="dxa"/>
            <w:tcBorders>
              <w:bottom w:val="single" w:sz="4" w:space="0" w:color="FFFFFF"/>
            </w:tcBorders>
            <w:shd w:val="clear" w:color="auto" w:fill="DBE5F1"/>
            <w:vAlign w:val="center"/>
            <w:hideMark/>
          </w:tcPr>
          <w:p w:rsidR="00E31B19" w:rsidRPr="001A01AB" w:rsidRDefault="00E31B19" w:rsidP="007A5355">
            <w:pPr>
              <w:spacing w:before="20"/>
              <w:jc w:val="center"/>
              <w:rPr>
                <w:rFonts w:ascii="Calibri" w:hAnsi="Calibri" w:cs="Calibri"/>
                <w:b/>
                <w:color w:val="000000"/>
                <w:sz w:val="20"/>
                <w:szCs w:val="22"/>
                <w:lang w:val="es-GT" w:eastAsia="es-GT"/>
              </w:rPr>
            </w:pPr>
            <w:r w:rsidRPr="001A01AB">
              <w:rPr>
                <w:rFonts w:ascii="Calibri" w:hAnsi="Calibri" w:cs="Calibri"/>
                <w:b/>
                <w:color w:val="000000"/>
                <w:sz w:val="20"/>
                <w:szCs w:val="22"/>
                <w:lang w:val="es-GT" w:eastAsia="es-GT"/>
              </w:rPr>
              <w:t>I-5.2.1: Índice de Gestión Municipal</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A5355">
            <w:pPr>
              <w:spacing w:before="2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OE.1. Bosques</w:t>
            </w:r>
          </w:p>
        </w:tc>
        <w:tc>
          <w:tcPr>
            <w:tcW w:w="1179"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463"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239"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1"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78"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A5355">
            <w:pPr>
              <w:spacing w:before="2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Fomento del manejo forestal sostenible</w:t>
            </w:r>
            <w:r w:rsidR="0010673E">
              <w:rPr>
                <w:rFonts w:ascii="Calibri" w:hAnsi="Calibri" w:cs="Calibri"/>
                <w:color w:val="000000"/>
                <w:sz w:val="22"/>
                <w:szCs w:val="22"/>
                <w:lang w:val="es-GT" w:eastAsia="es-GT"/>
              </w:rPr>
              <w:t>.</w:t>
            </w:r>
          </w:p>
        </w:tc>
        <w:tc>
          <w:tcPr>
            <w:tcW w:w="1179"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044A76F7" wp14:editId="37C2A505">
                      <wp:extent cx="180975" cy="180975"/>
                      <wp:effectExtent l="19050" t="0" r="0" b="28575"/>
                      <wp:docPr id="16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CZ&#10;PIxm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463"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239"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1"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41417FA3" wp14:editId="08CA65B6">
                      <wp:extent cx="180975" cy="180975"/>
                      <wp:effectExtent l="19050" t="0" r="0" b="28575"/>
                      <wp:docPr id="18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CF&#10;PDpA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8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57ACB442" wp14:editId="178C2A36">
                      <wp:extent cx="180975" cy="180975"/>
                      <wp:effectExtent l="19050" t="0" r="0" b="28575"/>
                      <wp:docPr id="17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j&#10;y5QM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8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78"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A5355">
            <w:pPr>
              <w:spacing w:before="2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 la silvicultura de plantaciones</w:t>
            </w:r>
            <w:r w:rsidR="0010673E">
              <w:rPr>
                <w:rFonts w:ascii="Calibri" w:hAnsi="Calibri" w:cs="Calibri"/>
                <w:color w:val="000000"/>
                <w:sz w:val="22"/>
                <w:szCs w:val="22"/>
                <w:lang w:val="es-GT" w:eastAsia="es-GT"/>
              </w:rPr>
              <w:t>.</w:t>
            </w:r>
          </w:p>
        </w:tc>
        <w:tc>
          <w:tcPr>
            <w:tcW w:w="1179"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0DC282C3" wp14:editId="7A1F3E70">
                      <wp:extent cx="180975" cy="180975"/>
                      <wp:effectExtent l="19050" t="0" r="0" b="28575"/>
                      <wp:docPr id="18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M1Qm4h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463"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239"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1"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1BAB5975" wp14:editId="1793A045">
                      <wp:extent cx="180975" cy="180975"/>
                      <wp:effectExtent l="19050" t="0" r="0" b="28575"/>
                      <wp:docPr id="18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9&#10;z7zm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8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1578247A" wp14:editId="3D1C12A5">
                      <wp:extent cx="180975" cy="180975"/>
                      <wp:effectExtent l="19050" t="0" r="0" b="28575"/>
                      <wp:docPr id="18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S6egRB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8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78"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10673E" w:rsidTr="0010673E">
        <w:trPr>
          <w:trHeight w:val="20"/>
          <w:jc w:val="center"/>
        </w:trPr>
        <w:tc>
          <w:tcPr>
            <w:tcW w:w="3587" w:type="dxa"/>
            <w:shd w:val="clear" w:color="auto" w:fill="E7EDF5"/>
            <w:vAlign w:val="center"/>
            <w:hideMark/>
          </w:tcPr>
          <w:p w:rsidR="00E31B19" w:rsidRPr="001A01AB" w:rsidRDefault="00E31B19" w:rsidP="007A5355">
            <w:pPr>
              <w:spacing w:before="2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 la eficiencia dendroenergética</w:t>
            </w:r>
            <w:r w:rsidR="0010673E">
              <w:rPr>
                <w:rFonts w:ascii="Calibri" w:hAnsi="Calibri" w:cs="Calibri"/>
                <w:color w:val="000000"/>
                <w:sz w:val="22"/>
                <w:szCs w:val="22"/>
                <w:lang w:val="es-GT" w:eastAsia="es-GT"/>
              </w:rPr>
              <w:t>.</w:t>
            </w:r>
            <w:r w:rsidRPr="001A01AB">
              <w:rPr>
                <w:rFonts w:ascii="Calibri" w:hAnsi="Calibri" w:cs="Calibri"/>
                <w:color w:val="000000"/>
                <w:sz w:val="22"/>
                <w:szCs w:val="22"/>
                <w:lang w:val="es-GT" w:eastAsia="es-GT"/>
              </w:rPr>
              <w:t xml:space="preserve"> </w:t>
            </w:r>
          </w:p>
        </w:tc>
        <w:tc>
          <w:tcPr>
            <w:tcW w:w="1179" w:type="dxa"/>
            <w:shd w:val="clear" w:color="auto" w:fill="E7EDF5"/>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511D47F7" wp14:editId="6B5EBB86">
                      <wp:extent cx="180975" cy="180975"/>
                      <wp:effectExtent l="19050" t="0" r="0" b="28575"/>
                      <wp:docPr id="13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eI8GA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Cp&#10;SeI8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463" w:type="dxa"/>
            <w:shd w:val="clear" w:color="auto" w:fill="E7EDF5"/>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239" w:type="dxa"/>
            <w:shd w:val="clear" w:color="auto" w:fill="E7EDF5"/>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181" w:type="dxa"/>
            <w:shd w:val="clear" w:color="auto" w:fill="E7EDF5"/>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180" w:type="dxa"/>
            <w:shd w:val="clear" w:color="auto" w:fill="E7EDF5"/>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2C4CF9FE" wp14:editId="201F57EC">
                      <wp:extent cx="180975" cy="190500"/>
                      <wp:effectExtent l="33338" t="4762" r="0" b="23813"/>
                      <wp:docPr id="13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905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" adj="10773" fillcolor="#8eb4e3" strokecolor="#4f81bd">
                      <w10:anchorlock/>
                    </v:shape>
                  </w:pict>
                </mc:Fallback>
              </mc:AlternateContent>
            </w:r>
          </w:p>
        </w:tc>
        <w:tc>
          <w:tcPr>
            <w:tcW w:w="1180" w:type="dxa"/>
            <w:shd w:val="clear" w:color="auto" w:fill="E7EDF5"/>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178" w:type="dxa"/>
            <w:shd w:val="clear" w:color="auto" w:fill="E7EDF5"/>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332" w:type="dxa"/>
            <w:shd w:val="clear" w:color="auto" w:fill="E7EDF5"/>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r>
      <w:tr w:rsidR="00E31B19" w:rsidRPr="0010673E" w:rsidTr="0010673E">
        <w:trPr>
          <w:trHeight w:val="20"/>
          <w:jc w:val="center"/>
        </w:trPr>
        <w:tc>
          <w:tcPr>
            <w:tcW w:w="3587" w:type="dxa"/>
            <w:shd w:val="clear" w:color="auto" w:fill="FAFAFA"/>
            <w:vAlign w:val="center"/>
            <w:hideMark/>
          </w:tcPr>
          <w:p w:rsidR="00E31B19" w:rsidRPr="0010673E" w:rsidRDefault="00E31B19" w:rsidP="007A5355">
            <w:pPr>
              <w:spacing w:before="20" w:after="20"/>
              <w:rPr>
                <w:rFonts w:ascii="Calibri" w:hAnsi="Calibri" w:cs="Calibri"/>
                <w:color w:val="000000"/>
                <w:sz w:val="22"/>
                <w:szCs w:val="22"/>
                <w:lang w:val="es-GT" w:eastAsia="es-GT"/>
              </w:rPr>
            </w:pPr>
            <w:r w:rsidRPr="0010673E">
              <w:rPr>
                <w:rFonts w:ascii="Calibri" w:hAnsi="Calibri" w:cs="Calibri"/>
                <w:b/>
                <w:color w:val="365F91"/>
                <w:sz w:val="22"/>
                <w:szCs w:val="22"/>
                <w:lang w:val="es-GT" w:eastAsia="es-GT"/>
              </w:rPr>
              <w:t>OE.2. Recursos hídricos</w:t>
            </w:r>
          </w:p>
        </w:tc>
        <w:tc>
          <w:tcPr>
            <w:tcW w:w="1179" w:type="dxa"/>
            <w:shd w:val="clear" w:color="auto" w:fill="FAFAFA"/>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463" w:type="dxa"/>
            <w:shd w:val="clear" w:color="auto" w:fill="FAFAFA"/>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239" w:type="dxa"/>
            <w:shd w:val="clear" w:color="auto" w:fill="FAFAFA"/>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181" w:type="dxa"/>
            <w:shd w:val="clear" w:color="auto" w:fill="FAFAFA"/>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180" w:type="dxa"/>
            <w:shd w:val="clear" w:color="auto" w:fill="FAFAFA"/>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180" w:type="dxa"/>
            <w:shd w:val="clear" w:color="auto" w:fill="FAFAFA"/>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178" w:type="dxa"/>
            <w:shd w:val="clear" w:color="auto" w:fill="FAFAFA"/>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332" w:type="dxa"/>
            <w:shd w:val="clear" w:color="auto" w:fill="FAFAFA"/>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r>
      <w:tr w:rsidR="00E31B19" w:rsidRPr="00C870E7" w:rsidTr="0010673E">
        <w:trPr>
          <w:trHeight w:val="20"/>
          <w:jc w:val="center"/>
        </w:trPr>
        <w:tc>
          <w:tcPr>
            <w:tcW w:w="3587" w:type="dxa"/>
            <w:shd w:val="clear" w:color="auto" w:fill="FAFAFA"/>
            <w:vAlign w:val="center"/>
            <w:hideMark/>
          </w:tcPr>
          <w:p w:rsidR="00E31B19" w:rsidRPr="001A01AB" w:rsidRDefault="00E31B19" w:rsidP="007A5355">
            <w:pPr>
              <w:spacing w:before="2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Restauración de las tierras de importancia para captación y regulación hídrica</w:t>
            </w:r>
            <w:r w:rsidR="0010673E">
              <w:rPr>
                <w:rFonts w:ascii="Calibri" w:hAnsi="Calibri" w:cs="Calibri"/>
                <w:color w:val="000000"/>
                <w:sz w:val="22"/>
                <w:szCs w:val="22"/>
                <w:lang w:val="es-GT" w:eastAsia="es-GT"/>
              </w:rPr>
              <w:t>.</w:t>
            </w:r>
          </w:p>
        </w:tc>
        <w:tc>
          <w:tcPr>
            <w:tcW w:w="1179"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487DD2E6" wp14:editId="1E10904F">
                      <wp:extent cx="180975" cy="180975"/>
                      <wp:effectExtent l="19050" t="0" r="0" b="28575"/>
                      <wp:docPr id="20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3ZE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Q092RB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463"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7C7CD680" wp14:editId="5C3DE85B">
                      <wp:extent cx="180975" cy="180975"/>
                      <wp:effectExtent l="19050" t="0" r="0" b="28575"/>
                      <wp:docPr id="20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Cp&#10;mwSD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239"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1"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4E07CEA3" wp14:editId="1C8F2C6B">
                      <wp:extent cx="180975" cy="180975"/>
                      <wp:effectExtent l="19050" t="0" r="0" b="28575"/>
                      <wp:docPr id="20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IIlGAIAAEM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R&#10;aIIl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8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78"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32"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10673E" w:rsidTr="0010673E">
        <w:trPr>
          <w:trHeight w:val="20"/>
          <w:jc w:val="center"/>
        </w:trPr>
        <w:tc>
          <w:tcPr>
            <w:tcW w:w="3587" w:type="dxa"/>
            <w:tcBorders>
              <w:bottom w:val="single" w:sz="4" w:space="0" w:color="FFFFFF"/>
            </w:tcBorders>
            <w:shd w:val="clear" w:color="auto" w:fill="FAFAFA"/>
            <w:vAlign w:val="center"/>
            <w:hideMark/>
          </w:tcPr>
          <w:p w:rsidR="00E31B19" w:rsidRPr="001A01AB" w:rsidRDefault="00E31B19" w:rsidP="007A5355">
            <w:pPr>
              <w:spacing w:before="2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Construcción de plantas para el tratamiento de aguas residuales</w:t>
            </w:r>
            <w:r w:rsidR="0010673E">
              <w:rPr>
                <w:rFonts w:ascii="Calibri" w:hAnsi="Calibri" w:cs="Calibri"/>
                <w:color w:val="000000"/>
                <w:sz w:val="22"/>
                <w:szCs w:val="22"/>
                <w:lang w:val="es-GT" w:eastAsia="es-GT"/>
              </w:rPr>
              <w:t>.</w:t>
            </w:r>
            <w:r w:rsidRPr="001A01AB">
              <w:rPr>
                <w:rFonts w:ascii="Calibri" w:hAnsi="Calibri" w:cs="Calibri"/>
                <w:color w:val="000000"/>
                <w:sz w:val="22"/>
                <w:szCs w:val="22"/>
                <w:lang w:val="es-GT" w:eastAsia="es-GT"/>
              </w:rPr>
              <w:t xml:space="preserve"> </w:t>
            </w:r>
          </w:p>
        </w:tc>
        <w:tc>
          <w:tcPr>
            <w:tcW w:w="1179" w:type="dxa"/>
            <w:tcBorders>
              <w:bottom w:val="single" w:sz="4" w:space="0" w:color="FFFFFF"/>
            </w:tcBorders>
            <w:shd w:val="clear" w:color="auto" w:fill="FAFAFA"/>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72AD6E5B" wp14:editId="026F9CC9">
                      <wp:extent cx="180975" cy="180975"/>
                      <wp:effectExtent l="19050" t="0" r="0" b="28575"/>
                      <wp:docPr id="28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6&#10;ndK7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463" w:type="dxa"/>
            <w:tcBorders>
              <w:bottom w:val="single" w:sz="4" w:space="0" w:color="FFFFFF"/>
            </w:tcBorders>
            <w:shd w:val="clear" w:color="auto" w:fill="FAFAFA"/>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0EDE8AF0" wp14:editId="0A84CA59">
                      <wp:extent cx="180975" cy="180975"/>
                      <wp:effectExtent l="19050" t="0" r="0" b="28575"/>
                      <wp:docPr id="28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Z&#10;WlpM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239" w:type="dxa"/>
            <w:tcBorders>
              <w:bottom w:val="single" w:sz="4" w:space="0" w:color="FFFFFF"/>
            </w:tcBorders>
            <w:shd w:val="clear" w:color="auto" w:fill="FAFAFA"/>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181" w:type="dxa"/>
            <w:tcBorders>
              <w:bottom w:val="single" w:sz="4" w:space="0" w:color="FFFFFF"/>
            </w:tcBorders>
            <w:shd w:val="clear" w:color="auto" w:fill="FAFAFA"/>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23536272" wp14:editId="50F46609">
                      <wp:extent cx="180975" cy="190500"/>
                      <wp:effectExtent l="33338" t="4762" r="0" b="23813"/>
                      <wp:docPr id="28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905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" adj="10773" fillcolor="#8eb4e3" strokecolor="#4f81bd">
                      <w10:anchorlock/>
                    </v:shape>
                  </w:pict>
                </mc:Fallback>
              </mc:AlternateContent>
            </w:r>
          </w:p>
        </w:tc>
        <w:tc>
          <w:tcPr>
            <w:tcW w:w="1180" w:type="dxa"/>
            <w:tcBorders>
              <w:bottom w:val="single" w:sz="4" w:space="0" w:color="FFFFFF"/>
            </w:tcBorders>
            <w:shd w:val="clear" w:color="auto" w:fill="FAFAFA"/>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180" w:type="dxa"/>
            <w:tcBorders>
              <w:bottom w:val="single" w:sz="4" w:space="0" w:color="FFFFFF"/>
            </w:tcBorders>
            <w:shd w:val="clear" w:color="auto" w:fill="FAFAFA"/>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178" w:type="dxa"/>
            <w:tcBorders>
              <w:bottom w:val="single" w:sz="4" w:space="0" w:color="FFFFFF"/>
            </w:tcBorders>
            <w:shd w:val="clear" w:color="auto" w:fill="FAFAFA"/>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4AFB5111" wp14:editId="2661E54D">
                      <wp:extent cx="180975" cy="190500"/>
                      <wp:effectExtent l="33338" t="4762" r="0" b="23813"/>
                      <wp:docPr id="27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905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" adj="10773" fillcolor="#8eb4e3" strokecolor="#4f81bd">
                      <w10:anchorlock/>
                    </v:shape>
                  </w:pict>
                </mc:Fallback>
              </mc:AlternateContent>
            </w:r>
          </w:p>
        </w:tc>
        <w:tc>
          <w:tcPr>
            <w:tcW w:w="1332" w:type="dxa"/>
            <w:tcBorders>
              <w:bottom w:val="single" w:sz="4" w:space="0" w:color="FFFFFF"/>
            </w:tcBorders>
            <w:shd w:val="clear" w:color="auto" w:fill="FAFAFA"/>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14A67293" wp14:editId="50861C56">
                      <wp:extent cx="180975" cy="190500"/>
                      <wp:effectExtent l="33338" t="4762" r="0" b="23813"/>
                      <wp:docPr id="27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905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" adj="10773" fillcolor="#8eb4e3" strokecolor="#4f81bd">
                      <w10:anchorlock/>
                    </v:shape>
                  </w:pict>
                </mc:Fallback>
              </mc:AlternateContent>
            </w:r>
          </w:p>
        </w:tc>
      </w:tr>
      <w:tr w:rsidR="00E31B19" w:rsidRPr="0010673E" w:rsidTr="0010673E">
        <w:trPr>
          <w:trHeight w:val="20"/>
          <w:jc w:val="center"/>
        </w:trPr>
        <w:tc>
          <w:tcPr>
            <w:tcW w:w="3587" w:type="dxa"/>
            <w:shd w:val="clear" w:color="auto" w:fill="E7EDF5"/>
            <w:vAlign w:val="center"/>
            <w:hideMark/>
          </w:tcPr>
          <w:p w:rsidR="00E31B19" w:rsidRPr="0010673E" w:rsidRDefault="00E31B19" w:rsidP="007A5355">
            <w:pPr>
              <w:spacing w:before="20" w:after="20"/>
              <w:rPr>
                <w:rFonts w:ascii="Calibri" w:hAnsi="Calibri" w:cs="Calibri"/>
                <w:color w:val="000000"/>
                <w:sz w:val="22"/>
                <w:szCs w:val="22"/>
                <w:lang w:val="es-GT" w:eastAsia="es-GT"/>
              </w:rPr>
            </w:pPr>
            <w:r w:rsidRPr="0010673E">
              <w:rPr>
                <w:rFonts w:ascii="Calibri" w:hAnsi="Calibri" w:cs="Calibri"/>
                <w:b/>
                <w:color w:val="365F91"/>
                <w:sz w:val="22"/>
                <w:szCs w:val="22"/>
                <w:lang w:val="es-GT" w:eastAsia="es-GT"/>
              </w:rPr>
              <w:t>OE.3. Suelo</w:t>
            </w:r>
          </w:p>
        </w:tc>
        <w:tc>
          <w:tcPr>
            <w:tcW w:w="1179" w:type="dxa"/>
            <w:shd w:val="clear" w:color="auto" w:fill="E7EDF5"/>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463" w:type="dxa"/>
            <w:shd w:val="clear" w:color="auto" w:fill="E7EDF5"/>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239" w:type="dxa"/>
            <w:shd w:val="clear" w:color="auto" w:fill="E7EDF5"/>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181" w:type="dxa"/>
            <w:shd w:val="clear" w:color="auto" w:fill="E7EDF5"/>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180" w:type="dxa"/>
            <w:shd w:val="clear" w:color="auto" w:fill="E7EDF5"/>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180" w:type="dxa"/>
            <w:shd w:val="clear" w:color="auto" w:fill="E7EDF5"/>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178" w:type="dxa"/>
            <w:shd w:val="clear" w:color="auto" w:fill="E7EDF5"/>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c>
          <w:tcPr>
            <w:tcW w:w="1332" w:type="dxa"/>
            <w:shd w:val="clear" w:color="auto" w:fill="E7EDF5"/>
            <w:vAlign w:val="center"/>
            <w:hideMark/>
          </w:tcPr>
          <w:p w:rsidR="00E31B19" w:rsidRPr="0010673E" w:rsidRDefault="00E31B19" w:rsidP="007A5355">
            <w:pPr>
              <w:spacing w:before="20"/>
              <w:rPr>
                <w:rFonts w:ascii="Calibri" w:hAnsi="Calibri" w:cs="Calibri"/>
                <w:color w:val="000000"/>
                <w:sz w:val="22"/>
                <w:szCs w:val="22"/>
                <w:lang w:val="es-GT" w:eastAsia="es-GT"/>
              </w:rPr>
            </w:pPr>
            <w:r w:rsidRPr="0010673E">
              <w:rPr>
                <w:rFonts w:ascii="Calibri" w:hAnsi="Calibri" w:cs="Calibri"/>
                <w:color w:val="000000"/>
                <w:sz w:val="22"/>
                <w:szCs w:val="22"/>
                <w:lang w:val="es-GT" w:eastAsia="es-GT"/>
              </w:rPr>
              <w:t> </w:t>
            </w:r>
          </w:p>
        </w:tc>
      </w:tr>
      <w:tr w:rsidR="00E31B19" w:rsidRPr="0010673E" w:rsidTr="0010673E">
        <w:trPr>
          <w:trHeight w:val="20"/>
          <w:jc w:val="center"/>
        </w:trPr>
        <w:tc>
          <w:tcPr>
            <w:tcW w:w="3587" w:type="dxa"/>
            <w:shd w:val="clear" w:color="auto" w:fill="E7EDF5"/>
            <w:vAlign w:val="center"/>
            <w:hideMark/>
          </w:tcPr>
          <w:p w:rsidR="00E31B19" w:rsidRPr="001A01AB" w:rsidRDefault="00E31B19" w:rsidP="007A5355">
            <w:pPr>
              <w:spacing w:before="2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del uso de sistemas agroforestales</w:t>
            </w:r>
            <w:r w:rsidR="0010673E">
              <w:rPr>
                <w:rFonts w:ascii="Calibri" w:hAnsi="Calibri" w:cs="Calibri"/>
                <w:color w:val="000000"/>
                <w:sz w:val="22"/>
                <w:szCs w:val="22"/>
                <w:lang w:val="es-GT" w:eastAsia="es-GT"/>
              </w:rPr>
              <w:t>.</w:t>
            </w:r>
          </w:p>
        </w:tc>
        <w:tc>
          <w:tcPr>
            <w:tcW w:w="1179" w:type="dxa"/>
            <w:shd w:val="clear" w:color="auto" w:fill="E7EDF5"/>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66A8E789" wp14:editId="78C75718">
                      <wp:extent cx="180975" cy="180975"/>
                      <wp:effectExtent l="19050" t="0" r="0" b="28575"/>
                      <wp:docPr id="14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Ac&#10;uJpI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463" w:type="dxa"/>
            <w:shd w:val="clear" w:color="auto" w:fill="E7EDF5"/>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12653C3E" wp14:editId="50C4C80D">
                      <wp:extent cx="180975" cy="180975"/>
                      <wp:effectExtent l="19050" t="0" r="0" b="28575"/>
                      <wp:docPr id="14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k&#10;Sxzu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239" w:type="dxa"/>
            <w:shd w:val="clear" w:color="auto" w:fill="E7EDF5"/>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181" w:type="dxa"/>
            <w:shd w:val="clear" w:color="auto" w:fill="E7EDF5"/>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283B7709" wp14:editId="0C5265B8">
                      <wp:extent cx="180975" cy="180975"/>
                      <wp:effectExtent l="19050" t="0" r="0" b="28575"/>
                      <wp:docPr id="14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rVjm3h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80" w:type="dxa"/>
            <w:shd w:val="clear" w:color="auto" w:fill="E7EDF5"/>
            <w:vAlign w:val="center"/>
            <w:hideMark/>
          </w:tcPr>
          <w:p w:rsidR="00E31B19" w:rsidRPr="0010673E"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50150854" wp14:editId="51ED591A">
                      <wp:extent cx="180975" cy="180975"/>
                      <wp:effectExtent l="19050" t="0" r="0" b="28575"/>
                      <wp:docPr id="14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2B4GAIAAEMEAAAOAAAAZHJzL2Uyb0RvYy54bWysU9tuGjEQfa/Uf7D8XvYS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V&#10;q2B4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80" w:type="dxa"/>
            <w:shd w:val="clear" w:color="auto" w:fill="E7EDF5"/>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178" w:type="dxa"/>
            <w:shd w:val="clear" w:color="auto" w:fill="E7EDF5"/>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c>
          <w:tcPr>
            <w:tcW w:w="1332" w:type="dxa"/>
            <w:shd w:val="clear" w:color="auto" w:fill="E7EDF5"/>
            <w:vAlign w:val="center"/>
            <w:hideMark/>
          </w:tcPr>
          <w:p w:rsidR="00E31B19" w:rsidRPr="0010673E" w:rsidRDefault="00E31B19" w:rsidP="007A5355">
            <w:pPr>
              <w:spacing w:before="20"/>
              <w:jc w:val="center"/>
              <w:rPr>
                <w:rFonts w:ascii="Calibri" w:hAnsi="Calibri" w:cs="Calibri"/>
                <w:b/>
                <w:bCs/>
                <w:color w:val="000000"/>
                <w:sz w:val="22"/>
                <w:szCs w:val="22"/>
                <w:lang w:val="es-GT" w:eastAsia="es-GT"/>
              </w:rPr>
            </w:pPr>
            <w:r w:rsidRPr="0010673E">
              <w:rPr>
                <w:rFonts w:ascii="Calibri" w:hAnsi="Calibri" w:cs="Calibri"/>
                <w:b/>
                <w:bCs/>
                <w:color w:val="000000"/>
                <w:sz w:val="22"/>
                <w:szCs w:val="22"/>
                <w:lang w:val="es-GT" w:eastAsia="es-GT"/>
              </w:rPr>
              <w:t> </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A5355">
            <w:pPr>
              <w:spacing w:before="2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 la conservación de suelos agrícolas</w:t>
            </w:r>
            <w:r w:rsidR="0010673E">
              <w:rPr>
                <w:rFonts w:ascii="Calibri" w:hAnsi="Calibri" w:cs="Calibri"/>
                <w:color w:val="000000"/>
                <w:sz w:val="22"/>
                <w:szCs w:val="22"/>
                <w:lang w:val="es-GT" w:eastAsia="es-GT"/>
              </w:rPr>
              <w:t>.</w:t>
            </w:r>
          </w:p>
        </w:tc>
        <w:tc>
          <w:tcPr>
            <w:tcW w:w="1179"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77602E0B" wp14:editId="3FD346D8">
                      <wp:extent cx="180975" cy="180975"/>
                      <wp:effectExtent l="19050" t="0" r="0" b="28575"/>
                      <wp:docPr id="27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0vHm8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463"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2751A70F" wp14:editId="0282B515">
                      <wp:extent cx="180975" cy="180975"/>
                      <wp:effectExtent l="19050" t="0" r="0" b="28575"/>
                      <wp:docPr id="27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Cq&#10;AmBV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239"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1"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6B6996CE" wp14:editId="4CCB552C">
                      <wp:extent cx="180975" cy="190500"/>
                      <wp:effectExtent l="33338" t="4762" r="0" b="23813"/>
                      <wp:docPr id="2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905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" adj="10773" fillcolor="#8eb4e3" strokecolor="#4f81bd">
                      <w10:anchorlock/>
                    </v:shape>
                  </w:pict>
                </mc:Fallback>
              </mc:AlternateContent>
            </w:r>
          </w:p>
        </w:tc>
        <w:tc>
          <w:tcPr>
            <w:tcW w:w="118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78"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0673E">
        <w:trPr>
          <w:trHeight w:val="20"/>
          <w:jc w:val="center"/>
        </w:trPr>
        <w:tc>
          <w:tcPr>
            <w:tcW w:w="3587" w:type="dxa"/>
            <w:shd w:val="clear" w:color="auto" w:fill="FAFAFA"/>
            <w:vAlign w:val="center"/>
            <w:hideMark/>
          </w:tcPr>
          <w:p w:rsidR="00E31B19" w:rsidRPr="001A01AB" w:rsidRDefault="00E31B19" w:rsidP="007A5355">
            <w:pPr>
              <w:spacing w:before="2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OE.4. Infraestructura vial</w:t>
            </w:r>
          </w:p>
        </w:tc>
        <w:tc>
          <w:tcPr>
            <w:tcW w:w="1179"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463"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239"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1"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0"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0"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78"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32"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0673E">
        <w:trPr>
          <w:trHeight w:val="20"/>
          <w:jc w:val="center"/>
        </w:trPr>
        <w:tc>
          <w:tcPr>
            <w:tcW w:w="3587" w:type="dxa"/>
            <w:tcBorders>
              <w:bottom w:val="single" w:sz="4" w:space="0" w:color="FFFFFF"/>
            </w:tcBorders>
            <w:shd w:val="clear" w:color="auto" w:fill="FAFAFA"/>
            <w:vAlign w:val="center"/>
            <w:hideMark/>
          </w:tcPr>
          <w:p w:rsidR="00E31B19" w:rsidRPr="001A01AB" w:rsidRDefault="00E31B19" w:rsidP="007A5355">
            <w:pPr>
              <w:spacing w:before="2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xml:space="preserve">Introducción y rehabilitación de </w:t>
            </w:r>
            <w:r w:rsidRPr="001A01AB">
              <w:rPr>
                <w:rFonts w:ascii="Calibri" w:hAnsi="Calibri" w:cs="Calibri"/>
                <w:color w:val="000000"/>
                <w:sz w:val="22"/>
                <w:szCs w:val="22"/>
                <w:lang w:val="es-GT" w:eastAsia="es-GT"/>
              </w:rPr>
              <w:lastRenderedPageBreak/>
              <w:t>caminos rurales</w:t>
            </w:r>
            <w:r w:rsidR="0010673E">
              <w:rPr>
                <w:rFonts w:ascii="Calibri" w:hAnsi="Calibri" w:cs="Calibri"/>
                <w:color w:val="000000"/>
                <w:sz w:val="22"/>
                <w:szCs w:val="22"/>
                <w:lang w:val="es-GT" w:eastAsia="es-GT"/>
              </w:rPr>
              <w:t>.</w:t>
            </w:r>
          </w:p>
        </w:tc>
        <w:tc>
          <w:tcPr>
            <w:tcW w:w="1179" w:type="dxa"/>
            <w:tcBorders>
              <w:bottom w:val="single" w:sz="4" w:space="0" w:color="FFFFFF"/>
            </w:tcBorders>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w:lastRenderedPageBreak/>
              <mc:AlternateContent>
                <mc:Choice Requires="wps">
                  <w:drawing>
                    <wp:inline distT="0" distB="0" distL="0" distR="0" wp14:anchorId="0A8173F6" wp14:editId="234A573F">
                      <wp:extent cx="180975" cy="171450"/>
                      <wp:effectExtent l="19050" t="38100" r="0" b="0"/>
                      <wp:docPr id="2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" adj="11340" fillcolor="#8eb4e3" strokecolor="#4f81bd">
                      <w10:anchorlock/>
                    </v:shape>
                  </w:pict>
                </mc:Fallback>
              </mc:AlternateContent>
            </w:r>
          </w:p>
        </w:tc>
        <w:tc>
          <w:tcPr>
            <w:tcW w:w="1463" w:type="dxa"/>
            <w:tcBorders>
              <w:bottom w:val="single" w:sz="4" w:space="0" w:color="FFFFFF"/>
            </w:tcBorders>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239" w:type="dxa"/>
            <w:tcBorders>
              <w:bottom w:val="single" w:sz="4" w:space="0" w:color="FFFFFF"/>
            </w:tcBorders>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1" w:type="dxa"/>
            <w:tcBorders>
              <w:bottom w:val="single" w:sz="4" w:space="0" w:color="FFFFFF"/>
            </w:tcBorders>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0" w:type="dxa"/>
            <w:tcBorders>
              <w:bottom w:val="single" w:sz="4" w:space="0" w:color="FFFFFF"/>
            </w:tcBorders>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0" w:type="dxa"/>
            <w:tcBorders>
              <w:bottom w:val="single" w:sz="4" w:space="0" w:color="FFFFFF"/>
            </w:tcBorders>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7601CC2C" wp14:editId="3E02AE58">
                      <wp:extent cx="180975" cy="171450"/>
                      <wp:effectExtent l="23813" t="0" r="0" b="33338"/>
                      <wp:docPr id="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" adj="11340" fillcolor="#8eb4e3" strokecolor="#4f81bd">
                      <w10:anchorlock/>
                    </v:shape>
                  </w:pict>
                </mc:Fallback>
              </mc:AlternateContent>
            </w:r>
          </w:p>
        </w:tc>
        <w:tc>
          <w:tcPr>
            <w:tcW w:w="1178" w:type="dxa"/>
            <w:tcBorders>
              <w:bottom w:val="single" w:sz="4" w:space="0" w:color="FFFFFF"/>
            </w:tcBorders>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32" w:type="dxa"/>
            <w:tcBorders>
              <w:bottom w:val="single" w:sz="4" w:space="0" w:color="FFFFFF"/>
            </w:tcBorders>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lastRenderedPageBreak/>
              <w:t>OE.5. Productividad agrícola</w:t>
            </w:r>
          </w:p>
        </w:tc>
        <w:tc>
          <w:tcPr>
            <w:tcW w:w="1179"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463"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239"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1"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78"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Construcción de sistemas de riego rural</w:t>
            </w:r>
            <w:r w:rsidR="0010673E">
              <w:rPr>
                <w:rFonts w:ascii="Calibri" w:hAnsi="Calibri" w:cs="Calibri"/>
                <w:color w:val="000000"/>
                <w:sz w:val="22"/>
                <w:szCs w:val="22"/>
                <w:lang w:val="es-GT" w:eastAsia="es-GT"/>
              </w:rPr>
              <w:t>.</w:t>
            </w:r>
          </w:p>
        </w:tc>
        <w:tc>
          <w:tcPr>
            <w:tcW w:w="1179"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1EB01CF9" wp14:editId="65545159">
                      <wp:extent cx="180975" cy="190500"/>
                      <wp:effectExtent l="38100" t="19050" r="0" b="0"/>
                      <wp:docPr id="28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80975" cy="1905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" adj="10773" fillcolor="#8eb4e3" strokecolor="#4f81bd">
                      <w10:anchorlock/>
                    </v:shape>
                  </w:pict>
                </mc:Fallback>
              </mc:AlternateContent>
            </w:r>
          </w:p>
        </w:tc>
        <w:tc>
          <w:tcPr>
            <w:tcW w:w="1463"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6EC1BBD0" wp14:editId="194F1DC4">
                      <wp:extent cx="180975" cy="180975"/>
                      <wp:effectExtent l="19050" t="0" r="0" b="28575"/>
                      <wp:docPr id="28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aLom2h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239"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1"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0B359DC8" wp14:editId="22F2B044">
                      <wp:extent cx="180975" cy="180975"/>
                      <wp:effectExtent l="19050" t="0" r="0" b="28575"/>
                      <wp:docPr id="28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gm5UH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8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78"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Encadenamientos productivos y servicios de apoyo a la comercialización</w:t>
            </w:r>
            <w:r w:rsidR="0010673E">
              <w:rPr>
                <w:rFonts w:ascii="Calibri" w:hAnsi="Calibri" w:cs="Calibri"/>
                <w:color w:val="000000"/>
                <w:sz w:val="22"/>
                <w:szCs w:val="22"/>
                <w:lang w:val="es-GT" w:eastAsia="es-GT"/>
              </w:rPr>
              <w:t>.</w:t>
            </w:r>
          </w:p>
        </w:tc>
        <w:tc>
          <w:tcPr>
            <w:tcW w:w="1179"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4E1081A4" wp14:editId="6A4A5AE6">
                      <wp:extent cx="171450" cy="180975"/>
                      <wp:effectExtent l="38100" t="19050" r="0" b="0"/>
                      <wp:docPr id="37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00000">
                                <a:off x="0" y="0"/>
                                <a:ext cx="17145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3.5pt;height:14.25pt;rotation:13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" adj="10743" fillcolor="#8eb4e3" strokecolor="#4f81bd">
                      <w10:anchorlock/>
                    </v:shape>
                  </w:pict>
                </mc:Fallback>
              </mc:AlternateContent>
            </w:r>
          </w:p>
        </w:tc>
        <w:tc>
          <w:tcPr>
            <w:tcW w:w="1463"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418E2017" wp14:editId="0471F9D6">
                      <wp:extent cx="190500" cy="180975"/>
                      <wp:effectExtent l="23812" t="0" r="0" b="23812"/>
                      <wp:docPr id="37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90500"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" adj="11340" fillcolor="#8eb4e3" strokecolor="#4f81bd">
                      <w10:anchorlock/>
                    </v:shape>
                  </w:pict>
                </mc:Fallback>
              </mc:AlternateContent>
            </w:r>
          </w:p>
        </w:tc>
        <w:tc>
          <w:tcPr>
            <w:tcW w:w="1239"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1"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238A344D" wp14:editId="0805323C">
                      <wp:extent cx="133350" cy="228600"/>
                      <wp:effectExtent l="19050" t="19050" r="38100" b="19050"/>
                      <wp:docPr id="37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2860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0.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" adj="6615" fillcolor="#8eb4e3" strokecolor="#4f81bd">
                      <w10:anchorlock/>
                    </v:shape>
                  </w:pict>
                </mc:Fallback>
              </mc:AlternateContent>
            </w:r>
          </w:p>
        </w:tc>
        <w:tc>
          <w:tcPr>
            <w:tcW w:w="118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78"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Investigación y desarrollo tecnológico agrícola</w:t>
            </w:r>
            <w:r w:rsidR="0010673E">
              <w:rPr>
                <w:rFonts w:ascii="Calibri" w:hAnsi="Calibri" w:cs="Calibri"/>
                <w:color w:val="000000"/>
                <w:sz w:val="22"/>
                <w:szCs w:val="22"/>
                <w:lang w:val="es-GT" w:eastAsia="es-GT"/>
              </w:rPr>
              <w:t>.</w:t>
            </w:r>
          </w:p>
        </w:tc>
        <w:tc>
          <w:tcPr>
            <w:tcW w:w="1179"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463"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0D72290B" wp14:editId="6F9D4690">
                      <wp:extent cx="180975" cy="171450"/>
                      <wp:effectExtent l="23813" t="0" r="0" b="33338"/>
                      <wp:docPr id="31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71450"/>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3.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" adj="11340" fillcolor="#8eb4e3" strokecolor="#4f81bd">
                      <w10:anchorlock/>
                    </v:shape>
                  </w:pict>
                </mc:Fallback>
              </mc:AlternateContent>
            </w:r>
          </w:p>
        </w:tc>
        <w:tc>
          <w:tcPr>
            <w:tcW w:w="1239"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1"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78"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Asistencia técnica y extensión agrícola</w:t>
            </w:r>
            <w:r w:rsidR="0010673E">
              <w:rPr>
                <w:rFonts w:ascii="Calibri" w:hAnsi="Calibri" w:cs="Calibri"/>
                <w:color w:val="000000"/>
                <w:sz w:val="22"/>
                <w:szCs w:val="22"/>
                <w:lang w:val="es-GT" w:eastAsia="es-GT"/>
              </w:rPr>
              <w:t>.</w:t>
            </w:r>
          </w:p>
        </w:tc>
        <w:tc>
          <w:tcPr>
            <w:tcW w:w="1179"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64E879E6" wp14:editId="45996723">
                      <wp:extent cx="180975" cy="180975"/>
                      <wp:effectExtent l="19050" t="0" r="0" b="28575"/>
                      <wp:docPr id="32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A8&#10;ctpq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463"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291689D9" wp14:editId="60B32565">
                      <wp:extent cx="180975" cy="180975"/>
                      <wp:effectExtent l="19050" t="0" r="0" b="28575"/>
                      <wp:docPr id="32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VzM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RIFczB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239"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1"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53AE6C2E" wp14:editId="65790E67">
                      <wp:extent cx="180975" cy="180975"/>
                      <wp:effectExtent l="19050" t="0" r="0" b="28575"/>
                      <wp:docPr id="32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U4/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qd1OP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8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702A829F" wp14:editId="29E1FB9C">
                      <wp:extent cx="180975" cy="180975"/>
                      <wp:effectExtent l="19050" t="0" r="0" b="28575"/>
                      <wp:docPr id="32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siZ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0S7Im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80"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78"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0364C9" w:rsidTr="0010673E">
        <w:trPr>
          <w:trHeight w:val="20"/>
          <w:jc w:val="center"/>
        </w:trPr>
        <w:tc>
          <w:tcPr>
            <w:tcW w:w="3587" w:type="dxa"/>
            <w:shd w:val="clear" w:color="auto" w:fill="FAFAFA"/>
            <w:vAlign w:val="center"/>
            <w:hideMark/>
          </w:tcPr>
          <w:p w:rsidR="00E31B19" w:rsidRPr="001A01AB" w:rsidRDefault="00E31B19" w:rsidP="007A5355">
            <w:pPr>
              <w:spacing w:before="40" w:after="20"/>
              <w:rPr>
                <w:rFonts w:ascii="Calibri" w:hAnsi="Calibri" w:cs="Calibri"/>
                <w:color w:val="000000"/>
                <w:sz w:val="22"/>
                <w:szCs w:val="22"/>
                <w:lang w:val="es-GT" w:eastAsia="es-GT"/>
              </w:rPr>
            </w:pPr>
            <w:r w:rsidRPr="001A01AB">
              <w:rPr>
                <w:rFonts w:ascii="Calibri" w:hAnsi="Calibri" w:cs="Calibri"/>
                <w:b/>
                <w:color w:val="365F91"/>
                <w:sz w:val="22"/>
                <w:szCs w:val="22"/>
                <w:lang w:val="es-GT" w:eastAsia="es-GT"/>
              </w:rPr>
              <w:t>OE.6. Vulnerabilidad y cambio climático</w:t>
            </w:r>
          </w:p>
        </w:tc>
        <w:tc>
          <w:tcPr>
            <w:tcW w:w="1179"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463"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239"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81"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80"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80"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178"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c>
          <w:tcPr>
            <w:tcW w:w="1332" w:type="dxa"/>
            <w:shd w:val="clear" w:color="auto" w:fill="FAFAFA"/>
            <w:vAlign w:val="center"/>
            <w:hideMark/>
          </w:tcPr>
          <w:p w:rsidR="00E31B19" w:rsidRPr="001A01AB" w:rsidRDefault="00E31B19" w:rsidP="007A5355">
            <w:pPr>
              <w:spacing w:before="20"/>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 </w:t>
            </w:r>
          </w:p>
        </w:tc>
      </w:tr>
      <w:tr w:rsidR="00E31B19" w:rsidRPr="00C870E7" w:rsidTr="0010673E">
        <w:trPr>
          <w:trHeight w:val="20"/>
          <w:jc w:val="center"/>
        </w:trPr>
        <w:tc>
          <w:tcPr>
            <w:tcW w:w="3587"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Planes de gestión de riesgo local</w:t>
            </w:r>
            <w:r w:rsidR="0010673E">
              <w:rPr>
                <w:rFonts w:ascii="Calibri" w:hAnsi="Calibri" w:cs="Calibri"/>
                <w:color w:val="000000"/>
                <w:sz w:val="22"/>
                <w:szCs w:val="22"/>
                <w:lang w:val="es-GT" w:eastAsia="es-GT"/>
              </w:rPr>
              <w:t>.</w:t>
            </w:r>
          </w:p>
        </w:tc>
        <w:tc>
          <w:tcPr>
            <w:tcW w:w="1179"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463"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239"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81"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180"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62F09192" wp14:editId="420D8074">
                      <wp:extent cx="180975" cy="180975"/>
                      <wp:effectExtent l="19050" t="0" r="0" b="28575"/>
                      <wp:docPr id="33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gEGAIAAEMEAAAOAAAAZHJzL2Uyb0RvYy54bWysU9tuGjEQfa/Uf7D8XvZC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AI&#10;HlgE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8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78"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1B05C9FE" wp14:editId="4822E5AC">
                      <wp:extent cx="180975" cy="180975"/>
                      <wp:effectExtent l="19050" t="0" r="0" b="28575"/>
                      <wp:docPr id="33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DB&#10;DaI0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332"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0673E">
        <w:trPr>
          <w:trHeight w:val="20"/>
          <w:jc w:val="center"/>
        </w:trPr>
        <w:tc>
          <w:tcPr>
            <w:tcW w:w="3587" w:type="dxa"/>
            <w:shd w:val="clear" w:color="auto" w:fill="FAFAFA"/>
            <w:vAlign w:val="center"/>
            <w:hideMark/>
          </w:tcPr>
          <w:p w:rsidR="00E31B19" w:rsidRPr="001A01AB" w:rsidRDefault="00E31B19" w:rsidP="007A5355">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Generación de información climática local</w:t>
            </w:r>
            <w:r w:rsidR="0010673E">
              <w:rPr>
                <w:rFonts w:ascii="Calibri" w:hAnsi="Calibri" w:cs="Calibri"/>
                <w:color w:val="000000"/>
                <w:sz w:val="22"/>
                <w:szCs w:val="22"/>
                <w:lang w:val="es-GT" w:eastAsia="es-GT"/>
              </w:rPr>
              <w:t>.</w:t>
            </w:r>
          </w:p>
        </w:tc>
        <w:tc>
          <w:tcPr>
            <w:tcW w:w="1179"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463"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5A7E9DA8" wp14:editId="46730F59">
                      <wp:extent cx="180975" cy="180975"/>
                      <wp:effectExtent l="19050" t="0" r="0" b="28575"/>
                      <wp:docPr id="34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4VNOF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239"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47209097" wp14:editId="4757C0BB">
                      <wp:extent cx="180975" cy="180975"/>
                      <wp:effectExtent l="19050" t="0" r="0" b="28575"/>
                      <wp:docPr id="34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maDIs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81"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0C89918A" wp14:editId="14A1192D">
                      <wp:extent cx="180975" cy="180975"/>
                      <wp:effectExtent l="19050" t="0" r="0" b="28575"/>
                      <wp:docPr id="34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" adj="11340" fillcolor="#8eb4e3" strokecolor="#4f81bd">
                      <w10:anchorlock/>
                    </v:shape>
                  </w:pict>
                </mc:Fallback>
              </mc:AlternateContent>
            </w:r>
          </w:p>
        </w:tc>
        <w:tc>
          <w:tcPr>
            <w:tcW w:w="1180"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0"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034F961D" wp14:editId="1F3E83F2">
                      <wp:extent cx="180975" cy="180975"/>
                      <wp:effectExtent l="19050" t="0" r="0" b="28575"/>
                      <wp:docPr id="34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Ao&#10;QLQl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78" w:type="dxa"/>
            <w:shd w:val="clear" w:color="auto" w:fill="FAFAFA"/>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3C58913D" wp14:editId="2CC8B617">
                      <wp:extent cx="180975" cy="180975"/>
                      <wp:effectExtent l="19050" t="0" r="0" b="28575"/>
                      <wp:docPr id="34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wpTG4h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332" w:type="dxa"/>
            <w:shd w:val="clear" w:color="auto" w:fill="FAFAFA"/>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A5355">
            <w:pPr>
              <w:spacing w:before="40" w:after="20"/>
              <w:rPr>
                <w:rFonts w:ascii="Calibri" w:hAnsi="Calibri" w:cs="Calibri"/>
                <w:color w:val="000000"/>
                <w:sz w:val="22"/>
                <w:szCs w:val="22"/>
                <w:lang w:eastAsia="es-GT"/>
              </w:rPr>
            </w:pPr>
            <w:r w:rsidRPr="001A01AB">
              <w:rPr>
                <w:rFonts w:ascii="Calibri" w:hAnsi="Calibri" w:cs="Calibri"/>
                <w:b/>
                <w:color w:val="365F91"/>
                <w:sz w:val="22"/>
                <w:szCs w:val="22"/>
                <w:lang w:eastAsia="es-GT"/>
              </w:rPr>
              <w:t>OE.7. Desarrollo institucional</w:t>
            </w:r>
          </w:p>
        </w:tc>
        <w:tc>
          <w:tcPr>
            <w:tcW w:w="1179"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463"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239"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1"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80"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178"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rPr>
                <w:rFonts w:ascii="Calibri" w:hAnsi="Calibri" w:cs="Calibri"/>
                <w:color w:val="000000"/>
                <w:sz w:val="22"/>
                <w:szCs w:val="22"/>
                <w:lang w:eastAsia="es-GT"/>
              </w:rPr>
            </w:pPr>
            <w:r w:rsidRPr="001A01AB">
              <w:rPr>
                <w:rFonts w:ascii="Calibri" w:hAnsi="Calibri" w:cs="Calibri"/>
                <w:color w:val="000000"/>
                <w:sz w:val="22"/>
                <w:szCs w:val="22"/>
                <w:lang w:eastAsia="es-GT"/>
              </w:rPr>
              <w:t> </w:t>
            </w:r>
          </w:p>
        </w:tc>
      </w:tr>
      <w:tr w:rsidR="00E31B19" w:rsidRPr="00C870E7" w:rsidTr="0010673E">
        <w:trPr>
          <w:trHeight w:val="20"/>
          <w:jc w:val="center"/>
        </w:trPr>
        <w:tc>
          <w:tcPr>
            <w:tcW w:w="3587" w:type="dxa"/>
            <w:shd w:val="clear" w:color="auto" w:fill="E7EDF5"/>
            <w:vAlign w:val="center"/>
            <w:hideMark/>
          </w:tcPr>
          <w:p w:rsidR="00E31B19" w:rsidRPr="001A01AB" w:rsidRDefault="00E31B19" w:rsidP="007C3972">
            <w:pPr>
              <w:spacing w:before="40" w:after="20"/>
              <w:ind w:left="288"/>
              <w:rPr>
                <w:rFonts w:ascii="Calibri" w:hAnsi="Calibri" w:cs="Calibri"/>
                <w:color w:val="000000"/>
                <w:sz w:val="22"/>
                <w:szCs w:val="22"/>
                <w:lang w:val="es-GT" w:eastAsia="es-GT"/>
              </w:rPr>
            </w:pPr>
            <w:r w:rsidRPr="001A01AB">
              <w:rPr>
                <w:rFonts w:ascii="Calibri" w:hAnsi="Calibri" w:cs="Calibri"/>
                <w:color w:val="000000"/>
                <w:sz w:val="22"/>
                <w:szCs w:val="22"/>
                <w:lang w:val="es-GT" w:eastAsia="es-GT"/>
              </w:rPr>
              <w:t>Promoción de la asocia</w:t>
            </w:r>
            <w:r w:rsidR="007C3972" w:rsidRPr="001A01AB">
              <w:rPr>
                <w:rFonts w:ascii="Calibri" w:hAnsi="Calibri" w:cs="Calibri"/>
                <w:color w:val="000000"/>
                <w:sz w:val="22"/>
                <w:szCs w:val="22"/>
                <w:lang w:val="es-GT" w:eastAsia="es-GT"/>
              </w:rPr>
              <w:t xml:space="preserve">ción </w:t>
            </w:r>
            <w:r w:rsidRPr="001A01AB">
              <w:rPr>
                <w:rFonts w:ascii="Calibri" w:hAnsi="Calibri" w:cs="Calibri"/>
                <w:color w:val="000000"/>
                <w:sz w:val="22"/>
                <w:szCs w:val="22"/>
                <w:lang w:val="es-GT" w:eastAsia="es-GT"/>
              </w:rPr>
              <w:t>de los pequeños y medianos productores rurales</w:t>
            </w:r>
            <w:r w:rsidR="0010673E">
              <w:rPr>
                <w:rFonts w:ascii="Calibri" w:hAnsi="Calibri" w:cs="Calibri"/>
                <w:color w:val="000000"/>
                <w:sz w:val="22"/>
                <w:szCs w:val="22"/>
                <w:lang w:val="es-GT" w:eastAsia="es-GT"/>
              </w:rPr>
              <w:t>.</w:t>
            </w:r>
          </w:p>
        </w:tc>
        <w:tc>
          <w:tcPr>
            <w:tcW w:w="1179"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val="es-GT" w:eastAsia="es-GT"/>
              </w:rPr>
            </w:pPr>
            <w:r w:rsidRPr="001A01AB">
              <w:rPr>
                <w:rFonts w:ascii="Calibri" w:hAnsi="Calibri" w:cs="Calibri"/>
                <w:b/>
                <w:bCs/>
                <w:color w:val="000000"/>
                <w:sz w:val="22"/>
                <w:szCs w:val="22"/>
                <w:lang w:val="es-GT" w:eastAsia="es-GT"/>
              </w:rPr>
              <w:t> </w:t>
            </w:r>
          </w:p>
        </w:tc>
        <w:tc>
          <w:tcPr>
            <w:tcW w:w="1463"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098CCB11" wp14:editId="7956FE93">
                      <wp:extent cx="180975" cy="180975"/>
                      <wp:effectExtent l="19050" t="0" r="0" b="28575"/>
                      <wp:docPr id="35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FZ/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G6RWfx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239"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1"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18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19713E79" wp14:editId="28765F2E">
                      <wp:extent cx="180975" cy="180975"/>
                      <wp:effectExtent l="19050" t="0" r="0" b="28575"/>
                      <wp:docPr id="35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" adj="11340" fillcolor="#8eb4e3" strokecolor="#4f81bd">
                      <w10:anchorlock/>
                    </v:shape>
                  </w:pict>
                </mc:Fallback>
              </mc:AlternateContent>
            </w:r>
          </w:p>
        </w:tc>
        <w:tc>
          <w:tcPr>
            <w:tcW w:w="1180" w:type="dxa"/>
            <w:shd w:val="clear" w:color="auto" w:fill="E7EDF5"/>
            <w:vAlign w:val="center"/>
            <w:hideMark/>
          </w:tcPr>
          <w:p w:rsidR="00E31B19" w:rsidRPr="001A01AB" w:rsidRDefault="00544A9F" w:rsidP="007A5355">
            <w:pPr>
              <w:spacing w:before="20"/>
              <w:jc w:val="center"/>
              <w:rPr>
                <w:rFonts w:ascii="Calibri" w:hAnsi="Calibri" w:cs="Calibri"/>
                <w:b/>
                <w:bCs/>
                <w:color w:val="000000"/>
                <w:sz w:val="22"/>
                <w:szCs w:val="22"/>
                <w:lang w:eastAsia="es-GT"/>
              </w:rPr>
            </w:pPr>
            <w:r>
              <w:rPr>
                <w:noProof/>
                <w:lang w:val="es-GT" w:eastAsia="es-GT"/>
              </w:rPr>
              <mc:AlternateContent>
                <mc:Choice Requires="wps">
                  <w:drawing>
                    <wp:inline distT="0" distB="0" distL="0" distR="0" wp14:anchorId="602E3C87" wp14:editId="68D4F88F">
                      <wp:extent cx="180975" cy="180975"/>
                      <wp:effectExtent l="19050" t="0" r="0" b="28575"/>
                      <wp:docPr id="36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Ab&#10;rL6p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78"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c>
          <w:tcPr>
            <w:tcW w:w="1332" w:type="dxa"/>
            <w:shd w:val="clear" w:color="auto" w:fill="E7EDF5"/>
            <w:vAlign w:val="center"/>
            <w:hideMark/>
          </w:tcPr>
          <w:p w:rsidR="00E31B19" w:rsidRPr="001A01AB" w:rsidRDefault="00E31B19" w:rsidP="007A5355">
            <w:pPr>
              <w:spacing w:before="20"/>
              <w:jc w:val="center"/>
              <w:rPr>
                <w:rFonts w:ascii="Calibri" w:hAnsi="Calibri" w:cs="Calibri"/>
                <w:b/>
                <w:bCs/>
                <w:color w:val="000000"/>
                <w:sz w:val="22"/>
                <w:szCs w:val="22"/>
                <w:lang w:eastAsia="es-GT"/>
              </w:rPr>
            </w:pPr>
            <w:r w:rsidRPr="001A01AB">
              <w:rPr>
                <w:rFonts w:ascii="Calibri" w:hAnsi="Calibri" w:cs="Calibri"/>
                <w:b/>
                <w:bCs/>
                <w:color w:val="000000"/>
                <w:sz w:val="22"/>
                <w:szCs w:val="22"/>
                <w:lang w:eastAsia="es-GT"/>
              </w:rPr>
              <w:t> </w:t>
            </w:r>
          </w:p>
        </w:tc>
      </w:tr>
      <w:tr w:rsidR="00E31B19" w:rsidRPr="00C870E7" w:rsidTr="0010673E">
        <w:trPr>
          <w:trHeight w:val="20"/>
          <w:jc w:val="center"/>
        </w:trPr>
        <w:tc>
          <w:tcPr>
            <w:tcW w:w="3587" w:type="dxa"/>
            <w:shd w:val="clear" w:color="auto" w:fill="E7EDF5"/>
            <w:vAlign w:val="center"/>
          </w:tcPr>
          <w:p w:rsidR="00E31B19" w:rsidRPr="001A01AB" w:rsidRDefault="0010673E" w:rsidP="007A5355">
            <w:pPr>
              <w:spacing w:before="40" w:after="20"/>
              <w:ind w:left="288"/>
              <w:rPr>
                <w:rFonts w:ascii="Calibri" w:hAnsi="Calibri" w:cs="Calibri"/>
                <w:color w:val="000000"/>
                <w:sz w:val="22"/>
                <w:szCs w:val="22"/>
                <w:lang w:val="es-GT" w:eastAsia="es-GT"/>
              </w:rPr>
            </w:pPr>
            <w:r>
              <w:rPr>
                <w:rFonts w:ascii="Calibri" w:hAnsi="Calibri" w:cs="Calibri"/>
                <w:color w:val="000000"/>
                <w:sz w:val="22"/>
                <w:szCs w:val="22"/>
                <w:lang w:val="es-GT" w:eastAsia="es-GT"/>
              </w:rPr>
              <w:t>Impulso al diá</w:t>
            </w:r>
            <w:r w:rsidR="00E31B19" w:rsidRPr="001A01AB">
              <w:rPr>
                <w:rFonts w:ascii="Calibri" w:hAnsi="Calibri" w:cs="Calibri"/>
                <w:color w:val="000000"/>
                <w:sz w:val="22"/>
                <w:szCs w:val="22"/>
                <w:lang w:val="es-GT" w:eastAsia="es-GT"/>
              </w:rPr>
              <w:t xml:space="preserve">logo sectorial y de </w:t>
            </w:r>
            <w:r w:rsidR="00E31B19" w:rsidRPr="001A01AB">
              <w:rPr>
                <w:rFonts w:ascii="Calibri" w:hAnsi="Calibri" w:cs="Calibri"/>
                <w:color w:val="000000"/>
                <w:sz w:val="22"/>
                <w:szCs w:val="22"/>
                <w:lang w:val="es-GT" w:eastAsia="es-GT"/>
              </w:rPr>
              <w:lastRenderedPageBreak/>
              <w:t>políticas de los recursos hídricos</w:t>
            </w:r>
            <w:r>
              <w:rPr>
                <w:rFonts w:ascii="Calibri" w:hAnsi="Calibri" w:cs="Calibri"/>
                <w:color w:val="000000"/>
                <w:sz w:val="22"/>
                <w:szCs w:val="22"/>
                <w:lang w:val="es-GT" w:eastAsia="es-GT"/>
              </w:rPr>
              <w:t>.</w:t>
            </w:r>
          </w:p>
        </w:tc>
        <w:tc>
          <w:tcPr>
            <w:tcW w:w="1179" w:type="dxa"/>
            <w:shd w:val="clear" w:color="auto" w:fill="E7EDF5"/>
            <w:vAlign w:val="center"/>
          </w:tcPr>
          <w:p w:rsidR="00E31B19" w:rsidRPr="001A01AB" w:rsidRDefault="00E31B19" w:rsidP="007A5355">
            <w:pPr>
              <w:spacing w:before="20"/>
              <w:jc w:val="center"/>
              <w:rPr>
                <w:rFonts w:ascii="Calibri" w:hAnsi="Calibri" w:cs="Calibri"/>
                <w:b/>
                <w:bCs/>
                <w:color w:val="000000"/>
                <w:sz w:val="22"/>
                <w:szCs w:val="22"/>
                <w:lang w:val="es-GT" w:eastAsia="es-GT"/>
              </w:rPr>
            </w:pPr>
          </w:p>
        </w:tc>
        <w:tc>
          <w:tcPr>
            <w:tcW w:w="1463" w:type="dxa"/>
            <w:shd w:val="clear" w:color="auto" w:fill="E7EDF5"/>
            <w:vAlign w:val="center"/>
          </w:tcPr>
          <w:p w:rsidR="00E31B19" w:rsidRPr="001A01AB" w:rsidRDefault="00544A9F" w:rsidP="007A5355">
            <w:pPr>
              <w:spacing w:before="20"/>
              <w:jc w:val="center"/>
              <w:rPr>
                <w:rFonts w:ascii="Calibri" w:hAnsi="Calibri" w:cs="Calibri"/>
                <w:b/>
                <w:bCs/>
                <w:noProof/>
                <w:color w:val="000000"/>
                <w:sz w:val="22"/>
                <w:szCs w:val="22"/>
                <w:lang w:val="es-GT" w:eastAsia="es-GT"/>
              </w:rPr>
            </w:pPr>
            <w:r>
              <w:rPr>
                <w:noProof/>
                <w:lang w:val="es-GT" w:eastAsia="es-GT"/>
              </w:rPr>
              <mc:AlternateContent>
                <mc:Choice Requires="wps">
                  <w:drawing>
                    <wp:inline distT="0" distB="0" distL="0" distR="0" wp14:anchorId="1DCBC42A" wp14:editId="2D3146E4">
                      <wp:extent cx="180975" cy="180975"/>
                      <wp:effectExtent l="19050" t="0" r="0" b="28575"/>
                      <wp:docPr id="14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A/&#10;fxK/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239" w:type="dxa"/>
            <w:shd w:val="clear" w:color="auto" w:fill="E7EDF5"/>
            <w:vAlign w:val="center"/>
          </w:tcPr>
          <w:p w:rsidR="00E31B19" w:rsidRPr="001A01AB" w:rsidRDefault="00E31B19" w:rsidP="007A5355">
            <w:pPr>
              <w:spacing w:before="20"/>
              <w:jc w:val="center"/>
              <w:rPr>
                <w:rFonts w:ascii="Calibri" w:hAnsi="Calibri" w:cs="Calibri"/>
                <w:b/>
                <w:bCs/>
                <w:color w:val="000000"/>
                <w:sz w:val="22"/>
                <w:szCs w:val="22"/>
                <w:lang w:val="es-GT" w:eastAsia="es-GT"/>
              </w:rPr>
            </w:pPr>
          </w:p>
        </w:tc>
        <w:tc>
          <w:tcPr>
            <w:tcW w:w="1181" w:type="dxa"/>
            <w:shd w:val="clear" w:color="auto" w:fill="E7EDF5"/>
            <w:vAlign w:val="center"/>
          </w:tcPr>
          <w:p w:rsidR="00E31B19" w:rsidRPr="001A01AB" w:rsidRDefault="00E31B19" w:rsidP="007A5355">
            <w:pPr>
              <w:spacing w:before="20"/>
              <w:jc w:val="center"/>
              <w:rPr>
                <w:rFonts w:ascii="Calibri" w:hAnsi="Calibri" w:cs="Calibri"/>
                <w:b/>
                <w:bCs/>
                <w:color w:val="000000"/>
                <w:sz w:val="22"/>
                <w:szCs w:val="22"/>
                <w:lang w:val="es-GT" w:eastAsia="es-GT"/>
              </w:rPr>
            </w:pPr>
          </w:p>
        </w:tc>
        <w:tc>
          <w:tcPr>
            <w:tcW w:w="1180" w:type="dxa"/>
            <w:shd w:val="clear" w:color="auto" w:fill="E7EDF5"/>
            <w:vAlign w:val="center"/>
          </w:tcPr>
          <w:p w:rsidR="00E31B19" w:rsidRPr="001A01AB" w:rsidRDefault="00E31B19" w:rsidP="007A5355">
            <w:pPr>
              <w:spacing w:before="20"/>
              <w:jc w:val="center"/>
              <w:rPr>
                <w:rFonts w:ascii="Calibri" w:hAnsi="Calibri" w:cs="Calibri"/>
                <w:b/>
                <w:bCs/>
                <w:noProof/>
                <w:color w:val="000000"/>
                <w:sz w:val="22"/>
                <w:szCs w:val="22"/>
                <w:lang w:val="es-GT" w:eastAsia="es-GT"/>
              </w:rPr>
            </w:pPr>
          </w:p>
        </w:tc>
        <w:tc>
          <w:tcPr>
            <w:tcW w:w="1180" w:type="dxa"/>
            <w:shd w:val="clear" w:color="auto" w:fill="E7EDF5"/>
            <w:vAlign w:val="center"/>
          </w:tcPr>
          <w:p w:rsidR="00E31B19" w:rsidRPr="001A01AB" w:rsidRDefault="00544A9F" w:rsidP="007A5355">
            <w:pPr>
              <w:spacing w:before="20"/>
              <w:jc w:val="center"/>
              <w:rPr>
                <w:rFonts w:ascii="Calibri" w:hAnsi="Calibri" w:cs="Calibri"/>
                <w:b/>
                <w:bCs/>
                <w:noProof/>
                <w:color w:val="000000"/>
                <w:sz w:val="22"/>
                <w:szCs w:val="22"/>
                <w:lang w:val="es-GT" w:eastAsia="es-GT"/>
              </w:rPr>
            </w:pPr>
            <w:r>
              <w:rPr>
                <w:noProof/>
                <w:lang w:val="es-GT" w:eastAsia="es-GT"/>
              </w:rPr>
              <mc:AlternateContent>
                <mc:Choice Requires="wps">
                  <w:drawing>
                    <wp:inline distT="0" distB="0" distL="0" distR="0" wp14:anchorId="5679652E" wp14:editId="0A2B7313">
                      <wp:extent cx="180975" cy="180975"/>
                      <wp:effectExtent l="19050" t="0" r="0" b="28575"/>
                      <wp:docPr id="14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" adj="11340" fillcolor="#8eb4e3" strokecolor="#4f81bd">
                      <w10:anchorlock/>
                    </v:shape>
                  </w:pict>
                </mc:Fallback>
              </mc:AlternateContent>
            </w:r>
          </w:p>
        </w:tc>
        <w:tc>
          <w:tcPr>
            <w:tcW w:w="1178" w:type="dxa"/>
            <w:shd w:val="clear" w:color="auto" w:fill="E7EDF5"/>
            <w:vAlign w:val="center"/>
          </w:tcPr>
          <w:p w:rsidR="00E31B19" w:rsidRPr="001A01AB" w:rsidRDefault="00544A9F" w:rsidP="007A5355">
            <w:pPr>
              <w:spacing w:before="20"/>
              <w:jc w:val="center"/>
              <w:rPr>
                <w:rFonts w:ascii="Calibri" w:hAnsi="Calibri" w:cs="Calibri"/>
                <w:b/>
                <w:bCs/>
                <w:color w:val="000000"/>
                <w:sz w:val="22"/>
                <w:szCs w:val="22"/>
                <w:lang w:val="es-GT" w:eastAsia="es-GT"/>
              </w:rPr>
            </w:pPr>
            <w:r>
              <w:rPr>
                <w:noProof/>
                <w:lang w:val="es-GT" w:eastAsia="es-GT"/>
              </w:rPr>
              <mc:AlternateContent>
                <mc:Choice Requires="wps">
                  <w:drawing>
                    <wp:inline distT="0" distB="0" distL="0" distR="0" wp14:anchorId="3FEA5FD1" wp14:editId="1D6AAC72">
                      <wp:extent cx="180975" cy="180975"/>
                      <wp:effectExtent l="19050" t="0" r="0" b="28575"/>
                      <wp:docPr id="14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180975" cy="180975"/>
                              </a:xfrm>
                              <a:prstGeom prst="upArrow">
                                <a:avLst>
                                  <a:gd name="adj1" fmla="val 50000"/>
                                  <a:gd name="adj2" fmla="val 52500"/>
                                </a:avLst>
                              </a:prstGeom>
                              <a:solidFill>
                                <a:srgbClr val="1F497D">
                                  <a:lumMod val="40000"/>
                                  <a:lumOff val="60000"/>
                                </a:srgbClr>
                              </a:solidFill>
                              <a:ln w="9525">
                                <a:solidFill>
                                  <a:srgbClr val="4F81BD"/>
                                </a:solidFill>
                                <a:miter lim="800000"/>
                                <a:headEnd/>
                                <a:tailEnd/>
                              </a:ln>
                            </wps:spPr>
                            <wps:bodyPr/>
                          </wps:wsp>
                        </a:graphicData>
                      </a:graphic>
                    </wp:inline>
                  </w:drawing>
                </mc:Choice>
                <mc:Fallback>
                  <w:pict>
                    <v:shape id="AutoShape 3" o:spid="_x0000_s1026" type="#_x0000_t68" style="width:14.25pt;height:14.25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" adj="11340" fillcolor="#8eb4e3" strokecolor="#4f81bd">
                      <w10:anchorlock/>
                    </v:shape>
                  </w:pict>
                </mc:Fallback>
              </mc:AlternateContent>
            </w:r>
          </w:p>
        </w:tc>
        <w:tc>
          <w:tcPr>
            <w:tcW w:w="1332" w:type="dxa"/>
            <w:shd w:val="clear" w:color="auto" w:fill="E7EDF5"/>
            <w:vAlign w:val="center"/>
          </w:tcPr>
          <w:p w:rsidR="00E31B19" w:rsidRPr="001A01AB" w:rsidRDefault="00E31B19" w:rsidP="007A5355">
            <w:pPr>
              <w:spacing w:before="20"/>
              <w:jc w:val="center"/>
              <w:rPr>
                <w:rFonts w:ascii="Calibri" w:hAnsi="Calibri" w:cs="Calibri"/>
                <w:b/>
                <w:bCs/>
                <w:color w:val="000000"/>
                <w:sz w:val="22"/>
                <w:szCs w:val="22"/>
                <w:lang w:val="es-GT" w:eastAsia="es-GT"/>
              </w:rPr>
            </w:pPr>
          </w:p>
        </w:tc>
      </w:tr>
    </w:tbl>
    <w:p w:rsidR="00E31B19" w:rsidRPr="001A01AB" w:rsidRDefault="00B850BA" w:rsidP="007C3972">
      <w:pPr>
        <w:jc w:val="right"/>
        <w:rPr>
          <w:rFonts w:ascii="Calibri" w:hAnsi="Calibri" w:cs="Calibri"/>
          <w:lang w:val="es-GT"/>
        </w:rPr>
      </w:pPr>
      <w:r>
        <w:rPr>
          <w:rFonts w:ascii="Calibri" w:hAnsi="Calibri" w:cs="Calibri"/>
          <w:sz w:val="20"/>
          <w:lang w:val="es-GT"/>
        </w:rPr>
        <w:lastRenderedPageBreak/>
        <w:t>Fuente: E</w:t>
      </w:r>
      <w:r w:rsidR="00E31B19" w:rsidRPr="001A01AB">
        <w:rPr>
          <w:rFonts w:ascii="Calibri" w:hAnsi="Calibri" w:cs="Calibri"/>
          <w:sz w:val="20"/>
          <w:lang w:val="es-GT"/>
        </w:rPr>
        <w:t>laboración propia.</w:t>
      </w:r>
    </w:p>
    <w:p w:rsidR="00E31B19" w:rsidRPr="001A01AB" w:rsidRDefault="00E31B19" w:rsidP="00E31B19">
      <w:pPr>
        <w:jc w:val="both"/>
        <w:rPr>
          <w:rFonts w:ascii="Calibri" w:hAnsi="Calibri" w:cs="Calibri"/>
          <w:lang w:val="es-GT"/>
        </w:rPr>
        <w:sectPr w:rsidR="00E31B19" w:rsidRPr="001A01AB" w:rsidSect="007A5355">
          <w:pgSz w:w="15840" w:h="12240" w:orient="landscape" w:code="1"/>
          <w:pgMar w:top="1440" w:right="1440" w:bottom="1152" w:left="1440" w:header="720" w:footer="720" w:gutter="0"/>
          <w:cols w:space="720"/>
          <w:docGrid w:linePitch="360"/>
        </w:sectPr>
      </w:pPr>
    </w:p>
    <w:p w:rsidR="00E31B19" w:rsidRPr="001A01AB" w:rsidRDefault="00E31B19" w:rsidP="00E31B19">
      <w:pPr>
        <w:jc w:val="both"/>
        <w:rPr>
          <w:rFonts w:ascii="Calibri" w:hAnsi="Calibri" w:cs="Calibri"/>
          <w:lang w:val="es-GT"/>
        </w:rPr>
      </w:pPr>
      <w:r w:rsidRPr="001A01AB">
        <w:rPr>
          <w:rFonts w:ascii="Calibri" w:hAnsi="Calibri" w:cs="Calibri"/>
          <w:lang w:val="es-GT"/>
        </w:rPr>
        <w:lastRenderedPageBreak/>
        <w:t>Con este análisis, se procedió a realizar una evaluación detallada para cada una de las Opciones Estratégicas seleccionadas</w:t>
      </w:r>
      <w:r w:rsidR="0010673E">
        <w:rPr>
          <w:rFonts w:ascii="Calibri" w:hAnsi="Calibri" w:cs="Calibri"/>
          <w:lang w:val="es-GT"/>
        </w:rPr>
        <w:t xml:space="preserve">, las cuales </w:t>
      </w:r>
      <w:r w:rsidRPr="001A01AB">
        <w:rPr>
          <w:rFonts w:ascii="Calibri" w:hAnsi="Calibri" w:cs="Calibri"/>
          <w:lang w:val="es-GT"/>
        </w:rPr>
        <w:t>se presentan a continuación.</w:t>
      </w:r>
    </w:p>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1.1: B</w:t>
            </w:r>
            <w:r w:rsidR="00B850BA" w:rsidRPr="001A01AB">
              <w:rPr>
                <w:rFonts w:ascii="Calibri" w:hAnsi="Calibri" w:cs="Calibri"/>
                <w:b/>
                <w:color w:val="365F91"/>
                <w:sz w:val="22"/>
                <w:szCs w:val="22"/>
                <w:lang w:val="es-GT"/>
              </w:rPr>
              <w:t>osques</w:t>
            </w:r>
            <w:r w:rsidRPr="001A01AB">
              <w:rPr>
                <w:rFonts w:ascii="Calibri" w:hAnsi="Calibri" w:cs="Calibri"/>
                <w:b/>
                <w:color w:val="365F91"/>
                <w:sz w:val="22"/>
                <w:szCs w:val="22"/>
                <w:lang w:val="es-GT"/>
              </w:rPr>
              <w:t xml:space="preserve"> – Fomento del </w:t>
            </w:r>
            <w:r w:rsidR="00B850BA" w:rsidRPr="001A01AB">
              <w:rPr>
                <w:rFonts w:ascii="Calibri" w:hAnsi="Calibri" w:cs="Calibri"/>
                <w:b/>
                <w:color w:val="365F91"/>
                <w:sz w:val="22"/>
                <w:szCs w:val="22"/>
                <w:lang w:val="es-GT"/>
              </w:rPr>
              <w:t>manejo forestal sostenible</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B850BA"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Fomentar el manejo forestal sostenible de pequeños y medianos remanentes forestales, como actividad económica generadora de ingreso,</w:t>
            </w:r>
            <w:r w:rsidR="00141A70">
              <w:rPr>
                <w:rFonts w:ascii="Calibri" w:hAnsi="Calibri" w:cs="Calibri"/>
                <w:sz w:val="22"/>
                <w:szCs w:val="22"/>
                <w:lang w:val="es-GT"/>
              </w:rPr>
              <w:t xml:space="preserve"> </w:t>
            </w:r>
            <w:r w:rsidRPr="001A01AB">
              <w:rPr>
                <w:rFonts w:ascii="Calibri" w:hAnsi="Calibri" w:cs="Calibri"/>
                <w:sz w:val="22"/>
                <w:szCs w:val="22"/>
                <w:lang w:val="es-GT"/>
              </w:rPr>
              <w:t>amigable con el ambiente. Para ello, se pueden crear mecanismos de incentivos enfocados en pequeños productores excedentarios y grupos comunitarios.</w:t>
            </w:r>
          </w:p>
          <w:p w:rsidR="00E31B19" w:rsidRPr="001A01AB" w:rsidRDefault="00E31B19" w:rsidP="0010673E">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Se debe </w:t>
            </w:r>
            <w:r w:rsidR="0010673E">
              <w:rPr>
                <w:rFonts w:ascii="Calibri" w:hAnsi="Calibri" w:cs="Calibri"/>
                <w:sz w:val="22"/>
                <w:szCs w:val="22"/>
                <w:lang w:val="es-GT"/>
              </w:rPr>
              <w:t>tomar en cuenta</w:t>
            </w:r>
            <w:r w:rsidRPr="001A01AB">
              <w:rPr>
                <w:rFonts w:ascii="Calibri" w:hAnsi="Calibri" w:cs="Calibri"/>
                <w:sz w:val="22"/>
                <w:szCs w:val="22"/>
                <w:lang w:val="es-GT"/>
              </w:rPr>
              <w:t xml:space="preserve"> que el Estado posee incentivos económicos </w:t>
            </w:r>
            <w:r w:rsidR="0010673E">
              <w:rPr>
                <w:rFonts w:ascii="Calibri" w:hAnsi="Calibri" w:cs="Calibri"/>
                <w:sz w:val="22"/>
                <w:szCs w:val="22"/>
                <w:lang w:val="es-GT"/>
              </w:rPr>
              <w:t>para esta actividad. S</w:t>
            </w:r>
            <w:r w:rsidRPr="001A01AB">
              <w:rPr>
                <w:rFonts w:ascii="Calibri" w:hAnsi="Calibri" w:cs="Calibri"/>
                <w:sz w:val="22"/>
                <w:szCs w:val="22"/>
                <w:lang w:val="es-GT"/>
              </w:rPr>
              <w:t>e debe</w:t>
            </w:r>
            <w:r w:rsidR="0010673E">
              <w:rPr>
                <w:rFonts w:ascii="Calibri" w:hAnsi="Calibri" w:cs="Calibri"/>
                <w:sz w:val="22"/>
                <w:szCs w:val="22"/>
                <w:lang w:val="es-GT"/>
              </w:rPr>
              <w:t>n</w:t>
            </w:r>
            <w:r w:rsidRPr="001A01AB">
              <w:rPr>
                <w:rFonts w:ascii="Calibri" w:hAnsi="Calibri" w:cs="Calibri"/>
                <w:sz w:val="22"/>
                <w:szCs w:val="22"/>
                <w:lang w:val="es-GT"/>
              </w:rPr>
              <w:t xml:space="preserve"> considerar acciones para dinamizar su demanda y adopción.</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Todo el territorio nacional, con énfasis en los frentes de deforestación ubicados en Petén, la región de las Verapaces e Izabal</w:t>
            </w:r>
            <w:r w:rsidR="0010673E">
              <w:rPr>
                <w:rFonts w:ascii="Calibri" w:hAnsi="Calibri" w:cs="Calibri"/>
                <w:sz w:val="22"/>
                <w:szCs w:val="22"/>
                <w:lang w:val="es-GT"/>
              </w:rPr>
              <w:t>,</w:t>
            </w:r>
            <w:r w:rsidRPr="001A01AB">
              <w:rPr>
                <w:rFonts w:ascii="Calibri" w:hAnsi="Calibri" w:cs="Calibri"/>
                <w:sz w:val="22"/>
                <w:szCs w:val="22"/>
                <w:lang w:val="es-GT"/>
              </w:rPr>
              <w:t xml:space="preserve"> y en las tierras forestales de alta y media importancia para la captación y regulación hidrológica, principalmente en el Altiplano guatemalteco.</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 de la intervención del FIDA en Guatemala</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El manejo forestal sostenible, apalancado por un mecanismo de incentivos, ha demostrado tener el potencial de convertirse en un medio sostenible de generación de ingresos para comunidades rurales y productores excedentarios, como lo demuestran las experiencias de los programas PINFOR, PINPEP y</w:t>
            </w:r>
            <w:r w:rsidR="0010673E">
              <w:rPr>
                <w:rFonts w:ascii="Calibri" w:hAnsi="Calibri" w:cs="Calibri"/>
                <w:sz w:val="22"/>
                <w:szCs w:val="22"/>
                <w:lang w:val="es-GT"/>
              </w:rPr>
              <w:t xml:space="preserve"> </w:t>
            </w:r>
            <w:r w:rsidR="0010673E" w:rsidRPr="0010673E">
              <w:rPr>
                <w:rFonts w:ascii="Calibri" w:hAnsi="Calibri" w:cs="Calibri"/>
                <w:sz w:val="22"/>
                <w:szCs w:val="22"/>
                <w:lang w:val="es-GT"/>
              </w:rPr>
              <w:t>Programa Piloto de Apoyos Forestales Directos</w:t>
            </w:r>
            <w:r w:rsidRPr="001A01AB">
              <w:rPr>
                <w:rFonts w:ascii="Calibri" w:hAnsi="Calibri" w:cs="Calibri"/>
                <w:sz w:val="22"/>
                <w:szCs w:val="22"/>
                <w:lang w:val="es-GT"/>
              </w:rPr>
              <w:t xml:space="preserve"> </w:t>
            </w:r>
            <w:r w:rsidR="00A215C0">
              <w:rPr>
                <w:rFonts w:ascii="Calibri" w:hAnsi="Calibri" w:cs="Calibri"/>
                <w:sz w:val="22"/>
                <w:szCs w:val="22"/>
                <w:lang w:val="es-GT"/>
              </w:rPr>
              <w:t>(</w:t>
            </w:r>
            <w:r w:rsidRPr="001A01AB">
              <w:rPr>
                <w:rFonts w:ascii="Calibri" w:hAnsi="Calibri" w:cs="Calibri"/>
                <w:sz w:val="22"/>
                <w:szCs w:val="22"/>
                <w:lang w:val="es-GT"/>
              </w:rPr>
              <w:t>PPAFD</w:t>
            </w:r>
            <w:r w:rsidR="00A215C0">
              <w:rPr>
                <w:rFonts w:ascii="Calibri" w:hAnsi="Calibri" w:cs="Calibri"/>
                <w:sz w:val="22"/>
                <w:szCs w:val="22"/>
                <w:lang w:val="es-GT"/>
              </w:rPr>
              <w:t>)</w:t>
            </w:r>
            <w:r w:rsidRPr="001A01AB">
              <w:rPr>
                <w:rFonts w:ascii="Calibri" w:hAnsi="Calibri" w:cs="Calibri"/>
                <w:sz w:val="22"/>
                <w:szCs w:val="22"/>
                <w:lang w:val="es-GT"/>
              </w:rPr>
              <w:t>.</w:t>
            </w:r>
            <w:r w:rsidR="00141A70">
              <w:rPr>
                <w:rFonts w:ascii="Calibri" w:hAnsi="Calibri" w:cs="Calibri"/>
                <w:sz w:val="22"/>
                <w:szCs w:val="22"/>
                <w:lang w:val="es-GT"/>
              </w:rPr>
              <w:t xml:space="preserve"> </w:t>
            </w:r>
          </w:p>
          <w:p w:rsidR="00B850BA" w:rsidRPr="001A01AB" w:rsidRDefault="00B850BA" w:rsidP="001A01AB">
            <w:pPr>
              <w:spacing w:before="40" w:after="40"/>
              <w:ind w:left="237"/>
              <w:jc w:val="both"/>
              <w:rPr>
                <w:rFonts w:ascii="Calibri" w:hAnsi="Calibri" w:cs="Calibri"/>
                <w:sz w:val="22"/>
                <w:szCs w:val="22"/>
                <w:lang w:val="es-GT"/>
              </w:rPr>
            </w:pPr>
          </w:p>
          <w:p w:rsidR="00E31B19"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Los productos forestales maderables y no maderables producidos mediante manejo sostenible tienen el potencial de satisfacer el mercado nacional existente.</w:t>
            </w:r>
            <w:r w:rsidR="00141A70">
              <w:rPr>
                <w:rFonts w:ascii="Calibri" w:hAnsi="Calibri" w:cs="Calibri"/>
                <w:sz w:val="22"/>
                <w:szCs w:val="22"/>
                <w:lang w:val="es-GT"/>
              </w:rPr>
              <w:t xml:space="preserve"> </w:t>
            </w:r>
            <w:r w:rsidRPr="001A01AB">
              <w:rPr>
                <w:rFonts w:ascii="Calibri" w:hAnsi="Calibri" w:cs="Calibri"/>
                <w:sz w:val="22"/>
                <w:szCs w:val="22"/>
                <w:lang w:val="es-GT"/>
              </w:rPr>
              <w:t xml:space="preserve">Así mismo, esta actividad puede generar oportunidades de empleo temporal en las áreas rurales, pudiendo beneficiar a productores agrícolas de subsistencia e infrasubsistencia. </w:t>
            </w:r>
          </w:p>
          <w:p w:rsidR="004E6953" w:rsidRPr="001A01AB" w:rsidRDefault="004E6953" w:rsidP="001A01AB">
            <w:pPr>
              <w:spacing w:before="40" w:after="40"/>
              <w:ind w:left="237"/>
              <w:jc w:val="both"/>
              <w:rPr>
                <w:rFonts w:ascii="Calibri" w:hAnsi="Calibri" w:cs="Calibri"/>
                <w:b/>
                <w:i/>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w:t>
            </w:r>
            <w:r w:rsidR="00A215C0">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A215C0" w:rsidP="001A01AB">
            <w:pPr>
              <w:spacing w:before="40" w:after="40"/>
              <w:ind w:left="237"/>
              <w:jc w:val="both"/>
              <w:rPr>
                <w:rFonts w:ascii="Calibri" w:hAnsi="Calibri" w:cs="Calibri"/>
                <w:sz w:val="22"/>
                <w:szCs w:val="22"/>
                <w:lang w:val="es-GT"/>
              </w:rPr>
            </w:pPr>
            <w:r>
              <w:rPr>
                <w:rFonts w:ascii="Calibri" w:hAnsi="Calibri" w:cs="Calibri"/>
                <w:sz w:val="22"/>
                <w:szCs w:val="22"/>
                <w:lang w:val="es-GT"/>
              </w:rPr>
              <w:t>El impulso de</w:t>
            </w:r>
            <w:r w:rsidR="00E31B19" w:rsidRPr="001A01AB">
              <w:rPr>
                <w:rFonts w:ascii="Calibri" w:hAnsi="Calibri" w:cs="Calibri"/>
                <w:sz w:val="22"/>
                <w:szCs w:val="22"/>
                <w:lang w:val="es-GT"/>
              </w:rPr>
              <w:t>l manejo forestal comunitario puede contribuir al fortalecimiento y consolidación del capital social en las comunidades rurales.</w:t>
            </w:r>
          </w:p>
          <w:p w:rsidR="00E31B19"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El aumento de la cobertura forestal es una oportunidad para la mejora general de las condiciones ambientales del territorio.</w:t>
            </w:r>
          </w:p>
          <w:p w:rsidR="004E6953" w:rsidRPr="001A01AB" w:rsidRDefault="004E6953" w:rsidP="001A01AB">
            <w:pPr>
              <w:spacing w:before="40" w:after="40"/>
              <w:ind w:left="237"/>
              <w:jc w:val="both"/>
              <w:rPr>
                <w:rFonts w:ascii="Calibri" w:hAnsi="Calibri" w:cs="Calibri"/>
                <w:sz w:val="22"/>
                <w:szCs w:val="22"/>
                <w:lang w:val="es-GT"/>
              </w:rPr>
            </w:pPr>
          </w:p>
        </w:tc>
      </w:tr>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 xml:space="preserve">Contribuir a disminuir las tasas de deforestación en los frentes de deforestación y en las tierras forestales de importancia para la captación y regulación hidrológica. </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Reducir la extracción ilícita de productos forestales, incluyendo la leña.</w:t>
            </w:r>
          </w:p>
          <w:p w:rsidR="00E31B19" w:rsidRPr="001A01AB" w:rsidRDefault="00E31B19" w:rsidP="00A215C0">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En términos de mitigación del cambio climático, contribu</w:t>
            </w:r>
            <w:r w:rsidR="00A215C0">
              <w:rPr>
                <w:rFonts w:ascii="Calibri" w:hAnsi="Calibri" w:cs="Calibri"/>
                <w:sz w:val="22"/>
                <w:szCs w:val="22"/>
                <w:lang w:val="es-GT"/>
              </w:rPr>
              <w:t>ir</w:t>
            </w:r>
            <w:r w:rsidRPr="001A01AB">
              <w:rPr>
                <w:rFonts w:ascii="Calibri" w:hAnsi="Calibri" w:cs="Calibri"/>
                <w:sz w:val="22"/>
                <w:szCs w:val="22"/>
                <w:lang w:val="es-GT"/>
              </w:rPr>
              <w:t xml:space="preserve"> a mantener e incluso aumentar las reservas de carbono forestal, lo que representa una oportunidad importante, tomando en cuenta </w:t>
            </w:r>
            <w:r w:rsidRPr="001A01AB">
              <w:rPr>
                <w:rFonts w:ascii="Calibri" w:hAnsi="Calibri" w:cs="Calibri"/>
                <w:sz w:val="22"/>
                <w:szCs w:val="22"/>
                <w:lang w:val="es-GT"/>
              </w:rPr>
              <w:lastRenderedPageBreak/>
              <w:t>que cerca del 50% de las emisiones de GEI provienen de cambios en el uso de la tierra.</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Aumento de la conflictividad social debida al aprovechamiento de productos forestales.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 xml:space="preserve">Prácticas inadecuadas de manejo forestal pueden contribuir a la degradación ambiental. </w:t>
            </w:r>
          </w:p>
          <w:p w:rsidR="00E31B19" w:rsidRPr="001A01AB" w:rsidRDefault="009542FC" w:rsidP="001A01AB">
            <w:pPr>
              <w:numPr>
                <w:ilvl w:val="0"/>
                <w:numId w:val="29"/>
              </w:numPr>
              <w:spacing w:before="40" w:after="40"/>
              <w:ind w:left="432" w:hanging="144"/>
              <w:jc w:val="both"/>
              <w:rPr>
                <w:rFonts w:ascii="Calibri" w:hAnsi="Calibri" w:cs="Calibri"/>
                <w:b/>
                <w:sz w:val="22"/>
                <w:szCs w:val="22"/>
                <w:lang w:val="es-GT"/>
              </w:rPr>
            </w:pPr>
            <w:r>
              <w:rPr>
                <w:rFonts w:ascii="Calibri" w:hAnsi="Calibri" w:cs="Calibri"/>
                <w:sz w:val="22"/>
                <w:szCs w:val="22"/>
                <w:lang w:val="es-GT"/>
              </w:rPr>
              <w:t>Promoción de</w:t>
            </w:r>
            <w:r w:rsidR="00E31B19" w:rsidRPr="001A01AB">
              <w:rPr>
                <w:rFonts w:ascii="Calibri" w:hAnsi="Calibri" w:cs="Calibri"/>
                <w:sz w:val="22"/>
                <w:szCs w:val="22"/>
                <w:lang w:val="es-GT"/>
              </w:rPr>
              <w:t xml:space="preserve"> la transformación de bosques naturales a plantaciones forestales, afectando la biodiversidad local y la generación de servicios ecosistémicos.</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1.2: B</w:t>
            </w:r>
            <w:r w:rsidR="00B850BA" w:rsidRPr="001A01AB">
              <w:rPr>
                <w:rFonts w:ascii="Calibri" w:hAnsi="Calibri" w:cs="Calibri"/>
                <w:b/>
                <w:color w:val="365F91"/>
                <w:sz w:val="22"/>
                <w:szCs w:val="22"/>
                <w:lang w:val="es-GT"/>
              </w:rPr>
              <w:t>osques</w:t>
            </w:r>
            <w:r w:rsidRPr="001A01AB">
              <w:rPr>
                <w:rFonts w:ascii="Calibri" w:hAnsi="Calibri" w:cs="Calibri"/>
                <w:b/>
                <w:color w:val="365F91"/>
                <w:sz w:val="22"/>
                <w:szCs w:val="22"/>
                <w:lang w:val="es-GT"/>
              </w:rPr>
              <w:t xml:space="preserve"> – Promoción de la </w:t>
            </w:r>
            <w:r w:rsidR="00B850BA" w:rsidRPr="001A01AB">
              <w:rPr>
                <w:rFonts w:ascii="Calibri" w:hAnsi="Calibri" w:cs="Calibri"/>
                <w:b/>
                <w:color w:val="365F91"/>
                <w:sz w:val="22"/>
                <w:szCs w:val="22"/>
                <w:lang w:val="es-GT"/>
              </w:rPr>
              <w:t>silvicultura de plantaciones</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B850BA"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Guatemala tiene una de las tasas más altas de deforestación bruta de América, lo cual es un riego para el mantenimiento de los bienes y servicios que generan los bosques naturales. Una estrategia para reducir la presión de los bosques naturales por los bienes forestales es la promoción de las plantaciones productivas. </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Muchas de estas plantaciones se pueden promover en pequeñas parcelas a nivel comunitario, las cuales son importantes para apoyar la generación de ingresos y empleo para las familias rurales.</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Por medio del establecimiento de plantaciones, también se pueden apoyar los esfuerzos para la recuperación de áreas degradadas, por lo cual se deberá considerar esta propuesta.</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Se debe promover a nivel nacional, principalmente en las tierras de importancia para la captación y regulación hídrica, así como en las regiones donde se tiene mayor demanda de productos forestales, como el </w:t>
            </w:r>
            <w:r w:rsidR="009542FC" w:rsidRPr="001A01AB">
              <w:rPr>
                <w:rFonts w:ascii="Calibri" w:hAnsi="Calibri" w:cs="Calibri"/>
                <w:sz w:val="22"/>
                <w:szCs w:val="22"/>
                <w:lang w:val="es-GT"/>
              </w:rPr>
              <w:t xml:space="preserve">altiplano guatemalteco. </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En las áreas del </w:t>
            </w:r>
            <w:r w:rsidR="009542FC" w:rsidRPr="001A01AB">
              <w:rPr>
                <w:rFonts w:ascii="Calibri" w:hAnsi="Calibri" w:cs="Calibri"/>
                <w:sz w:val="22"/>
                <w:szCs w:val="22"/>
                <w:lang w:val="es-GT"/>
              </w:rPr>
              <w:t xml:space="preserve">corredor seco </w:t>
            </w:r>
            <w:r w:rsidRPr="001A01AB">
              <w:rPr>
                <w:rFonts w:ascii="Calibri" w:hAnsi="Calibri" w:cs="Calibri"/>
                <w:sz w:val="22"/>
                <w:szCs w:val="22"/>
                <w:lang w:val="es-GT"/>
              </w:rPr>
              <w:t>nacional se deberán priorizar las plan</w:t>
            </w:r>
            <w:r w:rsidR="009542FC">
              <w:rPr>
                <w:rFonts w:ascii="Calibri" w:hAnsi="Calibri" w:cs="Calibri"/>
                <w:sz w:val="22"/>
                <w:szCs w:val="22"/>
                <w:lang w:val="es-GT"/>
              </w:rPr>
              <w:t>taciones de bosques energéticos. E</w:t>
            </w:r>
            <w:r w:rsidRPr="001A01AB">
              <w:rPr>
                <w:rFonts w:ascii="Calibri" w:hAnsi="Calibri" w:cs="Calibri"/>
                <w:sz w:val="22"/>
                <w:szCs w:val="22"/>
                <w:lang w:val="es-GT"/>
              </w:rPr>
              <w:t>sto debido a la fuerte presión por leña que existe en muchas regiones.</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9542FC">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La existencia de los programas de incentivos PINFOR y PINPEP les permite a los pequeños</w:t>
            </w:r>
            <w:r w:rsidR="0073405D">
              <w:rPr>
                <w:rFonts w:ascii="Calibri" w:hAnsi="Calibri" w:cs="Calibri"/>
                <w:sz w:val="22"/>
                <w:szCs w:val="22"/>
                <w:lang w:val="es-GT"/>
              </w:rPr>
              <w:t xml:space="preserve"> y medianos productores</w:t>
            </w:r>
            <w:r w:rsidRPr="001A01AB">
              <w:rPr>
                <w:rFonts w:ascii="Calibri" w:hAnsi="Calibri" w:cs="Calibri"/>
                <w:sz w:val="22"/>
                <w:szCs w:val="22"/>
                <w:lang w:val="es-GT"/>
              </w:rPr>
              <w:t xml:space="preserve"> obtener ingreso</w:t>
            </w:r>
            <w:r w:rsidR="0073405D">
              <w:rPr>
                <w:rFonts w:ascii="Calibri" w:hAnsi="Calibri" w:cs="Calibri"/>
                <w:sz w:val="22"/>
                <w:szCs w:val="22"/>
                <w:lang w:val="es-GT"/>
              </w:rPr>
              <w:t xml:space="preserve">s por el establecimiento de </w:t>
            </w:r>
            <w:r w:rsidRPr="001A01AB">
              <w:rPr>
                <w:rFonts w:ascii="Calibri" w:hAnsi="Calibri" w:cs="Calibri"/>
                <w:sz w:val="22"/>
                <w:szCs w:val="22"/>
                <w:lang w:val="es-GT"/>
              </w:rPr>
              <w:t xml:space="preserve">plantaciones forestales. Aunque los productos forestales tienden a comercializarse a largo plazo, esta se considera una fuente alterna (no agrícola) de generación de ingresos y empleo </w:t>
            </w:r>
            <w:r w:rsidR="0073405D">
              <w:rPr>
                <w:rFonts w:ascii="Calibri" w:hAnsi="Calibri" w:cs="Calibri"/>
                <w:sz w:val="22"/>
                <w:szCs w:val="22"/>
                <w:lang w:val="es-GT"/>
              </w:rPr>
              <w:t>para</w:t>
            </w:r>
            <w:r w:rsidRPr="001A01AB">
              <w:rPr>
                <w:rFonts w:ascii="Calibri" w:hAnsi="Calibri" w:cs="Calibri"/>
                <w:sz w:val="22"/>
                <w:szCs w:val="22"/>
                <w:lang w:val="es-GT"/>
              </w:rPr>
              <w:t xml:space="preserve"> las comunidades rurales.</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w:t>
            </w:r>
            <w:r w:rsidR="0073405D">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73405D" w:rsidP="0073405D">
            <w:pPr>
              <w:spacing w:before="40" w:after="40"/>
              <w:ind w:left="237"/>
              <w:jc w:val="both"/>
              <w:rPr>
                <w:rFonts w:ascii="Calibri" w:hAnsi="Calibri" w:cs="Calibri"/>
                <w:sz w:val="22"/>
                <w:szCs w:val="22"/>
                <w:lang w:val="es-GT"/>
              </w:rPr>
            </w:pPr>
            <w:r>
              <w:rPr>
                <w:rFonts w:ascii="Calibri" w:hAnsi="Calibri" w:cs="Calibri"/>
                <w:sz w:val="22"/>
                <w:szCs w:val="22"/>
                <w:lang w:val="es-GT"/>
              </w:rPr>
              <w:t xml:space="preserve">La promoción del </w:t>
            </w:r>
            <w:r w:rsidR="00E31B19" w:rsidRPr="001A01AB">
              <w:rPr>
                <w:rFonts w:ascii="Calibri" w:hAnsi="Calibri" w:cs="Calibri"/>
                <w:sz w:val="22"/>
                <w:szCs w:val="22"/>
                <w:lang w:val="es-GT"/>
              </w:rPr>
              <w:t>establecimiento de estas plantaciones</w:t>
            </w:r>
            <w:r>
              <w:rPr>
                <w:rFonts w:ascii="Calibri" w:hAnsi="Calibri" w:cs="Calibri"/>
                <w:sz w:val="22"/>
                <w:szCs w:val="22"/>
                <w:lang w:val="es-GT"/>
              </w:rPr>
              <w:t xml:space="preserve"> en</w:t>
            </w:r>
            <w:r w:rsidR="00E31B19" w:rsidRPr="001A01AB">
              <w:rPr>
                <w:rFonts w:ascii="Calibri" w:hAnsi="Calibri" w:cs="Calibri"/>
                <w:sz w:val="22"/>
                <w:szCs w:val="22"/>
                <w:lang w:val="es-GT"/>
              </w:rPr>
              <w:t xml:space="preserve"> sectores es</w:t>
            </w:r>
            <w:r>
              <w:rPr>
                <w:rFonts w:ascii="Calibri" w:hAnsi="Calibri" w:cs="Calibri"/>
                <w:sz w:val="22"/>
                <w:szCs w:val="22"/>
                <w:lang w:val="es-GT"/>
              </w:rPr>
              <w:t>pecíficos del territorio, puede</w:t>
            </w:r>
            <w:r w:rsidR="00E31B19" w:rsidRPr="001A01AB">
              <w:rPr>
                <w:rFonts w:ascii="Calibri" w:hAnsi="Calibri" w:cs="Calibri"/>
                <w:sz w:val="22"/>
                <w:szCs w:val="22"/>
                <w:lang w:val="es-GT"/>
              </w:rPr>
              <w:t xml:space="preserve"> </w:t>
            </w:r>
            <w:r>
              <w:rPr>
                <w:rFonts w:ascii="Calibri" w:hAnsi="Calibri" w:cs="Calibri"/>
                <w:sz w:val="22"/>
                <w:szCs w:val="22"/>
                <w:lang w:val="es-GT"/>
              </w:rPr>
              <w:t>contribuir</w:t>
            </w:r>
            <w:r w:rsidR="00E31B19" w:rsidRPr="001A01AB">
              <w:rPr>
                <w:rFonts w:ascii="Calibri" w:hAnsi="Calibri" w:cs="Calibri"/>
                <w:sz w:val="22"/>
                <w:szCs w:val="22"/>
                <w:lang w:val="es-GT"/>
              </w:rPr>
              <w:t xml:space="preserve"> a procesos de adaptación y al ordenamiento territorial.</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73405D" w:rsidP="001A01AB">
            <w:pPr>
              <w:numPr>
                <w:ilvl w:val="0"/>
                <w:numId w:val="29"/>
              </w:numPr>
              <w:spacing w:before="40" w:after="40"/>
              <w:ind w:left="432" w:hanging="144"/>
              <w:jc w:val="both"/>
              <w:rPr>
                <w:rFonts w:ascii="Calibri" w:hAnsi="Calibri" w:cs="Calibri"/>
                <w:sz w:val="22"/>
                <w:szCs w:val="22"/>
                <w:lang w:val="es-GT"/>
              </w:rPr>
            </w:pPr>
            <w:r>
              <w:rPr>
                <w:rFonts w:ascii="Calibri" w:hAnsi="Calibri" w:cs="Calibri"/>
                <w:sz w:val="22"/>
                <w:szCs w:val="22"/>
                <w:lang w:val="es-GT"/>
              </w:rPr>
              <w:t>E</w:t>
            </w:r>
            <w:r w:rsidR="00E31B19" w:rsidRPr="001A01AB">
              <w:rPr>
                <w:rFonts w:ascii="Calibri" w:hAnsi="Calibri" w:cs="Calibri"/>
                <w:sz w:val="22"/>
                <w:szCs w:val="22"/>
                <w:lang w:val="es-GT"/>
              </w:rPr>
              <w:t xml:space="preserve">xistencia de los programas de incentivos forestales PINFOR y PINPEP, que son mecanismos </w:t>
            </w:r>
            <w:r w:rsidR="00E31B19" w:rsidRPr="001A01AB">
              <w:rPr>
                <w:rFonts w:ascii="Calibri" w:hAnsi="Calibri" w:cs="Calibri"/>
                <w:sz w:val="22"/>
                <w:szCs w:val="22"/>
                <w:lang w:val="es-GT"/>
              </w:rPr>
              <w:lastRenderedPageBreak/>
              <w:t>financieros para impulsar esta tipo de actividades. Se debe considerar que el PINFOR concluye en el año 2016 y a la fecha no se tiene claridad se su posible continuidad a largo plazo.</w:t>
            </w:r>
          </w:p>
          <w:p w:rsidR="00E31B19" w:rsidRPr="001A01AB" w:rsidRDefault="0073405D" w:rsidP="001A01AB">
            <w:pPr>
              <w:numPr>
                <w:ilvl w:val="0"/>
                <w:numId w:val="29"/>
              </w:numPr>
              <w:spacing w:before="40" w:after="40"/>
              <w:ind w:left="432" w:hanging="144"/>
              <w:jc w:val="both"/>
              <w:rPr>
                <w:rFonts w:ascii="Calibri" w:hAnsi="Calibri" w:cs="Calibri"/>
                <w:sz w:val="22"/>
                <w:szCs w:val="22"/>
                <w:lang w:val="es-GT"/>
              </w:rPr>
            </w:pPr>
            <w:r>
              <w:rPr>
                <w:rFonts w:ascii="Calibri" w:hAnsi="Calibri" w:cs="Calibri"/>
                <w:sz w:val="22"/>
                <w:szCs w:val="22"/>
                <w:lang w:val="es-GT"/>
              </w:rPr>
              <w:t>E</w:t>
            </w:r>
            <w:r w:rsidR="00E31B19" w:rsidRPr="001A01AB">
              <w:rPr>
                <w:rFonts w:ascii="Calibri" w:hAnsi="Calibri" w:cs="Calibri"/>
                <w:sz w:val="22"/>
                <w:szCs w:val="22"/>
                <w:lang w:val="es-GT"/>
              </w:rPr>
              <w:t>xistencia de Oficinas Forestales Municipales que apoyan las actividades forestale</w:t>
            </w:r>
            <w:r>
              <w:rPr>
                <w:rFonts w:ascii="Calibri" w:hAnsi="Calibri" w:cs="Calibri"/>
                <w:sz w:val="22"/>
                <w:szCs w:val="22"/>
                <w:lang w:val="es-GT"/>
              </w:rPr>
              <w:t>s en sus regiones (</w:t>
            </w:r>
            <w:r w:rsidR="00E31B19" w:rsidRPr="001A01AB">
              <w:rPr>
                <w:rFonts w:ascii="Calibri" w:hAnsi="Calibri" w:cs="Calibri"/>
                <w:sz w:val="22"/>
                <w:szCs w:val="22"/>
                <w:lang w:val="es-GT"/>
              </w:rPr>
              <w:t>desde la creación de viveros forestales</w:t>
            </w:r>
            <w:r>
              <w:rPr>
                <w:rFonts w:ascii="Calibri" w:hAnsi="Calibri" w:cs="Calibri"/>
                <w:sz w:val="22"/>
                <w:szCs w:val="22"/>
                <w:lang w:val="es-GT"/>
              </w:rPr>
              <w:t>)</w:t>
            </w:r>
            <w:r w:rsidR="00E31B19" w:rsidRPr="001A01AB">
              <w:rPr>
                <w:rFonts w:ascii="Calibri" w:hAnsi="Calibri" w:cs="Calibri"/>
                <w:sz w:val="22"/>
                <w:szCs w:val="22"/>
                <w:lang w:val="es-GT"/>
              </w:rPr>
              <w:t xml:space="preserve"> </w:t>
            </w:r>
            <w:r>
              <w:rPr>
                <w:rFonts w:ascii="Calibri" w:hAnsi="Calibri" w:cs="Calibri"/>
                <w:sz w:val="22"/>
                <w:szCs w:val="22"/>
                <w:lang w:val="es-GT"/>
              </w:rPr>
              <w:t>y el</w:t>
            </w:r>
            <w:r w:rsidR="00E31B19" w:rsidRPr="001A01AB">
              <w:rPr>
                <w:rFonts w:ascii="Calibri" w:hAnsi="Calibri" w:cs="Calibri"/>
                <w:sz w:val="22"/>
                <w:szCs w:val="22"/>
                <w:lang w:val="es-GT"/>
              </w:rPr>
              <w:t xml:space="preserve"> ingreso de los programas de incentivos, entre las principales.</w:t>
            </w:r>
          </w:p>
          <w:p w:rsidR="00E31B19" w:rsidRPr="001A01AB" w:rsidRDefault="00E31B19" w:rsidP="0073405D">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 xml:space="preserve">Existe gran número de profesionales y técnicos forestales en todas las regiones del país, muchos de los cuales califican como </w:t>
            </w:r>
            <w:r w:rsidR="0073405D" w:rsidRPr="001A01AB">
              <w:rPr>
                <w:rFonts w:ascii="Calibri" w:hAnsi="Calibri" w:cs="Calibri"/>
                <w:sz w:val="22"/>
                <w:szCs w:val="22"/>
                <w:lang w:val="es-GT"/>
              </w:rPr>
              <w:t>regentes forestales</w:t>
            </w:r>
            <w:r w:rsidRPr="001A01AB">
              <w:rPr>
                <w:rFonts w:ascii="Calibri" w:hAnsi="Calibri" w:cs="Calibri"/>
                <w:sz w:val="22"/>
                <w:szCs w:val="22"/>
                <w:lang w:val="es-GT"/>
              </w:rPr>
              <w:t xml:space="preserve">, </w:t>
            </w:r>
            <w:r w:rsidR="0073405D">
              <w:rPr>
                <w:rFonts w:ascii="Calibri" w:hAnsi="Calibri" w:cs="Calibri"/>
                <w:sz w:val="22"/>
                <w:szCs w:val="22"/>
                <w:lang w:val="es-GT"/>
              </w:rPr>
              <w:t>quienes</w:t>
            </w:r>
            <w:r w:rsidRPr="001A01AB">
              <w:rPr>
                <w:rFonts w:ascii="Calibri" w:hAnsi="Calibri" w:cs="Calibri"/>
                <w:sz w:val="22"/>
                <w:szCs w:val="22"/>
                <w:lang w:val="es-GT"/>
              </w:rPr>
              <w:t xml:space="preserve"> pueden apoyar a la dinamización de las actividades a nivel comunitario.</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Establecer monocultivos forestales, principalmente cerca de áreas protegidas o a corredores biológicos, que puedan afectar la biodiversidad local.</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Establecer grandes áreas de plantaciones puras (monocultivo) puede generar condiciones para la proliferación de plagas y enfermedades, que pongan en riesgo las mismas plantaciones.</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1.3: B</w:t>
            </w:r>
            <w:r w:rsidR="00B850BA" w:rsidRPr="001A01AB">
              <w:rPr>
                <w:rFonts w:ascii="Calibri" w:hAnsi="Calibri" w:cs="Calibri"/>
                <w:b/>
                <w:color w:val="365F91"/>
                <w:sz w:val="22"/>
                <w:szCs w:val="22"/>
                <w:lang w:val="es-GT"/>
              </w:rPr>
              <w:t>osques</w:t>
            </w:r>
            <w:r w:rsidRPr="001A01AB">
              <w:rPr>
                <w:rFonts w:ascii="Calibri" w:hAnsi="Calibri" w:cs="Calibri"/>
                <w:b/>
                <w:color w:val="365F91"/>
                <w:sz w:val="22"/>
                <w:szCs w:val="22"/>
                <w:lang w:val="es-GT"/>
              </w:rPr>
              <w:t xml:space="preserve"> – Promoción de la eficiencia dendroenergética</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B850BA"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Se </w:t>
            </w:r>
            <w:r w:rsidR="0073405D">
              <w:rPr>
                <w:rFonts w:ascii="Calibri" w:hAnsi="Calibri" w:cs="Calibri"/>
                <w:sz w:val="22"/>
                <w:szCs w:val="22"/>
                <w:lang w:val="es-GT"/>
              </w:rPr>
              <w:t>calcula</w:t>
            </w:r>
            <w:r w:rsidRPr="001A01AB">
              <w:rPr>
                <w:rFonts w:ascii="Calibri" w:hAnsi="Calibri" w:cs="Calibri"/>
                <w:sz w:val="22"/>
                <w:szCs w:val="22"/>
                <w:lang w:val="es-GT"/>
              </w:rPr>
              <w:t xml:space="preserve"> que el 62% de los hogares nacionales emplean leña como fuente energética, tanto para cocinar sus alimentos como para la calefacción de sus hogares. Est</w:t>
            </w:r>
            <w:r w:rsidR="0073405D">
              <w:rPr>
                <w:rFonts w:ascii="Calibri" w:hAnsi="Calibri" w:cs="Calibri"/>
                <w:sz w:val="22"/>
                <w:szCs w:val="22"/>
                <w:lang w:val="es-GT"/>
              </w:rPr>
              <w:t>imaciones realizadas en el país</w:t>
            </w:r>
            <w:r w:rsidRPr="001A01AB">
              <w:rPr>
                <w:rFonts w:ascii="Calibri" w:hAnsi="Calibri" w:cs="Calibri"/>
                <w:sz w:val="22"/>
                <w:szCs w:val="22"/>
                <w:lang w:val="es-GT"/>
              </w:rPr>
              <w:t xml:space="preserve"> indican que aproximadamente 31 millones de m</w:t>
            </w:r>
            <w:r w:rsidRPr="001A01AB">
              <w:rPr>
                <w:rFonts w:ascii="Calibri" w:hAnsi="Calibri" w:cs="Calibri"/>
                <w:sz w:val="22"/>
                <w:szCs w:val="22"/>
                <w:vertAlign w:val="superscript"/>
                <w:lang w:val="es-GT"/>
              </w:rPr>
              <w:t>3</w:t>
            </w:r>
            <w:r w:rsidRPr="001A01AB">
              <w:rPr>
                <w:rFonts w:ascii="Calibri" w:hAnsi="Calibri" w:cs="Calibri"/>
                <w:sz w:val="22"/>
                <w:szCs w:val="22"/>
                <w:lang w:val="es-GT"/>
              </w:rPr>
              <w:t xml:space="preserve"> se extraen de los bosques sin control o regulación.</w:t>
            </w:r>
          </w:p>
          <w:p w:rsidR="00E31B19"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La necesidad de muchos hogares de usar este material como fuente energética, evidencia la importancia del mismo, por lo que se deben buscar soluciones social y ambientalmente adecuadas para promover la eficiencia del uso de este recurso.</w:t>
            </w:r>
          </w:p>
          <w:p w:rsidR="00B850BA" w:rsidRPr="001A01AB" w:rsidRDefault="00B850BA" w:rsidP="001A01AB">
            <w:pPr>
              <w:spacing w:before="40" w:after="40"/>
              <w:jc w:val="both"/>
              <w:rPr>
                <w:rFonts w:ascii="Calibri" w:hAnsi="Calibri" w:cs="Calibri"/>
                <w:sz w:val="22"/>
                <w:szCs w:val="22"/>
                <w:lang w:val="es-GT"/>
              </w:rPr>
            </w:pP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En Guatemala se han promovido muchas soluciones para mejorar la eficiencia en el consumo de leña a nivel de hogar, pero no todos los proyectos han demostrado ser eficientes y eficaces para atender la problemática. Se sugiere evaluar de forma prioritaria, el análisis socio-ambiental de las soluciones propuestas y después, se</w:t>
            </w:r>
            <w:r w:rsidR="00B850BA">
              <w:rPr>
                <w:rFonts w:ascii="Calibri" w:hAnsi="Calibri" w:cs="Calibri"/>
                <w:sz w:val="22"/>
                <w:szCs w:val="22"/>
                <w:lang w:val="es-GT"/>
              </w:rPr>
              <w:t xml:space="preserve"> trate de adaptar aquella que má</w:t>
            </w:r>
            <w:r w:rsidRPr="001A01AB">
              <w:rPr>
                <w:rFonts w:ascii="Calibri" w:hAnsi="Calibri" w:cs="Calibri"/>
                <w:sz w:val="22"/>
                <w:szCs w:val="22"/>
                <w:lang w:val="es-GT"/>
              </w:rPr>
              <w:t>s satisfaga, antes de considerar la promoción masiva de alguna solución propuesta.</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73405D">
            <w:pPr>
              <w:spacing w:before="40" w:after="40"/>
              <w:jc w:val="both"/>
              <w:rPr>
                <w:rFonts w:ascii="Calibri" w:hAnsi="Calibri" w:cs="Calibri"/>
                <w:sz w:val="22"/>
                <w:szCs w:val="22"/>
                <w:lang w:val="es-GT"/>
              </w:rPr>
            </w:pPr>
            <w:r w:rsidRPr="001A01AB">
              <w:rPr>
                <w:rFonts w:ascii="Calibri" w:hAnsi="Calibri" w:cs="Calibri"/>
                <w:sz w:val="22"/>
                <w:szCs w:val="22"/>
                <w:lang w:val="es-GT"/>
              </w:rPr>
              <w:t>Debido a que los hogares que emplean leña</w:t>
            </w:r>
            <w:r w:rsidR="0073405D" w:rsidRPr="001A01AB">
              <w:rPr>
                <w:rFonts w:ascii="Calibri" w:hAnsi="Calibri" w:cs="Calibri"/>
                <w:sz w:val="22"/>
                <w:szCs w:val="22"/>
                <w:lang w:val="es-GT"/>
              </w:rPr>
              <w:t xml:space="preserve"> se distribuyen en todo el país</w:t>
            </w:r>
            <w:r w:rsidRPr="001A01AB">
              <w:rPr>
                <w:rFonts w:ascii="Calibri" w:hAnsi="Calibri" w:cs="Calibri"/>
                <w:sz w:val="22"/>
                <w:szCs w:val="22"/>
                <w:lang w:val="es-GT"/>
              </w:rPr>
              <w:t xml:space="preserve">, el ámbito propuesto es </w:t>
            </w:r>
            <w:r w:rsidR="0073405D">
              <w:rPr>
                <w:rFonts w:ascii="Calibri" w:hAnsi="Calibri" w:cs="Calibri"/>
                <w:sz w:val="22"/>
                <w:szCs w:val="22"/>
                <w:lang w:val="es-GT"/>
              </w:rPr>
              <w:t>la totalidad d</w:t>
            </w:r>
            <w:r w:rsidRPr="001A01AB">
              <w:rPr>
                <w:rFonts w:ascii="Calibri" w:hAnsi="Calibri" w:cs="Calibri"/>
                <w:sz w:val="22"/>
                <w:szCs w:val="22"/>
                <w:lang w:val="es-GT"/>
              </w:rPr>
              <w:t>el territorio nacional. Se debe trabajar principalmente en las regiones secas (por la escasa provisión que los bosques brindan), las regiones altamente pobladas y principalmente en las partes frías del país.</w:t>
            </w:r>
            <w:r w:rsidR="0073405D">
              <w:rPr>
                <w:rFonts w:ascii="Calibri" w:hAnsi="Calibri" w:cs="Calibri"/>
                <w:sz w:val="22"/>
                <w:szCs w:val="22"/>
                <w:lang w:val="es-GT"/>
              </w:rPr>
              <w:t xml:space="preserve"> </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73405D">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73405D" w:rsidRDefault="0073405D"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Default="0073405D" w:rsidP="001A01AB">
            <w:pPr>
              <w:spacing w:before="40" w:after="40"/>
              <w:ind w:left="237"/>
              <w:jc w:val="both"/>
              <w:rPr>
                <w:rFonts w:ascii="Calibri" w:hAnsi="Calibri" w:cs="Calibri"/>
                <w:sz w:val="22"/>
                <w:szCs w:val="22"/>
                <w:lang w:val="es-GT"/>
              </w:rPr>
            </w:pPr>
            <w:r w:rsidRPr="0033045E">
              <w:rPr>
                <w:rFonts w:ascii="Calibri" w:hAnsi="Calibri" w:cs="Calibri"/>
                <w:sz w:val="22"/>
                <w:szCs w:val="22"/>
                <w:highlight w:val="red"/>
                <w:lang w:val="es-GT"/>
              </w:rPr>
              <w:t>No hay información????</w:t>
            </w:r>
          </w:p>
          <w:p w:rsidR="0073405D" w:rsidRDefault="0073405D" w:rsidP="001A01AB">
            <w:pPr>
              <w:spacing w:before="40" w:after="40"/>
              <w:ind w:left="237"/>
              <w:jc w:val="both"/>
              <w:rPr>
                <w:rFonts w:ascii="Calibri" w:hAnsi="Calibri" w:cs="Calibri"/>
                <w:sz w:val="22"/>
                <w:szCs w:val="22"/>
                <w:lang w:val="es-GT"/>
              </w:rPr>
            </w:pPr>
          </w:p>
          <w:p w:rsidR="0073405D" w:rsidRPr="001A01AB" w:rsidRDefault="0073405D" w:rsidP="001A01AB">
            <w:pPr>
              <w:spacing w:before="40" w:after="40"/>
              <w:ind w:left="237"/>
              <w:jc w:val="both"/>
              <w:rPr>
                <w:rFonts w:ascii="Calibri" w:hAnsi="Calibri" w:cs="Calibri"/>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lastRenderedPageBreak/>
              <w:t>Fortalecimiento de condiciones y capacidades (desarrollo de capital humano y social, fo</w:t>
            </w:r>
            <w:r w:rsidR="0073405D">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Las soluciones eficientes tienden a reducir la demanda de leña en los hogares y por ende, la que se extrae de los bosques naturales. Esto contribuirá directamente con el mejoramiento de las condiciones del hogar y de la comunidad.</w:t>
            </w:r>
          </w:p>
        </w:tc>
      </w:tr>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lastRenderedPageBreak/>
              <w:t>d) Oportunidades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Existen algunos estudios locales que permiten conocer el éxito o no, de los programas que se han implementado en el país.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En el país se han probado diversas alternativas, por lo que se pueden tomar de referen</w:t>
            </w:r>
            <w:r w:rsidR="00B850BA">
              <w:rPr>
                <w:rFonts w:ascii="Calibri" w:hAnsi="Calibri" w:cs="Calibri"/>
                <w:sz w:val="22"/>
                <w:szCs w:val="22"/>
                <w:lang w:val="es-GT"/>
              </w:rPr>
              <w:t>cia para hacer ejercicios costo-</w:t>
            </w:r>
            <w:r w:rsidRPr="001A01AB">
              <w:rPr>
                <w:rFonts w:ascii="Calibri" w:hAnsi="Calibri" w:cs="Calibri"/>
                <w:sz w:val="22"/>
                <w:szCs w:val="22"/>
                <w:lang w:val="es-GT"/>
              </w:rPr>
              <w:t>eficientes en el país.</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La no aceptación social de las soluciones propuestas. Para prevenir esto, se sugiere establecer análisis con las amas de casa, para evaluar la opción con mayor viabilidad social.</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De no aceptarse las soluciones propuestas, no se logra el objetivo de mejorar la eficiencia en el uso de la leña a nivel de hogar. Si esto no se logra, se mantendrían los mismos niveles de extracción anual, los que se van a incrementar en la medida que continúe</w:t>
            </w:r>
            <w:r w:rsidR="00261CA7">
              <w:rPr>
                <w:rFonts w:ascii="Calibri" w:hAnsi="Calibri" w:cs="Calibri"/>
                <w:sz w:val="22"/>
                <w:szCs w:val="22"/>
                <w:lang w:val="es-GT"/>
              </w:rPr>
              <w:t>n</w:t>
            </w:r>
            <w:r w:rsidRPr="001A01AB">
              <w:rPr>
                <w:rFonts w:ascii="Calibri" w:hAnsi="Calibri" w:cs="Calibri"/>
                <w:sz w:val="22"/>
                <w:szCs w:val="22"/>
                <w:lang w:val="es-GT"/>
              </w:rPr>
              <w:t xml:space="preserve"> creciendo las familias rurales en el país.</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2.1: R</w:t>
            </w:r>
            <w:r w:rsidR="00B850BA" w:rsidRPr="001A01AB">
              <w:rPr>
                <w:rFonts w:ascii="Calibri" w:hAnsi="Calibri" w:cs="Calibri"/>
                <w:b/>
                <w:color w:val="365F91"/>
                <w:sz w:val="22"/>
                <w:szCs w:val="22"/>
                <w:lang w:val="es-GT"/>
              </w:rPr>
              <w:t xml:space="preserve">ecursos hídricos </w:t>
            </w:r>
            <w:r w:rsidRPr="001A01AB">
              <w:rPr>
                <w:rFonts w:ascii="Calibri" w:hAnsi="Calibri" w:cs="Calibri"/>
                <w:b/>
                <w:color w:val="365F91"/>
                <w:sz w:val="22"/>
                <w:szCs w:val="22"/>
                <w:lang w:val="es-GT"/>
              </w:rPr>
              <w:t>– Restauración de tierras de importancia para la captación y regulación hídrica</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B850BA"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Fomentar la reforestación/restauración de las tierras forestales de importancia para </w:t>
            </w:r>
            <w:r w:rsidR="00261CA7">
              <w:rPr>
                <w:rFonts w:ascii="Calibri" w:hAnsi="Calibri" w:cs="Calibri"/>
                <w:sz w:val="22"/>
                <w:szCs w:val="22"/>
                <w:lang w:val="es-GT"/>
              </w:rPr>
              <w:t xml:space="preserve">la </w:t>
            </w:r>
            <w:r w:rsidRPr="001A01AB">
              <w:rPr>
                <w:rFonts w:ascii="Calibri" w:hAnsi="Calibri" w:cs="Calibri"/>
                <w:sz w:val="22"/>
                <w:szCs w:val="22"/>
                <w:lang w:val="es-GT"/>
              </w:rPr>
              <w:t>captación y regulación hídrica y la protección de fuentes de agua, con el fin de recuperar la capacidad de generación de servicios ambientales relacionados con el agua, principalmente.</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Todo el territorio nacional, con énfasis en las tierras forestales de alta y media importancia para la cap</w:t>
            </w:r>
            <w:r w:rsidR="00261CA7">
              <w:rPr>
                <w:rFonts w:ascii="Calibri" w:hAnsi="Calibri" w:cs="Calibri"/>
                <w:sz w:val="22"/>
                <w:szCs w:val="22"/>
                <w:lang w:val="es-GT"/>
              </w:rPr>
              <w:t>tación y regulación hidrológica,</w:t>
            </w:r>
            <w:r w:rsidRPr="001A01AB">
              <w:rPr>
                <w:rFonts w:ascii="Calibri" w:hAnsi="Calibri" w:cs="Calibri"/>
                <w:sz w:val="22"/>
                <w:szCs w:val="22"/>
                <w:lang w:val="es-GT"/>
              </w:rPr>
              <w:t xml:space="preserve"> así como en fuentes de agua estratégicas para el suministro de agua para consumo humano y producción agrícola.</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261CA7">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 xml:space="preserve">La implementación de actividades de reforestación/restauración forestal, así como el mantenimiento de las áreas reforestadas, tiene el potencial de generar oportunidades de empleo temporal en las áreas rurales, pudiendo beneficiar a productores agrícolas de subsistencia e infrasubsistencia. </w:t>
            </w:r>
          </w:p>
          <w:p w:rsidR="004E6953" w:rsidRDefault="004E6953" w:rsidP="001A01AB">
            <w:pPr>
              <w:spacing w:before="40" w:after="40"/>
              <w:ind w:left="213"/>
              <w:jc w:val="both"/>
              <w:rPr>
                <w:rFonts w:ascii="Calibri" w:hAnsi="Calibri" w:cs="Calibri"/>
                <w:b/>
                <w:i/>
                <w:color w:val="365F91"/>
                <w:sz w:val="22"/>
                <w:szCs w:val="22"/>
                <w:lang w:val="es-GT"/>
              </w:rPr>
            </w:pPr>
          </w:p>
          <w:p w:rsidR="00261CA7" w:rsidRDefault="00261CA7" w:rsidP="001A01AB">
            <w:pPr>
              <w:spacing w:before="40" w:after="40"/>
              <w:ind w:left="213"/>
              <w:jc w:val="both"/>
              <w:rPr>
                <w:rFonts w:ascii="Calibri" w:hAnsi="Calibri" w:cs="Calibri"/>
                <w:b/>
                <w:i/>
                <w:color w:val="365F91"/>
                <w:sz w:val="22"/>
                <w:szCs w:val="22"/>
                <w:lang w:val="es-GT"/>
              </w:rPr>
            </w:pPr>
          </w:p>
          <w:p w:rsidR="00261CA7" w:rsidRDefault="00261CA7"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lastRenderedPageBreak/>
              <w:t>Fortalecimiento de condiciones y capacidades (desarrollo de capital humano y social, fortalecimiento institucional, di</w:t>
            </w:r>
            <w:r w:rsidR="00261CA7">
              <w:rPr>
                <w:rFonts w:ascii="Calibri" w:hAnsi="Calibri" w:cs="Calibri"/>
                <w:b/>
                <w:i/>
                <w:color w:val="365F91"/>
                <w:sz w:val="22"/>
                <w:szCs w:val="22"/>
                <w:lang w:val="es-GT"/>
              </w:rPr>
              <w:t>á</w:t>
            </w:r>
            <w:r w:rsidRPr="001A01AB">
              <w:rPr>
                <w:rFonts w:ascii="Calibri" w:hAnsi="Calibri" w:cs="Calibri"/>
                <w:b/>
                <w:i/>
                <w:color w:val="365F91"/>
                <w:sz w:val="22"/>
                <w:szCs w:val="22"/>
                <w:lang w:val="es-GT"/>
              </w:rPr>
              <w:t>logo de políticas y planificación sectorial)</w:t>
            </w:r>
          </w:p>
          <w:p w:rsidR="00E31B19" w:rsidRPr="001A01AB" w:rsidRDefault="00E31B19" w:rsidP="001A01AB">
            <w:pPr>
              <w:spacing w:before="40" w:after="40"/>
              <w:ind w:left="237"/>
              <w:jc w:val="both"/>
              <w:rPr>
                <w:rFonts w:ascii="Calibri" w:hAnsi="Calibri" w:cs="Calibri"/>
                <w:sz w:val="22"/>
                <w:szCs w:val="22"/>
                <w:lang w:val="es-GT"/>
              </w:rPr>
            </w:pPr>
          </w:p>
        </w:tc>
      </w:tr>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lastRenderedPageBreak/>
              <w:t>d) Oportunidades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Contribuir a garantizar condiciones ambientales mínimas para el mantenimiento del ciclo hidrológico, especialmente en lo referente a cobertura boscosa en zonas de importancia hidrológica.</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Contribuir con el ordenamiento territorial, considerado como un elemento clave de la adaptación al cambio climático.</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En términos de mitigación del cambio climático, la reforestación/rest</w:t>
            </w:r>
            <w:r w:rsidR="00261CA7">
              <w:rPr>
                <w:rFonts w:ascii="Calibri" w:hAnsi="Calibri" w:cs="Calibri"/>
                <w:sz w:val="22"/>
                <w:szCs w:val="22"/>
                <w:lang w:val="es-GT"/>
              </w:rPr>
              <w:t>auración forestal contribuye</w:t>
            </w:r>
            <w:r w:rsidRPr="001A01AB">
              <w:rPr>
                <w:rFonts w:ascii="Calibri" w:hAnsi="Calibri" w:cs="Calibri"/>
                <w:sz w:val="22"/>
                <w:szCs w:val="22"/>
                <w:lang w:val="es-GT"/>
              </w:rPr>
              <w:t xml:space="preserve"> a aumentar las reservas de carbono forestal, lo que representa una oportunidad importante, tomando en cuenta que cerca del 50% de las emisiones de GEI de Guatemala provienen de cambios en el uso de la tierra, principalmente, conversión de bosques.</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La tenencia/propiedad de las tierras en las que se implementen actividades de reforestación/restauración forestal es un asunto crítico para el éxito de estas iniciativas. Las tierras de propiedad municipal o comunitaria pueden ser prioritarias.</w:t>
            </w:r>
            <w:r w:rsidR="00141A70">
              <w:rPr>
                <w:rFonts w:ascii="Calibri" w:hAnsi="Calibri" w:cs="Calibri"/>
                <w:sz w:val="22"/>
                <w:szCs w:val="22"/>
                <w:lang w:val="es-GT"/>
              </w:rPr>
              <w:t xml:space="preserve"> </w:t>
            </w:r>
            <w:r w:rsidRPr="001A01AB">
              <w:rPr>
                <w:rFonts w:ascii="Calibri" w:hAnsi="Calibri" w:cs="Calibri"/>
                <w:sz w:val="22"/>
                <w:szCs w:val="22"/>
                <w:lang w:val="es-GT"/>
              </w:rPr>
              <w:t>La socialización adecuada de estas iniciativas es fundamental para evitar la aparición de conflictos.</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2.2: R</w:t>
            </w:r>
            <w:r w:rsidR="00B850BA" w:rsidRPr="001A01AB">
              <w:rPr>
                <w:rFonts w:ascii="Calibri" w:hAnsi="Calibri" w:cs="Calibri"/>
                <w:b/>
                <w:color w:val="365F91"/>
                <w:sz w:val="22"/>
                <w:szCs w:val="22"/>
                <w:lang w:val="es-GT"/>
              </w:rPr>
              <w:t xml:space="preserve">ecursos hídricos </w:t>
            </w:r>
            <w:r w:rsidRPr="001A01AB">
              <w:rPr>
                <w:rFonts w:ascii="Calibri" w:hAnsi="Calibri" w:cs="Calibri"/>
                <w:b/>
                <w:color w:val="365F91"/>
                <w:sz w:val="22"/>
                <w:szCs w:val="22"/>
                <w:lang w:val="es-GT"/>
              </w:rPr>
              <w:t>– Construcción de plantas para el tratamiento de aguas residuales locales</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B850BA"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La provisión efectiva de agua para la población actual y futura, así como de los procesos productivos requiere de una gestión integrada</w:t>
            </w:r>
            <w:r w:rsidR="00261CA7">
              <w:rPr>
                <w:rFonts w:ascii="Calibri" w:hAnsi="Calibri" w:cs="Calibri"/>
                <w:sz w:val="22"/>
                <w:szCs w:val="22"/>
                <w:lang w:val="es-GT"/>
              </w:rPr>
              <w:t>,</w:t>
            </w:r>
            <w:r w:rsidRPr="001A01AB">
              <w:rPr>
                <w:rFonts w:ascii="Calibri" w:hAnsi="Calibri" w:cs="Calibri"/>
                <w:sz w:val="22"/>
                <w:szCs w:val="22"/>
                <w:lang w:val="es-GT"/>
              </w:rPr>
              <w:t xml:space="preserve"> que incluya al menos los siguientes aspectos:</w:t>
            </w:r>
          </w:p>
          <w:p w:rsidR="00E31B19" w:rsidRPr="001A01AB" w:rsidRDefault="00E31B19" w:rsidP="001A01AB">
            <w:pPr>
              <w:numPr>
                <w:ilvl w:val="0"/>
                <w:numId w:val="30"/>
              </w:numPr>
              <w:spacing w:before="40" w:after="40"/>
              <w:jc w:val="both"/>
              <w:rPr>
                <w:rFonts w:ascii="Calibri" w:hAnsi="Calibri" w:cs="Calibri"/>
                <w:sz w:val="22"/>
                <w:szCs w:val="22"/>
                <w:lang w:val="es-GT"/>
              </w:rPr>
            </w:pPr>
            <w:r w:rsidRPr="001A01AB">
              <w:rPr>
                <w:rFonts w:ascii="Calibri" w:hAnsi="Calibri" w:cs="Calibri"/>
                <w:sz w:val="22"/>
                <w:szCs w:val="22"/>
                <w:lang w:val="es-GT"/>
              </w:rPr>
              <w:t>Garantizar condiciones ambientales mínimas para el mantenimiento del ciclo hidrológico, especialmente en lo referente a cobertura boscosa en zonas de importancia hidrológica,</w:t>
            </w:r>
          </w:p>
          <w:p w:rsidR="00E31B19" w:rsidRPr="001A01AB" w:rsidRDefault="00E31B19" w:rsidP="001A01AB">
            <w:pPr>
              <w:numPr>
                <w:ilvl w:val="0"/>
                <w:numId w:val="30"/>
              </w:num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Fomentar la eficiencia </w:t>
            </w:r>
            <w:r w:rsidR="00261CA7">
              <w:rPr>
                <w:rFonts w:ascii="Calibri" w:hAnsi="Calibri" w:cs="Calibri"/>
                <w:sz w:val="22"/>
                <w:szCs w:val="22"/>
                <w:lang w:val="es-GT"/>
              </w:rPr>
              <w:t>d</w:t>
            </w:r>
            <w:r w:rsidRPr="001A01AB">
              <w:rPr>
                <w:rFonts w:ascii="Calibri" w:hAnsi="Calibri" w:cs="Calibri"/>
                <w:sz w:val="22"/>
                <w:szCs w:val="22"/>
                <w:lang w:val="es-GT"/>
              </w:rPr>
              <w:t>el uso del agua, tanto como bien de consumo,</w:t>
            </w:r>
            <w:r w:rsidR="00261CA7">
              <w:rPr>
                <w:rFonts w:ascii="Calibri" w:hAnsi="Calibri" w:cs="Calibri"/>
                <w:sz w:val="22"/>
                <w:szCs w:val="22"/>
                <w:lang w:val="es-GT"/>
              </w:rPr>
              <w:t xml:space="preserve"> como</w:t>
            </w:r>
            <w:r w:rsidRPr="001A01AB">
              <w:rPr>
                <w:rFonts w:ascii="Calibri" w:hAnsi="Calibri" w:cs="Calibri"/>
                <w:sz w:val="22"/>
                <w:szCs w:val="22"/>
                <w:lang w:val="es-GT"/>
              </w:rPr>
              <w:t xml:space="preserve"> factor de producción o receptor de desechos,</w:t>
            </w:r>
          </w:p>
          <w:p w:rsidR="00E31B19" w:rsidRPr="001A01AB" w:rsidRDefault="00E31B19" w:rsidP="001A01AB">
            <w:pPr>
              <w:numPr>
                <w:ilvl w:val="0"/>
                <w:numId w:val="30"/>
              </w:numPr>
              <w:spacing w:before="40" w:after="40"/>
              <w:jc w:val="both"/>
              <w:rPr>
                <w:rFonts w:ascii="Calibri" w:hAnsi="Calibri" w:cs="Calibri"/>
                <w:sz w:val="22"/>
                <w:szCs w:val="22"/>
                <w:lang w:val="es-GT"/>
              </w:rPr>
            </w:pPr>
            <w:r w:rsidRPr="001A01AB">
              <w:rPr>
                <w:rFonts w:ascii="Calibri" w:hAnsi="Calibri" w:cs="Calibri"/>
                <w:sz w:val="22"/>
                <w:szCs w:val="22"/>
                <w:lang w:val="es-GT"/>
              </w:rPr>
              <w:t>Impulsar la creación de instrumentos institucionales y normativos que garanticen una efectiva gobernabilidad del agua.</w:t>
            </w:r>
          </w:p>
          <w:p w:rsidR="00E31B19" w:rsidRPr="001A01AB" w:rsidRDefault="00261CA7" w:rsidP="001A01AB">
            <w:pPr>
              <w:spacing w:before="40" w:after="40"/>
              <w:jc w:val="both"/>
              <w:rPr>
                <w:rFonts w:ascii="Calibri" w:hAnsi="Calibri" w:cs="Calibri"/>
                <w:sz w:val="22"/>
                <w:szCs w:val="22"/>
                <w:lang w:val="es-GT"/>
              </w:rPr>
            </w:pPr>
            <w:r>
              <w:rPr>
                <w:rFonts w:ascii="Calibri" w:hAnsi="Calibri" w:cs="Calibri"/>
                <w:sz w:val="22"/>
                <w:szCs w:val="22"/>
                <w:lang w:val="es-GT"/>
              </w:rPr>
              <w:t>La contaminación del agua</w:t>
            </w:r>
            <w:r w:rsidR="00E31B19" w:rsidRPr="001A01AB">
              <w:rPr>
                <w:rFonts w:ascii="Calibri" w:hAnsi="Calibri" w:cs="Calibri"/>
                <w:sz w:val="22"/>
                <w:szCs w:val="22"/>
                <w:lang w:val="es-GT"/>
              </w:rPr>
              <w:t xml:space="preserve"> es un elemento crítico identificado, que debe ser atendido dentro del contexto de la gestión integrada de recursos hídricos.</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Para atender el problema de la contaminación existen diversas opciones, incluyendo:</w:t>
            </w:r>
          </w:p>
          <w:p w:rsidR="00E31B19" w:rsidRPr="001A01AB" w:rsidRDefault="00E31B19" w:rsidP="001A01AB">
            <w:pPr>
              <w:numPr>
                <w:ilvl w:val="0"/>
                <w:numId w:val="30"/>
              </w:numPr>
              <w:spacing w:before="40" w:after="40"/>
              <w:jc w:val="both"/>
              <w:rPr>
                <w:rFonts w:ascii="Calibri" w:hAnsi="Calibri" w:cs="Calibri"/>
                <w:sz w:val="22"/>
                <w:szCs w:val="22"/>
                <w:lang w:val="es-GT"/>
              </w:rPr>
            </w:pPr>
            <w:r w:rsidRPr="001A01AB">
              <w:rPr>
                <w:rFonts w:ascii="Calibri" w:hAnsi="Calibri" w:cs="Calibri"/>
                <w:sz w:val="22"/>
                <w:szCs w:val="22"/>
                <w:lang w:val="es-GT"/>
              </w:rPr>
              <w:t>Inversiones en infraestructura para el tratamiento de aguas servidas provenientes de lugares poblados y de procesos productivos.</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Fomento de la adopción de buenas </w:t>
            </w:r>
            <w:r w:rsidR="007C3972" w:rsidRPr="001A01AB">
              <w:rPr>
                <w:rFonts w:ascii="Calibri" w:hAnsi="Calibri" w:cs="Calibri"/>
                <w:sz w:val="22"/>
                <w:szCs w:val="22"/>
                <w:lang w:val="es-GT"/>
              </w:rPr>
              <w:t>prácticas</w:t>
            </w:r>
            <w:r w:rsidRPr="001A01AB">
              <w:rPr>
                <w:rFonts w:ascii="Calibri" w:hAnsi="Calibri" w:cs="Calibri"/>
                <w:sz w:val="22"/>
                <w:szCs w:val="22"/>
                <w:lang w:val="es-GT"/>
              </w:rPr>
              <w:t xml:space="preserve"> ambientales en la producción agrícola, que reduzcan la contaminación del agua.</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261CA7">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Todo el territorio nacional, enfocando las inversiones en infraestructura y fortalecimiento de capacidades en los </w:t>
            </w:r>
            <w:r w:rsidR="00261CA7">
              <w:rPr>
                <w:rFonts w:ascii="Calibri" w:hAnsi="Calibri" w:cs="Calibri"/>
                <w:sz w:val="22"/>
                <w:szCs w:val="22"/>
                <w:lang w:val="es-GT"/>
              </w:rPr>
              <w:t>territorios prioritarios de la P</w:t>
            </w:r>
            <w:r w:rsidRPr="001A01AB">
              <w:rPr>
                <w:rFonts w:ascii="Calibri" w:hAnsi="Calibri" w:cs="Calibri"/>
                <w:sz w:val="22"/>
                <w:szCs w:val="22"/>
                <w:lang w:val="es-GT"/>
              </w:rPr>
              <w:t xml:space="preserve">olítica </w:t>
            </w:r>
            <w:r w:rsidR="00261CA7">
              <w:rPr>
                <w:rFonts w:ascii="Calibri" w:hAnsi="Calibri" w:cs="Calibri"/>
                <w:sz w:val="22"/>
                <w:szCs w:val="22"/>
                <w:lang w:val="es-GT"/>
              </w:rPr>
              <w:t>Nacional de Desarrollo R</w:t>
            </w:r>
            <w:r w:rsidRPr="001A01AB">
              <w:rPr>
                <w:rFonts w:ascii="Calibri" w:hAnsi="Calibri" w:cs="Calibri"/>
                <w:sz w:val="22"/>
                <w:szCs w:val="22"/>
                <w:lang w:val="es-GT"/>
              </w:rPr>
              <w:t>ural.</w:t>
            </w:r>
          </w:p>
        </w:tc>
      </w:tr>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lastRenderedPageBreak/>
              <w:t>c) Contribución con los objetivos estratégico</w:t>
            </w:r>
            <w:r w:rsidR="00261CA7">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Contribuir a garantizar la disponibilidad y calidad de</w:t>
            </w:r>
            <w:r w:rsidR="00261CA7">
              <w:rPr>
                <w:rFonts w:ascii="Calibri" w:hAnsi="Calibri" w:cs="Calibri"/>
                <w:sz w:val="22"/>
                <w:szCs w:val="22"/>
                <w:lang w:val="es-GT"/>
              </w:rPr>
              <w:t>l</w:t>
            </w:r>
            <w:r w:rsidRPr="001A01AB">
              <w:rPr>
                <w:rFonts w:ascii="Calibri" w:hAnsi="Calibri" w:cs="Calibri"/>
                <w:sz w:val="22"/>
                <w:szCs w:val="22"/>
                <w:lang w:val="es-GT"/>
              </w:rPr>
              <w:t xml:space="preserve"> agua, tiene el potencial de beneficiar a productores agrícolas de todos los estratos, dada la dependencia directa que la producción agrícola tiene del agua.</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w:t>
            </w:r>
            <w:r w:rsidR="00261CA7">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 xml:space="preserve">El impulso a la adopción de buenas </w:t>
            </w:r>
            <w:r w:rsidR="007C3972" w:rsidRPr="001A01AB">
              <w:rPr>
                <w:rFonts w:ascii="Calibri" w:hAnsi="Calibri" w:cs="Calibri"/>
                <w:sz w:val="22"/>
                <w:szCs w:val="22"/>
                <w:lang w:val="es-GT"/>
              </w:rPr>
              <w:t>prácticas</w:t>
            </w:r>
            <w:r w:rsidRPr="001A01AB">
              <w:rPr>
                <w:rFonts w:ascii="Calibri" w:hAnsi="Calibri" w:cs="Calibri"/>
                <w:sz w:val="22"/>
                <w:szCs w:val="22"/>
                <w:lang w:val="es-GT"/>
              </w:rPr>
              <w:t xml:space="preserve"> ambientales en la producción agrícola, enfocado en pequeños productores excedentarios y productores </w:t>
            </w:r>
            <w:r w:rsidR="007C3972" w:rsidRPr="001A01AB">
              <w:rPr>
                <w:rFonts w:ascii="Calibri" w:hAnsi="Calibri" w:cs="Calibri"/>
                <w:sz w:val="22"/>
                <w:szCs w:val="22"/>
                <w:lang w:val="es-GT"/>
              </w:rPr>
              <w:t>comerciales,</w:t>
            </w:r>
            <w:r w:rsidRPr="001A01AB">
              <w:rPr>
                <w:rFonts w:ascii="Calibri" w:hAnsi="Calibri" w:cs="Calibri"/>
                <w:sz w:val="22"/>
                <w:szCs w:val="22"/>
                <w:lang w:val="es-GT"/>
              </w:rPr>
              <w:t xml:space="preserve"> a través de capacitación, asistencia técnica, extensionismo, etc.</w:t>
            </w:r>
            <w:r w:rsidR="00261CA7">
              <w:rPr>
                <w:rFonts w:ascii="Calibri" w:hAnsi="Calibri" w:cs="Calibri"/>
                <w:sz w:val="22"/>
                <w:szCs w:val="22"/>
                <w:lang w:val="es-GT"/>
              </w:rPr>
              <w:t>,</w:t>
            </w:r>
            <w:r w:rsidRPr="001A01AB">
              <w:rPr>
                <w:rFonts w:ascii="Calibri" w:hAnsi="Calibri" w:cs="Calibri"/>
                <w:sz w:val="22"/>
                <w:szCs w:val="22"/>
                <w:lang w:val="es-GT"/>
              </w:rPr>
              <w:t xml:space="preserve"> es una contribución significativa al desarrollo del capital humano.</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La reducción de los niveles de contaminación en ríos y cuerpos de agua trae consigo múltiples oportunidades, incluyendo:</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Calidad adecuada del agua como bien de consumo y como factor de producción.</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Reducción de la incidencia de enfermedades asociadas con el agua.</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Conservación de la biodiversidad acuática y los recursos hidrobiológicos.</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Aumento de la conflictividad social debida al aprovechamiento de productos forestales.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Prácticas inadecuadas de manejo forestal pueden contribuir a la degradación ambiental.</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3.1: S</w:t>
            </w:r>
            <w:r w:rsidR="00B850BA" w:rsidRPr="001A01AB">
              <w:rPr>
                <w:rFonts w:ascii="Calibri" w:hAnsi="Calibri" w:cs="Calibri"/>
                <w:b/>
                <w:color w:val="365F91"/>
                <w:sz w:val="22"/>
                <w:szCs w:val="22"/>
                <w:lang w:val="es-GT"/>
              </w:rPr>
              <w:t>uelo</w:t>
            </w:r>
            <w:r w:rsidRPr="001A01AB">
              <w:rPr>
                <w:rFonts w:ascii="Calibri" w:hAnsi="Calibri" w:cs="Calibri"/>
                <w:b/>
                <w:color w:val="365F91"/>
                <w:sz w:val="22"/>
                <w:szCs w:val="22"/>
                <w:lang w:val="es-GT"/>
              </w:rPr>
              <w:t xml:space="preserve"> – Promoción del uso de sistemas agroforestales</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B850BA"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El 15% del territorio nacional se encuentra en condiciones de sobreuso, lo que causa erosión y deterioro del suelo, con la consecuente pérdida de los capitales y medios de vida de los productores. Aunque este problema abarca a la mayoría de productores, es más evidente a nivel de pequeños productores (productores de infra y subsistencia), quienes se v</w:t>
            </w:r>
            <w:r w:rsidR="00CD16D4">
              <w:rPr>
                <w:rFonts w:ascii="Calibri" w:hAnsi="Calibri" w:cs="Calibri"/>
                <w:sz w:val="22"/>
                <w:szCs w:val="22"/>
                <w:lang w:val="es-GT"/>
              </w:rPr>
              <w:t>e</w:t>
            </w:r>
            <w:r w:rsidRPr="001A01AB">
              <w:rPr>
                <w:rFonts w:ascii="Calibri" w:hAnsi="Calibri" w:cs="Calibri"/>
                <w:sz w:val="22"/>
                <w:szCs w:val="22"/>
                <w:lang w:val="es-GT"/>
              </w:rPr>
              <w:t>n más afectados con esta pérdida.</w:t>
            </w:r>
          </w:p>
          <w:p w:rsidR="00E31B19" w:rsidRDefault="00CD16D4" w:rsidP="001A01AB">
            <w:pPr>
              <w:spacing w:before="40" w:after="40"/>
              <w:jc w:val="both"/>
              <w:rPr>
                <w:rFonts w:ascii="Calibri" w:hAnsi="Calibri" w:cs="Calibri"/>
                <w:sz w:val="22"/>
                <w:szCs w:val="22"/>
                <w:lang w:val="es-GT"/>
              </w:rPr>
            </w:pPr>
            <w:r>
              <w:rPr>
                <w:rFonts w:ascii="Calibri" w:hAnsi="Calibri" w:cs="Calibri"/>
                <w:sz w:val="22"/>
                <w:szCs w:val="22"/>
                <w:lang w:val="es-GT"/>
              </w:rPr>
              <w:t>Muchas veces, la escasez</w:t>
            </w:r>
            <w:r w:rsidR="00E31B19" w:rsidRPr="001A01AB">
              <w:rPr>
                <w:rFonts w:ascii="Calibri" w:hAnsi="Calibri" w:cs="Calibri"/>
                <w:sz w:val="22"/>
                <w:szCs w:val="22"/>
                <w:lang w:val="es-GT"/>
              </w:rPr>
              <w:t xml:space="preserve"> de tierras </w:t>
            </w:r>
            <w:r>
              <w:rPr>
                <w:rFonts w:ascii="Calibri" w:hAnsi="Calibri" w:cs="Calibri"/>
                <w:sz w:val="22"/>
                <w:szCs w:val="22"/>
                <w:lang w:val="es-GT"/>
              </w:rPr>
              <w:t>de</w:t>
            </w:r>
            <w:r w:rsidR="00E31B19" w:rsidRPr="001A01AB">
              <w:rPr>
                <w:rFonts w:ascii="Calibri" w:hAnsi="Calibri" w:cs="Calibri"/>
                <w:sz w:val="22"/>
                <w:szCs w:val="22"/>
                <w:lang w:val="es-GT"/>
              </w:rPr>
              <w:t xml:space="preserve"> los pequeños agricultores,</w:t>
            </w:r>
            <w:r>
              <w:rPr>
                <w:rFonts w:ascii="Calibri" w:hAnsi="Calibri" w:cs="Calibri"/>
                <w:sz w:val="22"/>
                <w:szCs w:val="22"/>
                <w:lang w:val="es-GT"/>
              </w:rPr>
              <w:t xml:space="preserve"> causa su sobreutilización</w:t>
            </w:r>
            <w:r w:rsidR="00E31B19" w:rsidRPr="001A01AB">
              <w:rPr>
                <w:rFonts w:ascii="Calibri" w:hAnsi="Calibri" w:cs="Calibri"/>
                <w:sz w:val="22"/>
                <w:szCs w:val="22"/>
                <w:lang w:val="es-GT"/>
              </w:rPr>
              <w:t xml:space="preserve"> de forma continua, con las graves consecuencias que esto trae.</w:t>
            </w:r>
          </w:p>
          <w:p w:rsidR="00B850BA" w:rsidRPr="001A01AB" w:rsidRDefault="00B850BA" w:rsidP="001A01AB">
            <w:pPr>
              <w:spacing w:before="40" w:after="40"/>
              <w:jc w:val="both"/>
              <w:rPr>
                <w:rFonts w:ascii="Calibri" w:hAnsi="Calibri" w:cs="Calibri"/>
                <w:sz w:val="22"/>
                <w:szCs w:val="22"/>
                <w:lang w:val="es-GT"/>
              </w:rPr>
            </w:pP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El uso de sistemas agroforestales para la producción agrícola en varios tipos de cultivos, es una forma de reducir los problemas de erosión y degradación de tierras. </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877A87">
            <w:pPr>
              <w:spacing w:before="40" w:after="40"/>
              <w:jc w:val="both"/>
              <w:rPr>
                <w:rFonts w:ascii="Calibri" w:hAnsi="Calibri" w:cs="Calibri"/>
                <w:sz w:val="22"/>
                <w:szCs w:val="22"/>
                <w:lang w:val="es-GT"/>
              </w:rPr>
            </w:pPr>
            <w:r w:rsidRPr="001A01AB">
              <w:rPr>
                <w:rFonts w:ascii="Calibri" w:hAnsi="Calibri" w:cs="Calibri"/>
                <w:sz w:val="22"/>
                <w:szCs w:val="22"/>
                <w:lang w:val="es-GT"/>
              </w:rPr>
              <w:t>Se debe enfocar a los territorios con mayor conflictividad de uso de la tierra</w:t>
            </w:r>
            <w:r w:rsidR="00877A87">
              <w:rPr>
                <w:rFonts w:ascii="Calibri" w:hAnsi="Calibri" w:cs="Calibri"/>
                <w:sz w:val="22"/>
                <w:szCs w:val="22"/>
                <w:lang w:val="es-GT"/>
              </w:rPr>
              <w:t>,</w:t>
            </w:r>
            <w:r w:rsidRPr="001A01AB">
              <w:rPr>
                <w:rFonts w:ascii="Calibri" w:hAnsi="Calibri" w:cs="Calibri"/>
                <w:sz w:val="22"/>
                <w:szCs w:val="22"/>
                <w:lang w:val="es-GT"/>
              </w:rPr>
              <w:t xml:space="preserve"> que corresponde</w:t>
            </w:r>
            <w:r w:rsidR="00877A87">
              <w:rPr>
                <w:rFonts w:ascii="Calibri" w:hAnsi="Calibri" w:cs="Calibri"/>
                <w:sz w:val="22"/>
                <w:szCs w:val="22"/>
                <w:lang w:val="es-GT"/>
              </w:rPr>
              <w:t>n</w:t>
            </w:r>
            <w:r w:rsidRPr="001A01AB">
              <w:rPr>
                <w:rFonts w:ascii="Calibri" w:hAnsi="Calibri" w:cs="Calibri"/>
                <w:sz w:val="22"/>
                <w:szCs w:val="22"/>
                <w:lang w:val="es-GT"/>
              </w:rPr>
              <w:t xml:space="preserve"> al </w:t>
            </w:r>
            <w:r w:rsidR="00877A87">
              <w:rPr>
                <w:rFonts w:ascii="Calibri" w:hAnsi="Calibri" w:cs="Calibri"/>
                <w:sz w:val="22"/>
                <w:szCs w:val="22"/>
                <w:lang w:val="es-GT"/>
              </w:rPr>
              <w:t>a</w:t>
            </w:r>
            <w:r w:rsidRPr="001A01AB">
              <w:rPr>
                <w:rFonts w:ascii="Calibri" w:hAnsi="Calibri" w:cs="Calibri"/>
                <w:sz w:val="22"/>
                <w:szCs w:val="22"/>
                <w:lang w:val="es-GT"/>
              </w:rPr>
              <w:t>ltiplano central y occidental del país. Adicionalmente</w:t>
            </w:r>
            <w:r w:rsidR="00877A87">
              <w:rPr>
                <w:rFonts w:ascii="Calibri" w:hAnsi="Calibri" w:cs="Calibri"/>
                <w:sz w:val="22"/>
                <w:szCs w:val="22"/>
                <w:lang w:val="es-GT"/>
              </w:rPr>
              <w:t>,</w:t>
            </w:r>
            <w:r w:rsidRPr="001A01AB">
              <w:rPr>
                <w:rFonts w:ascii="Calibri" w:hAnsi="Calibri" w:cs="Calibri"/>
                <w:sz w:val="22"/>
                <w:szCs w:val="22"/>
                <w:lang w:val="es-GT"/>
              </w:rPr>
              <w:t xml:space="preserve"> se deben priorizar las regione</w:t>
            </w:r>
            <w:r w:rsidR="00877A87">
              <w:rPr>
                <w:rFonts w:ascii="Calibri" w:hAnsi="Calibri" w:cs="Calibri"/>
                <w:sz w:val="22"/>
                <w:szCs w:val="22"/>
                <w:lang w:val="es-GT"/>
              </w:rPr>
              <w:t>s secas del país, en las cuales</w:t>
            </w:r>
            <w:r w:rsidRPr="001A01AB">
              <w:rPr>
                <w:rFonts w:ascii="Calibri" w:hAnsi="Calibri" w:cs="Calibri"/>
                <w:sz w:val="22"/>
                <w:szCs w:val="22"/>
                <w:lang w:val="es-GT"/>
              </w:rPr>
              <w:t xml:space="preserve"> los sistemas agroforestales tienen una función importante para la gestión de las tierras y la cosecha de ag</w:t>
            </w:r>
            <w:r w:rsidR="00877A87">
              <w:rPr>
                <w:rFonts w:ascii="Calibri" w:hAnsi="Calibri" w:cs="Calibri"/>
                <w:sz w:val="22"/>
                <w:szCs w:val="22"/>
                <w:lang w:val="es-GT"/>
              </w:rPr>
              <w:t>ua de lluvia</w:t>
            </w:r>
            <w:r w:rsidRPr="001A01AB">
              <w:rPr>
                <w:rFonts w:ascii="Calibri" w:hAnsi="Calibri" w:cs="Calibri"/>
                <w:sz w:val="22"/>
                <w:szCs w:val="22"/>
                <w:lang w:val="es-GT"/>
              </w:rPr>
              <w:t>.</w:t>
            </w:r>
          </w:p>
        </w:tc>
      </w:tr>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lastRenderedPageBreak/>
              <w:t>c) Contribución con los objetivos estratégico</w:t>
            </w:r>
            <w:r w:rsidR="00877A87">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Con la mejora de la productividad de los sis</w:t>
            </w:r>
            <w:r w:rsidR="00877A87">
              <w:rPr>
                <w:rFonts w:ascii="Calibri" w:hAnsi="Calibri" w:cs="Calibri"/>
                <w:sz w:val="22"/>
                <w:szCs w:val="22"/>
                <w:lang w:val="es-GT"/>
              </w:rPr>
              <w:t>temas de producción, se mejorarán</w:t>
            </w:r>
            <w:r w:rsidRPr="001A01AB">
              <w:rPr>
                <w:rFonts w:ascii="Calibri" w:hAnsi="Calibri" w:cs="Calibri"/>
                <w:sz w:val="22"/>
                <w:szCs w:val="22"/>
                <w:lang w:val="es-GT"/>
              </w:rPr>
              <w:t xml:space="preserve"> los ingresos de los productores, aunque esto es notorio a mediano plazo.</w:t>
            </w:r>
          </w:p>
          <w:p w:rsidR="00B850BA" w:rsidRPr="001A01AB" w:rsidRDefault="00B850BA" w:rsidP="001A01AB">
            <w:pPr>
              <w:spacing w:before="40" w:after="40"/>
              <w:ind w:left="237"/>
              <w:jc w:val="both"/>
              <w:rPr>
                <w:rFonts w:ascii="Calibri" w:hAnsi="Calibri" w:cs="Calibri"/>
                <w:sz w:val="22"/>
                <w:szCs w:val="22"/>
                <w:lang w:val="es-GT"/>
              </w:rPr>
            </w:pP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La implementación de sistemas agroforestales contribuye a la generación de empleos temporales locales, de los cuales se pueden beneficiar los propios productores u otras personas de las comunidades en donde se encuentran los proyectos.</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w:t>
            </w:r>
            <w:r w:rsidR="00877A87">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E31B19" w:rsidP="00877A87">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 xml:space="preserve">Con la implementación de estos sistemas se </w:t>
            </w:r>
            <w:r w:rsidR="00877A87" w:rsidRPr="001A01AB">
              <w:rPr>
                <w:rFonts w:ascii="Calibri" w:hAnsi="Calibri" w:cs="Calibri"/>
                <w:sz w:val="22"/>
                <w:szCs w:val="22"/>
                <w:lang w:val="es-GT"/>
              </w:rPr>
              <w:t>optimizan</w:t>
            </w:r>
            <w:r w:rsidRPr="001A01AB">
              <w:rPr>
                <w:rFonts w:ascii="Calibri" w:hAnsi="Calibri" w:cs="Calibri"/>
                <w:sz w:val="22"/>
                <w:szCs w:val="22"/>
                <w:lang w:val="es-GT"/>
              </w:rPr>
              <w:t xml:space="preserve"> los medios de vida de los productores locales, quienes podrán mejorar </w:t>
            </w:r>
            <w:r w:rsidR="00877A87" w:rsidRPr="001A01AB">
              <w:rPr>
                <w:rFonts w:ascii="Calibri" w:hAnsi="Calibri" w:cs="Calibri"/>
                <w:sz w:val="22"/>
                <w:szCs w:val="22"/>
                <w:lang w:val="es-GT"/>
              </w:rPr>
              <w:t xml:space="preserve">sus condiciones </w:t>
            </w:r>
            <w:r w:rsidRPr="001A01AB">
              <w:rPr>
                <w:rFonts w:ascii="Calibri" w:hAnsi="Calibri" w:cs="Calibri"/>
                <w:sz w:val="22"/>
                <w:szCs w:val="22"/>
                <w:lang w:val="es-GT"/>
              </w:rPr>
              <w:t>a mediano plazo.</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La existencia del programa de incentivos forestales PINPEP, el cual es un mecanismo financiero que permite impulsar los sistemas agroforestales. Se debe tomar en cuenta que esta actividad es limitada</w:t>
            </w:r>
            <w:r w:rsidR="00877A87">
              <w:rPr>
                <w:rFonts w:ascii="Calibri" w:hAnsi="Calibri" w:cs="Calibri"/>
                <w:sz w:val="22"/>
                <w:szCs w:val="22"/>
                <w:lang w:val="es-GT"/>
              </w:rPr>
              <w:t>,</w:t>
            </w:r>
            <w:r w:rsidRPr="001A01AB">
              <w:rPr>
                <w:rFonts w:ascii="Calibri" w:hAnsi="Calibri" w:cs="Calibri"/>
                <w:sz w:val="22"/>
                <w:szCs w:val="22"/>
                <w:lang w:val="es-GT"/>
              </w:rPr>
              <w:t xml:space="preserve"> ya que este incentivo</w:t>
            </w:r>
            <w:r w:rsidR="00877A87">
              <w:rPr>
                <w:rFonts w:ascii="Calibri" w:hAnsi="Calibri" w:cs="Calibri"/>
                <w:sz w:val="22"/>
                <w:szCs w:val="22"/>
                <w:lang w:val="es-GT"/>
              </w:rPr>
              <w:t xml:space="preserve"> só</w:t>
            </w:r>
            <w:r w:rsidRPr="001A01AB">
              <w:rPr>
                <w:rFonts w:ascii="Calibri" w:hAnsi="Calibri" w:cs="Calibri"/>
                <w:sz w:val="22"/>
                <w:szCs w:val="22"/>
                <w:lang w:val="es-GT"/>
              </w:rPr>
              <w:t xml:space="preserve">lo aplica a pequeños poseedores de tierras, con lo que no se puede generalizar como un proyecto </w:t>
            </w:r>
            <w:r w:rsidR="00877A87">
              <w:rPr>
                <w:rFonts w:ascii="Calibri" w:hAnsi="Calibri" w:cs="Calibri"/>
                <w:sz w:val="22"/>
                <w:szCs w:val="22"/>
                <w:lang w:val="es-GT"/>
              </w:rPr>
              <w:t>para</w:t>
            </w:r>
            <w:r w:rsidRPr="001A01AB">
              <w:rPr>
                <w:rFonts w:ascii="Calibri" w:hAnsi="Calibri" w:cs="Calibri"/>
                <w:sz w:val="22"/>
                <w:szCs w:val="22"/>
                <w:lang w:val="es-GT"/>
              </w:rPr>
              <w:t xml:space="preserve"> todo el país.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La existencia de Oficinas Forestales Municipales que apoyan las actividades forestales y</w:t>
            </w:r>
            <w:r w:rsidR="006B6C95">
              <w:rPr>
                <w:rFonts w:ascii="Calibri" w:hAnsi="Calibri" w:cs="Calibri"/>
                <w:sz w:val="22"/>
                <w:szCs w:val="22"/>
                <w:lang w:val="es-GT"/>
              </w:rPr>
              <w:t>,</w:t>
            </w:r>
            <w:r w:rsidRPr="001A01AB">
              <w:rPr>
                <w:rFonts w:ascii="Calibri" w:hAnsi="Calibri" w:cs="Calibri"/>
                <w:sz w:val="22"/>
                <w:szCs w:val="22"/>
                <w:lang w:val="es-GT"/>
              </w:rPr>
              <w:t xml:space="preserve"> en algunos casos, actividades de producción de frutales.</w:t>
            </w:r>
          </w:p>
          <w:p w:rsidR="00E31B19" w:rsidRPr="001A01AB" w:rsidRDefault="00E31B19" w:rsidP="006B6C95">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Existe capacidad técnica local en la mayoría de regiones d</w:t>
            </w:r>
            <w:r w:rsidR="006B6C95">
              <w:rPr>
                <w:rFonts w:ascii="Calibri" w:hAnsi="Calibri" w:cs="Calibri"/>
                <w:sz w:val="22"/>
                <w:szCs w:val="22"/>
                <w:lang w:val="es-GT"/>
              </w:rPr>
              <w:t>el país, que pueden dinamizar</w:t>
            </w:r>
            <w:r w:rsidRPr="001A01AB">
              <w:rPr>
                <w:rFonts w:ascii="Calibri" w:hAnsi="Calibri" w:cs="Calibri"/>
                <w:sz w:val="22"/>
                <w:szCs w:val="22"/>
                <w:lang w:val="es-GT"/>
              </w:rPr>
              <w:t xml:space="preserve"> las actividades agroforestales a nivel comunitario.</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Promover la eliminación de bosques naturales (primarios y secundarios) para el establecimiento de sistemas agroforestales en el país.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Falta de recursos iniciales para la implementación de los sistemas a nivel comunitario.</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Poca aceptación local, por desconocimiento o falta de capacidades de los pequeños productores locales.</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3.2: S</w:t>
            </w:r>
            <w:r w:rsidR="00B850BA" w:rsidRPr="001A01AB">
              <w:rPr>
                <w:rFonts w:ascii="Calibri" w:hAnsi="Calibri" w:cs="Calibri"/>
                <w:b/>
                <w:color w:val="365F91"/>
                <w:sz w:val="22"/>
                <w:szCs w:val="22"/>
                <w:lang w:val="es-GT"/>
              </w:rPr>
              <w:t>uelo</w:t>
            </w:r>
            <w:r w:rsidRPr="001A01AB">
              <w:rPr>
                <w:rFonts w:ascii="Calibri" w:hAnsi="Calibri" w:cs="Calibri"/>
                <w:b/>
                <w:color w:val="365F91"/>
                <w:sz w:val="22"/>
                <w:szCs w:val="22"/>
                <w:lang w:val="es-GT"/>
              </w:rPr>
              <w:t xml:space="preserve"> – Promoción de la conservación de suelos agrícolas</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B850BA"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El 15% del territorio nacional se encuentra en condiciones de sobreuso, lo que causa erosión y deterioro del suelo, con la consecuente pérdida de los capitales y medios de vida de los productores. Aunque este problema abarca a la mayoría de productores, es más evidente a nivel de pequeños productores (productores de infra y</w:t>
            </w:r>
            <w:r w:rsidR="006B6C95">
              <w:rPr>
                <w:rFonts w:ascii="Calibri" w:hAnsi="Calibri" w:cs="Calibri"/>
                <w:sz w:val="22"/>
                <w:szCs w:val="22"/>
                <w:lang w:val="es-GT"/>
              </w:rPr>
              <w:t xml:space="preserve"> subsistencia), quienes se ve</w:t>
            </w:r>
            <w:r w:rsidRPr="001A01AB">
              <w:rPr>
                <w:rFonts w:ascii="Calibri" w:hAnsi="Calibri" w:cs="Calibri"/>
                <w:sz w:val="22"/>
                <w:szCs w:val="22"/>
                <w:lang w:val="es-GT"/>
              </w:rPr>
              <w:t>n más afectados con esta pérdida.</w:t>
            </w:r>
          </w:p>
          <w:p w:rsidR="00E31B19"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Muchas veces</w:t>
            </w:r>
            <w:r w:rsidR="006B6C95">
              <w:rPr>
                <w:rFonts w:ascii="Calibri" w:hAnsi="Calibri" w:cs="Calibri"/>
                <w:sz w:val="22"/>
                <w:szCs w:val="22"/>
                <w:lang w:val="es-GT"/>
              </w:rPr>
              <w:t>,</w:t>
            </w:r>
            <w:r w:rsidRPr="001A01AB">
              <w:rPr>
                <w:rFonts w:ascii="Calibri" w:hAnsi="Calibri" w:cs="Calibri"/>
                <w:sz w:val="22"/>
                <w:szCs w:val="22"/>
                <w:lang w:val="es-GT"/>
              </w:rPr>
              <w:t xml:space="preserve"> por la escase</w:t>
            </w:r>
            <w:r w:rsidR="006B6C95">
              <w:rPr>
                <w:rFonts w:ascii="Calibri" w:hAnsi="Calibri" w:cs="Calibri"/>
                <w:sz w:val="22"/>
                <w:szCs w:val="22"/>
                <w:lang w:val="es-GT"/>
              </w:rPr>
              <w:t>z</w:t>
            </w:r>
            <w:r w:rsidRPr="001A01AB">
              <w:rPr>
                <w:rFonts w:ascii="Calibri" w:hAnsi="Calibri" w:cs="Calibri"/>
                <w:sz w:val="22"/>
                <w:szCs w:val="22"/>
                <w:lang w:val="es-GT"/>
              </w:rPr>
              <w:t xml:space="preserve"> de tierras que tienen los pequeños agricultores, esta es </w:t>
            </w:r>
            <w:r w:rsidR="007C3972" w:rsidRPr="001A01AB">
              <w:rPr>
                <w:rFonts w:ascii="Calibri" w:hAnsi="Calibri" w:cs="Calibri"/>
                <w:sz w:val="22"/>
                <w:szCs w:val="22"/>
                <w:lang w:val="es-GT"/>
              </w:rPr>
              <w:t>sobre utilizada</w:t>
            </w:r>
            <w:r w:rsidRPr="001A01AB">
              <w:rPr>
                <w:rFonts w:ascii="Calibri" w:hAnsi="Calibri" w:cs="Calibri"/>
                <w:sz w:val="22"/>
                <w:szCs w:val="22"/>
                <w:lang w:val="es-GT"/>
              </w:rPr>
              <w:t xml:space="preserve"> de forma continua, con graves consecuencias.</w:t>
            </w:r>
          </w:p>
          <w:p w:rsidR="00B850BA" w:rsidRPr="001A01AB" w:rsidRDefault="00B850BA" w:rsidP="001A01AB">
            <w:pPr>
              <w:spacing w:before="40" w:after="40"/>
              <w:jc w:val="both"/>
              <w:rPr>
                <w:rFonts w:ascii="Calibri" w:hAnsi="Calibri" w:cs="Calibri"/>
                <w:sz w:val="22"/>
                <w:szCs w:val="22"/>
                <w:lang w:val="es-GT"/>
              </w:rPr>
            </w:pP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lastRenderedPageBreak/>
              <w:t xml:space="preserve">El establecimiento de sistemas de conservación de suelos es la medida más eficiente a largo plazo, además de tener la capacidad de revertir este tipo de problemática. </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AD33EA">
            <w:pPr>
              <w:spacing w:before="40" w:after="40"/>
              <w:jc w:val="both"/>
              <w:rPr>
                <w:rFonts w:ascii="Calibri" w:hAnsi="Calibri" w:cs="Calibri"/>
                <w:sz w:val="22"/>
                <w:szCs w:val="22"/>
                <w:lang w:val="es-GT"/>
              </w:rPr>
            </w:pPr>
            <w:r w:rsidRPr="001A01AB">
              <w:rPr>
                <w:rFonts w:ascii="Calibri" w:hAnsi="Calibri" w:cs="Calibri"/>
                <w:sz w:val="22"/>
                <w:szCs w:val="22"/>
                <w:lang w:val="es-GT"/>
              </w:rPr>
              <w:t>Se debe enfocar a los territorios con mayor conflictividad de uso de la tierra</w:t>
            </w:r>
            <w:r w:rsidR="00AD33EA">
              <w:rPr>
                <w:rFonts w:ascii="Calibri" w:hAnsi="Calibri" w:cs="Calibri"/>
                <w:sz w:val="22"/>
                <w:szCs w:val="22"/>
                <w:lang w:val="es-GT"/>
              </w:rPr>
              <w:t>,</w:t>
            </w:r>
            <w:r w:rsidRPr="001A01AB">
              <w:rPr>
                <w:rFonts w:ascii="Calibri" w:hAnsi="Calibri" w:cs="Calibri"/>
                <w:sz w:val="22"/>
                <w:szCs w:val="22"/>
                <w:lang w:val="es-GT"/>
              </w:rPr>
              <w:t xml:space="preserve"> que corresponde</w:t>
            </w:r>
            <w:r w:rsidR="00AD33EA">
              <w:rPr>
                <w:rFonts w:ascii="Calibri" w:hAnsi="Calibri" w:cs="Calibri"/>
                <w:sz w:val="22"/>
                <w:szCs w:val="22"/>
                <w:lang w:val="es-GT"/>
              </w:rPr>
              <w:t>n</w:t>
            </w:r>
            <w:r w:rsidRPr="001A01AB">
              <w:rPr>
                <w:rFonts w:ascii="Calibri" w:hAnsi="Calibri" w:cs="Calibri"/>
                <w:sz w:val="22"/>
                <w:szCs w:val="22"/>
                <w:lang w:val="es-GT"/>
              </w:rPr>
              <w:t xml:space="preserve"> al </w:t>
            </w:r>
            <w:r w:rsidR="00AD33EA">
              <w:rPr>
                <w:rFonts w:ascii="Calibri" w:hAnsi="Calibri" w:cs="Calibri"/>
                <w:sz w:val="22"/>
                <w:szCs w:val="22"/>
                <w:lang w:val="es-GT"/>
              </w:rPr>
              <w:t>a</w:t>
            </w:r>
            <w:r w:rsidRPr="001A01AB">
              <w:rPr>
                <w:rFonts w:ascii="Calibri" w:hAnsi="Calibri" w:cs="Calibri"/>
                <w:sz w:val="22"/>
                <w:szCs w:val="22"/>
                <w:lang w:val="es-GT"/>
              </w:rPr>
              <w:t>ltiplano central y occidental del país. Adicionalmente</w:t>
            </w:r>
            <w:r w:rsidR="00AD33EA">
              <w:rPr>
                <w:rFonts w:ascii="Calibri" w:hAnsi="Calibri" w:cs="Calibri"/>
                <w:sz w:val="22"/>
                <w:szCs w:val="22"/>
                <w:lang w:val="es-GT"/>
              </w:rPr>
              <w:t>,</w:t>
            </w:r>
            <w:r w:rsidRPr="001A01AB">
              <w:rPr>
                <w:rFonts w:ascii="Calibri" w:hAnsi="Calibri" w:cs="Calibri"/>
                <w:sz w:val="22"/>
                <w:szCs w:val="22"/>
                <w:lang w:val="es-GT"/>
              </w:rPr>
              <w:t xml:space="preserve"> se deben priorizar las regione</w:t>
            </w:r>
            <w:r w:rsidR="00AD33EA">
              <w:rPr>
                <w:rFonts w:ascii="Calibri" w:hAnsi="Calibri" w:cs="Calibri"/>
                <w:sz w:val="22"/>
                <w:szCs w:val="22"/>
                <w:lang w:val="es-GT"/>
              </w:rPr>
              <w:t>s secas del país, en las cuales</w:t>
            </w:r>
            <w:r w:rsidRPr="001A01AB">
              <w:rPr>
                <w:rFonts w:ascii="Calibri" w:hAnsi="Calibri" w:cs="Calibri"/>
                <w:sz w:val="22"/>
                <w:szCs w:val="22"/>
                <w:lang w:val="es-GT"/>
              </w:rPr>
              <w:t xml:space="preserve"> la conservación de suelos tiene una función importante para la gestión de las tierras</w:t>
            </w:r>
            <w:r w:rsidR="00AD33EA">
              <w:rPr>
                <w:rFonts w:ascii="Calibri" w:hAnsi="Calibri" w:cs="Calibri"/>
                <w:sz w:val="22"/>
                <w:szCs w:val="22"/>
                <w:lang w:val="es-GT"/>
              </w:rPr>
              <w:t xml:space="preserve"> y la cosecha de agua de lluvia</w:t>
            </w:r>
            <w:r w:rsidRPr="001A01AB">
              <w:rPr>
                <w:rFonts w:ascii="Calibri" w:hAnsi="Calibri" w:cs="Calibri"/>
                <w:sz w:val="22"/>
                <w:szCs w:val="22"/>
                <w:lang w:val="es-GT"/>
              </w:rPr>
              <w:t>.</w:t>
            </w:r>
          </w:p>
        </w:tc>
      </w:tr>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AD33EA">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 xml:space="preserve">Con la </w:t>
            </w:r>
            <w:r w:rsidR="00AD33EA">
              <w:rPr>
                <w:rFonts w:ascii="Calibri" w:hAnsi="Calibri" w:cs="Calibri"/>
                <w:sz w:val="22"/>
                <w:szCs w:val="22"/>
                <w:lang w:val="es-GT"/>
              </w:rPr>
              <w:t>optimización</w:t>
            </w:r>
            <w:r w:rsidRPr="001A01AB">
              <w:rPr>
                <w:rFonts w:ascii="Calibri" w:hAnsi="Calibri" w:cs="Calibri"/>
                <w:sz w:val="22"/>
                <w:szCs w:val="22"/>
                <w:lang w:val="es-GT"/>
              </w:rPr>
              <w:t xml:space="preserve"> de la productividad de los sistemas de producción se mejorar</w:t>
            </w:r>
            <w:r w:rsidR="00AD33EA">
              <w:rPr>
                <w:rFonts w:ascii="Calibri" w:hAnsi="Calibri" w:cs="Calibri"/>
                <w:sz w:val="22"/>
                <w:szCs w:val="22"/>
                <w:lang w:val="es-GT"/>
              </w:rPr>
              <w:t>án</w:t>
            </w:r>
            <w:r w:rsidRPr="001A01AB">
              <w:rPr>
                <w:rFonts w:ascii="Calibri" w:hAnsi="Calibri" w:cs="Calibri"/>
                <w:sz w:val="22"/>
                <w:szCs w:val="22"/>
                <w:lang w:val="es-GT"/>
              </w:rPr>
              <w:t xml:space="preserve"> los ingresos de los productores, aunque esto es notorio a mediano y largo plazo, permitiendo la sostenibilidad de los sistemas de producción.</w:t>
            </w:r>
          </w:p>
          <w:p w:rsidR="00AD33EA" w:rsidRPr="001A01AB" w:rsidRDefault="00AD33EA" w:rsidP="001A01AB">
            <w:pPr>
              <w:spacing w:before="40" w:after="40"/>
              <w:ind w:left="237"/>
              <w:jc w:val="both"/>
              <w:rPr>
                <w:rFonts w:ascii="Calibri" w:hAnsi="Calibri" w:cs="Calibri"/>
                <w:sz w:val="22"/>
                <w:szCs w:val="22"/>
                <w:lang w:val="es-GT"/>
              </w:rPr>
            </w:pP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La implementación de proyectos de conservación de suelos contribuye a la generación de empleos temporales locales, de los cuales se pueden beneficiar los propios productores u otras personas de las comunidades en donde se encuentran los proyectos.</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w:t>
            </w:r>
            <w:r w:rsidR="00AD33EA">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Con la impl</w:t>
            </w:r>
            <w:r w:rsidR="00D20EED">
              <w:rPr>
                <w:rFonts w:ascii="Calibri" w:hAnsi="Calibri" w:cs="Calibri"/>
                <w:sz w:val="22"/>
                <w:szCs w:val="22"/>
                <w:lang w:val="es-GT"/>
              </w:rPr>
              <w:t>ementación de estos sistemas</w:t>
            </w:r>
            <w:r w:rsidRPr="001A01AB">
              <w:rPr>
                <w:rFonts w:ascii="Calibri" w:hAnsi="Calibri" w:cs="Calibri"/>
                <w:sz w:val="22"/>
                <w:szCs w:val="22"/>
                <w:lang w:val="es-GT"/>
              </w:rPr>
              <w:t xml:space="preserve"> se </w:t>
            </w:r>
            <w:r w:rsidR="00D20EED" w:rsidRPr="001A01AB">
              <w:rPr>
                <w:rFonts w:ascii="Calibri" w:hAnsi="Calibri" w:cs="Calibri"/>
                <w:sz w:val="22"/>
                <w:szCs w:val="22"/>
                <w:lang w:val="es-GT"/>
              </w:rPr>
              <w:t>optimizan</w:t>
            </w:r>
            <w:r w:rsidRPr="001A01AB">
              <w:rPr>
                <w:rFonts w:ascii="Calibri" w:hAnsi="Calibri" w:cs="Calibri"/>
                <w:sz w:val="22"/>
                <w:szCs w:val="22"/>
                <w:lang w:val="es-GT"/>
              </w:rPr>
              <w:t xml:space="preserve"> los medios de vida de los productores locales, quienes podrán mejorar </w:t>
            </w:r>
            <w:r w:rsidR="00D20EED" w:rsidRPr="001A01AB">
              <w:rPr>
                <w:rFonts w:ascii="Calibri" w:hAnsi="Calibri" w:cs="Calibri"/>
                <w:sz w:val="22"/>
                <w:szCs w:val="22"/>
                <w:lang w:val="es-GT"/>
              </w:rPr>
              <w:t xml:space="preserve">sus condiciones </w:t>
            </w:r>
            <w:r w:rsidRPr="001A01AB">
              <w:rPr>
                <w:rFonts w:ascii="Calibri" w:hAnsi="Calibri" w:cs="Calibri"/>
                <w:sz w:val="22"/>
                <w:szCs w:val="22"/>
                <w:lang w:val="es-GT"/>
              </w:rPr>
              <w:t>a mediano plazo.</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Les ayuda a mejorar la capacidad de enfrentar los retos del cambio climático.</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Algunas experiencias anteriores en el país permiten analizar la implementación de este tipo de soluciones.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Se debe aprovechar la promoción de sistemas de riego para promover la conservación de suelos</w:t>
            </w:r>
            <w:r w:rsidR="00D20EED">
              <w:rPr>
                <w:rFonts w:ascii="Calibri" w:hAnsi="Calibri" w:cs="Calibri"/>
                <w:sz w:val="22"/>
                <w:szCs w:val="22"/>
                <w:lang w:val="es-GT"/>
              </w:rPr>
              <w:t>. D</w:t>
            </w:r>
            <w:r w:rsidRPr="001A01AB">
              <w:rPr>
                <w:rFonts w:ascii="Calibri" w:hAnsi="Calibri" w:cs="Calibri"/>
                <w:sz w:val="22"/>
                <w:szCs w:val="22"/>
                <w:lang w:val="es-GT"/>
              </w:rPr>
              <w:t>e es</w:t>
            </w:r>
            <w:r w:rsidR="00883F43">
              <w:rPr>
                <w:rFonts w:ascii="Calibri" w:hAnsi="Calibri" w:cs="Calibri"/>
                <w:sz w:val="22"/>
                <w:szCs w:val="22"/>
                <w:lang w:val="es-GT"/>
              </w:rPr>
              <w:t>ta forma, se da sostenibilidad de</w:t>
            </w:r>
            <w:r w:rsidRPr="001A01AB">
              <w:rPr>
                <w:rFonts w:ascii="Calibri" w:hAnsi="Calibri" w:cs="Calibri"/>
                <w:sz w:val="22"/>
                <w:szCs w:val="22"/>
                <w:lang w:val="es-GT"/>
              </w:rPr>
              <w:t xml:space="preserve"> largo plazo </w:t>
            </w:r>
            <w:r w:rsidR="00883F43">
              <w:rPr>
                <w:rFonts w:ascii="Calibri" w:hAnsi="Calibri" w:cs="Calibri"/>
                <w:sz w:val="22"/>
                <w:szCs w:val="22"/>
                <w:lang w:val="es-GT"/>
              </w:rPr>
              <w:t>a</w:t>
            </w:r>
            <w:r w:rsidRPr="001A01AB">
              <w:rPr>
                <w:rFonts w:ascii="Calibri" w:hAnsi="Calibri" w:cs="Calibri"/>
                <w:sz w:val="22"/>
                <w:szCs w:val="22"/>
                <w:lang w:val="es-GT"/>
              </w:rPr>
              <w:t xml:space="preserve"> los sistemas de producción, principalmente a nivel de pequeño productor rural.</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 xml:space="preserve">Aunque con pocos recursos y difusión </w:t>
            </w:r>
            <w:r w:rsidR="00883F43">
              <w:rPr>
                <w:rFonts w:ascii="Calibri" w:hAnsi="Calibri" w:cs="Calibri"/>
                <w:sz w:val="22"/>
                <w:szCs w:val="22"/>
                <w:lang w:val="es-GT"/>
              </w:rPr>
              <w:t>dentro del país, el MAGA impulsó</w:t>
            </w:r>
            <w:r w:rsidRPr="001A01AB">
              <w:rPr>
                <w:rFonts w:ascii="Calibri" w:hAnsi="Calibri" w:cs="Calibri"/>
                <w:sz w:val="22"/>
                <w:szCs w:val="22"/>
                <w:lang w:val="es-GT"/>
              </w:rPr>
              <w:t xml:space="preserve"> un programa de conservación de suelos en algunas cuencas prioritarias del país. </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El movimiento de tierras puede generar altos niveles de arrastre y sedimentación en el corto plazo, principalmente durante la construcción de estructuras de gran tamaño, como las terrazas.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La mala aplicación de algunas prácticas puede generar degradación total de las tierras, al exponer horizontes no productivos a la superficie.</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 xml:space="preserve">Poca aceptación por los altos costos de implementación y mantenimiento. </w:t>
            </w:r>
          </w:p>
        </w:tc>
      </w:tr>
      <w:tr w:rsidR="00E31B19" w:rsidRPr="000364C9" w:rsidTr="001A01AB">
        <w:trPr>
          <w:trHeight w:val="20"/>
          <w:jc w:val="center"/>
        </w:trPr>
        <w:tc>
          <w:tcPr>
            <w:tcW w:w="9437" w:type="dxa"/>
            <w:shd w:val="clear" w:color="auto" w:fill="auto"/>
          </w:tcPr>
          <w:p w:rsidR="000D70BF" w:rsidRDefault="000D70BF" w:rsidP="001A01AB">
            <w:pPr>
              <w:spacing w:before="40" w:after="40"/>
              <w:jc w:val="both"/>
              <w:rPr>
                <w:rFonts w:ascii="Calibri" w:hAnsi="Calibri" w:cs="Calibri"/>
                <w:b/>
                <w:color w:val="365F91"/>
                <w:sz w:val="22"/>
                <w:szCs w:val="22"/>
                <w:lang w:val="es-GT"/>
              </w:rPr>
            </w:pPr>
          </w:p>
          <w:p w:rsidR="000D70BF" w:rsidRDefault="000D70BF"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lastRenderedPageBreak/>
              <w:t>Opción estratégica 4.1: I</w:t>
            </w:r>
            <w:r w:rsidR="00B850BA" w:rsidRPr="001A01AB">
              <w:rPr>
                <w:rFonts w:ascii="Calibri" w:hAnsi="Calibri" w:cs="Calibri"/>
                <w:b/>
                <w:color w:val="365F91"/>
                <w:sz w:val="22"/>
                <w:szCs w:val="22"/>
                <w:lang w:val="es-GT"/>
              </w:rPr>
              <w:t xml:space="preserve">nfraestructura vial </w:t>
            </w:r>
            <w:r w:rsidRPr="001A01AB">
              <w:rPr>
                <w:rFonts w:ascii="Calibri" w:hAnsi="Calibri" w:cs="Calibri"/>
                <w:b/>
                <w:color w:val="365F91"/>
                <w:sz w:val="22"/>
                <w:szCs w:val="22"/>
                <w:lang w:val="es-GT"/>
              </w:rPr>
              <w:t>- Introducción y rehabilitación de caminos rurales</w:t>
            </w:r>
          </w:p>
        </w:tc>
      </w:tr>
      <w:tr w:rsidR="00E31B19" w:rsidRPr="000364C9" w:rsidTr="001A01AB">
        <w:trPr>
          <w:trHeight w:val="20"/>
          <w:jc w:val="center"/>
        </w:trPr>
        <w:tc>
          <w:tcPr>
            <w:tcW w:w="9437" w:type="dxa"/>
            <w:shd w:val="clear" w:color="auto" w:fill="auto"/>
          </w:tcPr>
          <w:p w:rsidR="00E31B19" w:rsidRPr="001A01AB" w:rsidRDefault="00B850BA"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lastRenderedPageBreak/>
              <w:t>a) Descripción general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El análisis realizado evidencia una alta correlación entre el estado y densidad de la red vial en zonas de producción agrícola y la ocurrencia de escenarios dinámicos de actividad económica agrícola y no agrícola. Esto confirma la pertinencia de diseñar programas de inversión en infraestructura en atención a los atributos territoriales que puedan originar patrones de crecimiento económico que contribuyan a alcanzar metas de desarrollo rural.</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Altiplano occidental de Guatemala, principalmente.</w:t>
            </w:r>
          </w:p>
        </w:tc>
      </w:tr>
      <w:tr w:rsidR="00E31B19" w:rsidRPr="000364C9" w:rsidTr="001A01AB">
        <w:trPr>
          <w:trHeight w:val="20"/>
          <w:jc w:val="center"/>
        </w:trPr>
        <w:tc>
          <w:tcPr>
            <w:tcW w:w="9437" w:type="dxa"/>
            <w:shd w:val="clear" w:color="auto" w:fill="auto"/>
          </w:tcPr>
          <w:p w:rsidR="00E31B19" w:rsidRPr="001A01AB" w:rsidRDefault="00883F43"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br/>
            </w:r>
            <w:r w:rsidR="00E31B19" w:rsidRPr="001A01AB">
              <w:rPr>
                <w:rFonts w:ascii="Calibri" w:hAnsi="Calibri" w:cs="Calibri"/>
                <w:b/>
                <w:color w:val="365F91"/>
                <w:sz w:val="22"/>
                <w:szCs w:val="22"/>
                <w:lang w:val="es-GT"/>
              </w:rPr>
              <w:t>c) Contribución con los objetivos estratégico</w:t>
            </w:r>
            <w:r>
              <w:rPr>
                <w:rFonts w:ascii="Calibri" w:hAnsi="Calibri" w:cs="Calibri"/>
                <w:b/>
                <w:color w:val="365F91"/>
                <w:sz w:val="22"/>
                <w:szCs w:val="22"/>
                <w:lang w:val="es-GT"/>
              </w:rPr>
              <w:t>s</w:t>
            </w:r>
            <w:r w:rsidR="00E31B19" w:rsidRPr="001A01AB">
              <w:rPr>
                <w:rFonts w:ascii="Calibri" w:hAnsi="Calibri" w:cs="Calibri"/>
                <w:b/>
                <w:color w:val="365F91"/>
                <w:sz w:val="22"/>
                <w:szCs w:val="22"/>
                <w:lang w:val="es-GT"/>
              </w:rPr>
              <w:t xml:space="preserve"> de la intervención del FIDA en Guatemala</w:t>
            </w:r>
          </w:p>
          <w:p w:rsidR="000D70BF" w:rsidRDefault="000D70BF"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Default="00E31B19" w:rsidP="001A01AB">
            <w:pPr>
              <w:spacing w:before="40" w:after="40"/>
              <w:ind w:left="213"/>
              <w:jc w:val="both"/>
              <w:rPr>
                <w:rFonts w:ascii="Calibri" w:hAnsi="Calibri" w:cs="Calibri"/>
                <w:sz w:val="22"/>
                <w:szCs w:val="22"/>
                <w:lang w:val="es-GT"/>
              </w:rPr>
            </w:pPr>
            <w:r w:rsidRPr="001A01AB">
              <w:rPr>
                <w:rFonts w:ascii="Calibri" w:hAnsi="Calibri" w:cs="Calibri"/>
                <w:sz w:val="22"/>
                <w:szCs w:val="22"/>
                <w:lang w:val="es-GT"/>
              </w:rPr>
              <w:t xml:space="preserve">El mejoramiento de la vialidad en esta región daría un impulso importante a los emprendimientos </w:t>
            </w:r>
            <w:r w:rsidR="00883F43">
              <w:rPr>
                <w:rFonts w:ascii="Calibri" w:hAnsi="Calibri" w:cs="Calibri"/>
                <w:sz w:val="22"/>
                <w:szCs w:val="22"/>
                <w:lang w:val="es-GT"/>
              </w:rPr>
              <w:t>d</w:t>
            </w:r>
            <w:r w:rsidRPr="001A01AB">
              <w:rPr>
                <w:rFonts w:ascii="Calibri" w:hAnsi="Calibri" w:cs="Calibri"/>
                <w:sz w:val="22"/>
                <w:szCs w:val="22"/>
                <w:lang w:val="es-GT"/>
              </w:rPr>
              <w:t>el sector agrícola comercial</w:t>
            </w:r>
            <w:r w:rsidR="00883F43">
              <w:rPr>
                <w:rFonts w:ascii="Calibri" w:hAnsi="Calibri" w:cs="Calibri"/>
                <w:sz w:val="22"/>
                <w:szCs w:val="22"/>
                <w:lang w:val="es-GT"/>
              </w:rPr>
              <w:t>,</w:t>
            </w:r>
            <w:r w:rsidRPr="001A01AB">
              <w:rPr>
                <w:rFonts w:ascii="Calibri" w:hAnsi="Calibri" w:cs="Calibri"/>
                <w:sz w:val="22"/>
                <w:szCs w:val="22"/>
                <w:lang w:val="es-GT"/>
              </w:rPr>
              <w:t xml:space="preserve"> y sería un estímulo para la ampliación de la superficie productiva y la incorporación de técnicas que tiendan a mejorar los rendimientos agrícolas. Esto representa beneficios potenciales para los productores comerciales y excedentarios.</w:t>
            </w:r>
          </w:p>
          <w:p w:rsidR="00B850BA" w:rsidRPr="000D70BF" w:rsidRDefault="00B850BA" w:rsidP="001A01AB">
            <w:pPr>
              <w:spacing w:before="40" w:after="40"/>
              <w:ind w:left="213"/>
              <w:jc w:val="both"/>
              <w:rPr>
                <w:rFonts w:ascii="Calibri" w:hAnsi="Calibri" w:cs="Calibri"/>
                <w:sz w:val="12"/>
                <w:szCs w:val="12"/>
                <w:lang w:val="es-GT"/>
              </w:rPr>
            </w:pPr>
          </w:p>
          <w:p w:rsidR="00E31B19" w:rsidRDefault="00E31B19" w:rsidP="001A01AB">
            <w:pPr>
              <w:spacing w:before="40" w:after="40"/>
              <w:ind w:left="213"/>
              <w:jc w:val="both"/>
              <w:rPr>
                <w:rFonts w:ascii="Calibri" w:hAnsi="Calibri" w:cs="Calibri"/>
                <w:sz w:val="22"/>
                <w:szCs w:val="22"/>
                <w:lang w:val="es-GT"/>
              </w:rPr>
            </w:pPr>
            <w:r w:rsidRPr="001A01AB">
              <w:rPr>
                <w:rFonts w:ascii="Calibri" w:hAnsi="Calibri" w:cs="Calibri"/>
                <w:sz w:val="22"/>
                <w:szCs w:val="22"/>
                <w:lang w:val="es-GT"/>
              </w:rPr>
              <w:t>El empleo que la actividad agrícola contribuye a generar va más allá del empleo directo</w:t>
            </w:r>
            <w:r w:rsidR="00883F43">
              <w:rPr>
                <w:rFonts w:ascii="Calibri" w:hAnsi="Calibri" w:cs="Calibri"/>
                <w:sz w:val="22"/>
                <w:szCs w:val="22"/>
                <w:lang w:val="es-GT"/>
              </w:rPr>
              <w:t>,</w:t>
            </w:r>
            <w:r w:rsidRPr="001A01AB">
              <w:rPr>
                <w:rFonts w:ascii="Calibri" w:hAnsi="Calibri" w:cs="Calibri"/>
                <w:sz w:val="22"/>
                <w:szCs w:val="22"/>
                <w:lang w:val="es-GT"/>
              </w:rPr>
              <w:t xml:space="preserve"> del cual se benefician los trabajadores agrícolas, los agricultores y sus familias. Esto representa una oportunidad para los productores agrícolas de infrasubsistencia y subsistencia.</w:t>
            </w:r>
          </w:p>
          <w:p w:rsidR="00B850BA" w:rsidRPr="001A01AB" w:rsidRDefault="00B850BA" w:rsidP="001A01AB">
            <w:pPr>
              <w:spacing w:before="40" w:after="40"/>
              <w:ind w:left="213"/>
              <w:jc w:val="both"/>
              <w:rPr>
                <w:rFonts w:ascii="Calibri" w:hAnsi="Calibri" w:cs="Calibri"/>
                <w:sz w:val="22"/>
                <w:szCs w:val="22"/>
                <w:lang w:val="es-GT"/>
              </w:rPr>
            </w:pPr>
          </w:p>
          <w:p w:rsidR="00E31B19" w:rsidRPr="001A01AB" w:rsidRDefault="00E31B19" w:rsidP="001A01AB">
            <w:pPr>
              <w:spacing w:before="40" w:after="40"/>
              <w:ind w:left="213"/>
              <w:jc w:val="both"/>
              <w:rPr>
                <w:rFonts w:ascii="Calibri" w:hAnsi="Calibri" w:cs="Calibri"/>
                <w:b/>
                <w:i/>
                <w:sz w:val="22"/>
                <w:szCs w:val="22"/>
                <w:lang w:val="es-GT"/>
              </w:rPr>
            </w:pPr>
            <w:r w:rsidRPr="001A01AB">
              <w:rPr>
                <w:rFonts w:ascii="Calibri" w:hAnsi="Calibri" w:cs="Calibri"/>
                <w:sz w:val="22"/>
                <w:szCs w:val="22"/>
                <w:lang w:val="es-GT"/>
              </w:rPr>
              <w:t>Es a través de la acción de los multiplicadores de ingreso en la economía local y de la alta propensión de los agricultores hacia el consumo de bienes y servicios producidos localmente, que el ingreso de la actividad agrícola tiene un impacto que se propaga hacia el sector no agrícola de la economía.</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w:t>
            </w:r>
            <w:r w:rsidR="00883F43">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E31B19" w:rsidP="001A01AB">
            <w:pPr>
              <w:spacing w:before="40" w:after="40"/>
              <w:ind w:left="213"/>
              <w:jc w:val="both"/>
              <w:rPr>
                <w:rFonts w:ascii="Calibri" w:hAnsi="Calibri" w:cs="Calibri"/>
                <w:sz w:val="22"/>
                <w:szCs w:val="22"/>
                <w:lang w:val="es-GT"/>
              </w:rPr>
            </w:pPr>
            <w:r w:rsidRPr="001A01AB">
              <w:rPr>
                <w:rFonts w:ascii="Calibri" w:hAnsi="Calibri" w:cs="Calibri"/>
                <w:sz w:val="22"/>
                <w:szCs w:val="22"/>
                <w:lang w:val="es-GT"/>
              </w:rPr>
              <w:t>Los caminos rurales permiten mayor movilidad e intercambio de las comunidades. Esto les mejora las condiciones ante una economía basada en el intercambio vía mercado, principalmente.</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883F43" w:rsidP="001A01AB">
            <w:pPr>
              <w:numPr>
                <w:ilvl w:val="0"/>
                <w:numId w:val="29"/>
              </w:numPr>
              <w:spacing w:before="40" w:after="40"/>
              <w:ind w:left="568" w:hanging="284"/>
              <w:jc w:val="both"/>
              <w:rPr>
                <w:rFonts w:ascii="Calibri" w:hAnsi="Calibri" w:cs="Calibri"/>
                <w:sz w:val="22"/>
                <w:szCs w:val="22"/>
                <w:lang w:val="es-GT"/>
              </w:rPr>
            </w:pPr>
            <w:r>
              <w:rPr>
                <w:rFonts w:ascii="Calibri" w:hAnsi="Calibri" w:cs="Calibri"/>
                <w:sz w:val="22"/>
                <w:szCs w:val="22"/>
                <w:lang w:val="es-GT"/>
              </w:rPr>
              <w:t>Impulso de</w:t>
            </w:r>
            <w:r w:rsidR="00E31B19" w:rsidRPr="001A01AB">
              <w:rPr>
                <w:rFonts w:ascii="Calibri" w:hAnsi="Calibri" w:cs="Calibri"/>
                <w:sz w:val="22"/>
                <w:szCs w:val="22"/>
                <w:lang w:val="es-GT"/>
              </w:rPr>
              <w:t xml:space="preserve"> las actividades económicas agrícolas y no agrícolas en el área rural. </w:t>
            </w:r>
          </w:p>
          <w:p w:rsidR="00E31B19" w:rsidRPr="001A01AB" w:rsidRDefault="00E31B19" w:rsidP="001A01AB">
            <w:pPr>
              <w:numPr>
                <w:ilvl w:val="0"/>
                <w:numId w:val="29"/>
              </w:numPr>
              <w:spacing w:before="40" w:after="40"/>
              <w:ind w:left="568" w:hanging="284"/>
              <w:jc w:val="both"/>
              <w:rPr>
                <w:rFonts w:ascii="Calibri" w:hAnsi="Calibri" w:cs="Calibri"/>
                <w:sz w:val="22"/>
                <w:szCs w:val="22"/>
                <w:lang w:val="es-GT"/>
              </w:rPr>
            </w:pPr>
            <w:r w:rsidRPr="001A01AB">
              <w:rPr>
                <w:rFonts w:ascii="Calibri" w:hAnsi="Calibri" w:cs="Calibri"/>
                <w:sz w:val="22"/>
                <w:szCs w:val="22"/>
                <w:lang w:val="es-GT"/>
              </w:rPr>
              <w:t>Generación de empleo/ingreso rural, tanto en los sectores agrícola como no agrícola.</w:t>
            </w:r>
          </w:p>
          <w:p w:rsidR="00E31B19" w:rsidRPr="001A01AB" w:rsidRDefault="00E31B19" w:rsidP="001A01AB">
            <w:pPr>
              <w:numPr>
                <w:ilvl w:val="0"/>
                <w:numId w:val="29"/>
              </w:numPr>
              <w:spacing w:before="40" w:after="40"/>
              <w:ind w:left="568" w:hanging="284"/>
              <w:jc w:val="both"/>
              <w:rPr>
                <w:rFonts w:ascii="Calibri" w:hAnsi="Calibri" w:cs="Calibri"/>
                <w:b/>
                <w:sz w:val="22"/>
                <w:szCs w:val="22"/>
                <w:lang w:val="es-GT"/>
              </w:rPr>
            </w:pPr>
            <w:r w:rsidRPr="001A01AB">
              <w:rPr>
                <w:rFonts w:ascii="Calibri" w:hAnsi="Calibri" w:cs="Calibri"/>
                <w:sz w:val="22"/>
                <w:szCs w:val="22"/>
                <w:lang w:val="es-GT"/>
              </w:rPr>
              <w:t>Dinamización económica de las áreas rurales</w:t>
            </w:r>
            <w:r w:rsidR="00883F43">
              <w:rPr>
                <w:rFonts w:ascii="Calibri" w:hAnsi="Calibri" w:cs="Calibri"/>
                <w:sz w:val="22"/>
                <w:szCs w:val="22"/>
                <w:lang w:val="es-GT"/>
              </w:rPr>
              <w:t>.</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568" w:hanging="284"/>
              <w:jc w:val="both"/>
              <w:rPr>
                <w:rFonts w:ascii="Calibri" w:hAnsi="Calibri" w:cs="Calibri"/>
                <w:sz w:val="22"/>
                <w:szCs w:val="22"/>
                <w:lang w:val="es-GT"/>
              </w:rPr>
            </w:pPr>
            <w:r w:rsidRPr="001A01AB">
              <w:rPr>
                <w:rFonts w:ascii="Calibri" w:hAnsi="Calibri" w:cs="Calibri"/>
                <w:sz w:val="22"/>
                <w:szCs w:val="22"/>
                <w:lang w:val="es-GT"/>
              </w:rPr>
              <w:t xml:space="preserve">Los caminos han demostrado ser históricamente un agente asociado </w:t>
            </w:r>
            <w:r w:rsidR="00883F43">
              <w:rPr>
                <w:rFonts w:ascii="Calibri" w:hAnsi="Calibri" w:cs="Calibri"/>
                <w:sz w:val="22"/>
                <w:szCs w:val="22"/>
                <w:lang w:val="es-GT"/>
              </w:rPr>
              <w:t>a</w:t>
            </w:r>
            <w:r w:rsidRPr="001A01AB">
              <w:rPr>
                <w:rFonts w:ascii="Calibri" w:hAnsi="Calibri" w:cs="Calibri"/>
                <w:sz w:val="22"/>
                <w:szCs w:val="22"/>
                <w:lang w:val="es-GT"/>
              </w:rPr>
              <w:t xml:space="preserve"> la deforestación, dado que facilita</w:t>
            </w:r>
            <w:r w:rsidR="00883F43">
              <w:rPr>
                <w:rFonts w:ascii="Calibri" w:hAnsi="Calibri" w:cs="Calibri"/>
                <w:sz w:val="22"/>
                <w:szCs w:val="22"/>
                <w:lang w:val="es-GT"/>
              </w:rPr>
              <w:t>n</w:t>
            </w:r>
            <w:r w:rsidRPr="001A01AB">
              <w:rPr>
                <w:rFonts w:ascii="Calibri" w:hAnsi="Calibri" w:cs="Calibri"/>
                <w:sz w:val="22"/>
                <w:szCs w:val="22"/>
                <w:lang w:val="es-GT"/>
              </w:rPr>
              <w:t xml:space="preserve"> el acceso a áreas forestales, ejerciendo presión poblacional sobre las mismas.</w:t>
            </w:r>
          </w:p>
          <w:p w:rsidR="00E31B19" w:rsidRPr="001A01AB" w:rsidRDefault="00E31B19" w:rsidP="001A01AB">
            <w:pPr>
              <w:numPr>
                <w:ilvl w:val="0"/>
                <w:numId w:val="29"/>
              </w:numPr>
              <w:spacing w:before="40" w:after="40"/>
              <w:ind w:left="568" w:hanging="284"/>
              <w:jc w:val="both"/>
              <w:rPr>
                <w:rFonts w:ascii="Calibri" w:hAnsi="Calibri" w:cs="Calibri"/>
                <w:b/>
                <w:sz w:val="22"/>
                <w:szCs w:val="22"/>
                <w:lang w:val="es-GT"/>
              </w:rPr>
            </w:pPr>
            <w:r w:rsidRPr="001A01AB">
              <w:rPr>
                <w:rFonts w:ascii="Calibri" w:hAnsi="Calibri" w:cs="Calibri"/>
                <w:sz w:val="22"/>
                <w:szCs w:val="22"/>
                <w:lang w:val="es-GT"/>
              </w:rPr>
              <w:t>La introducción de caminos rurales tiene el potencial de generar deslizamientos, erosión de los suelos y asolvamiento de ríos y cuerpos de agua, principalmente en terrenos de topografía escarpada, si no se hacen consideraciones pertinentes de diseño.</w:t>
            </w:r>
          </w:p>
        </w:tc>
      </w:tr>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lastRenderedPageBreak/>
              <w:t>Opción estratégica 5.1: P</w:t>
            </w:r>
            <w:r w:rsidR="00B850BA" w:rsidRPr="001A01AB">
              <w:rPr>
                <w:rFonts w:ascii="Calibri" w:hAnsi="Calibri" w:cs="Calibri"/>
                <w:b/>
                <w:color w:val="365F91"/>
                <w:sz w:val="22"/>
                <w:szCs w:val="22"/>
                <w:lang w:val="es-GT"/>
              </w:rPr>
              <w:t xml:space="preserve">roductividad agrícola </w:t>
            </w:r>
            <w:r w:rsidRPr="001A01AB">
              <w:rPr>
                <w:rFonts w:ascii="Calibri" w:hAnsi="Calibri" w:cs="Calibri"/>
                <w:b/>
                <w:color w:val="365F91"/>
                <w:sz w:val="22"/>
                <w:szCs w:val="22"/>
                <w:lang w:val="es-GT"/>
              </w:rPr>
              <w:t>– Construcción de sistemas de riego rural</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a) Descripción general:</w:t>
            </w:r>
          </w:p>
          <w:p w:rsidR="00E31B19" w:rsidRPr="00053CAC" w:rsidRDefault="00E31B19" w:rsidP="001A01AB">
            <w:pPr>
              <w:spacing w:before="40" w:after="40"/>
              <w:jc w:val="both"/>
              <w:rPr>
                <w:rFonts w:ascii="Calibri" w:hAnsi="Calibri" w:cs="Calibri"/>
                <w:sz w:val="22"/>
                <w:szCs w:val="22"/>
                <w:lang w:val="es-GT"/>
              </w:rPr>
            </w:pPr>
            <w:r w:rsidRPr="00053CAC">
              <w:rPr>
                <w:rFonts w:ascii="Calibri" w:hAnsi="Calibri" w:cs="Calibri"/>
                <w:sz w:val="22"/>
                <w:szCs w:val="22"/>
                <w:lang w:val="es-GT"/>
              </w:rPr>
              <w:t xml:space="preserve">En Guatemala existe una gran cantidad de tierras con capacidad agrícola y potencial de riego, </w:t>
            </w:r>
            <w:r w:rsidR="00E14CA2" w:rsidRPr="00053CAC">
              <w:rPr>
                <w:rFonts w:ascii="Calibri" w:hAnsi="Calibri" w:cs="Calibri"/>
                <w:sz w:val="22"/>
                <w:szCs w:val="22"/>
                <w:lang w:val="es-GT"/>
              </w:rPr>
              <w:t>las cuales</w:t>
            </w:r>
            <w:r w:rsidRPr="00053CAC">
              <w:rPr>
                <w:rFonts w:ascii="Calibri" w:hAnsi="Calibri" w:cs="Calibri"/>
                <w:sz w:val="22"/>
                <w:szCs w:val="22"/>
                <w:lang w:val="es-GT"/>
              </w:rPr>
              <w:t xml:space="preserve"> pueden potenciarse para dinamizar la productividad e ingresos a nivel comunitario.</w:t>
            </w:r>
          </w:p>
          <w:p w:rsidR="00053CAC" w:rsidRDefault="00053CAC" w:rsidP="001A01AB">
            <w:pPr>
              <w:spacing w:before="40" w:after="40"/>
              <w:jc w:val="both"/>
              <w:rPr>
                <w:rFonts w:ascii="Calibri" w:hAnsi="Calibri" w:cs="Calibri"/>
                <w:sz w:val="22"/>
                <w:szCs w:val="22"/>
                <w:lang w:val="es-GT"/>
              </w:rPr>
            </w:pPr>
          </w:p>
          <w:p w:rsidR="00E31B19" w:rsidRPr="00053CAC" w:rsidRDefault="00E31B19" w:rsidP="001A01AB">
            <w:pPr>
              <w:spacing w:before="40" w:after="40"/>
              <w:jc w:val="both"/>
              <w:rPr>
                <w:rFonts w:ascii="Calibri" w:hAnsi="Calibri" w:cs="Calibri"/>
                <w:sz w:val="22"/>
                <w:szCs w:val="22"/>
                <w:lang w:val="es-GT"/>
              </w:rPr>
            </w:pPr>
            <w:r w:rsidRPr="00053CAC">
              <w:rPr>
                <w:rFonts w:ascii="Calibri" w:hAnsi="Calibri" w:cs="Calibri"/>
                <w:sz w:val="22"/>
                <w:szCs w:val="22"/>
                <w:lang w:val="es-GT"/>
              </w:rPr>
              <w:t xml:space="preserve">Los sistemas de riego en las comunidades permiten acceder a nuevas opciones productivas, </w:t>
            </w:r>
            <w:r w:rsidR="00E14CA2" w:rsidRPr="00053CAC">
              <w:rPr>
                <w:rFonts w:ascii="Calibri" w:hAnsi="Calibri" w:cs="Calibri"/>
                <w:sz w:val="22"/>
                <w:szCs w:val="22"/>
                <w:lang w:val="es-GT"/>
              </w:rPr>
              <w:t xml:space="preserve">como las </w:t>
            </w:r>
            <w:r w:rsidRPr="00053CAC">
              <w:rPr>
                <w:rFonts w:ascii="Calibri" w:hAnsi="Calibri" w:cs="Calibri"/>
                <w:sz w:val="22"/>
                <w:szCs w:val="22"/>
                <w:lang w:val="es-GT"/>
              </w:rPr>
              <w:t>hortalizas, cuya comercialización genera mejores ingresos, además de garantizar la sostenibilidad de sus sistemas productivos.</w:t>
            </w:r>
          </w:p>
          <w:p w:rsidR="00B850BA" w:rsidRPr="00053CAC" w:rsidRDefault="00B850BA" w:rsidP="001A01AB">
            <w:pPr>
              <w:spacing w:before="40" w:after="40"/>
              <w:jc w:val="both"/>
              <w:rPr>
                <w:rFonts w:ascii="Calibri" w:hAnsi="Calibri" w:cs="Calibri"/>
                <w:sz w:val="22"/>
                <w:szCs w:val="22"/>
                <w:lang w:val="es-GT"/>
              </w:rPr>
            </w:pPr>
          </w:p>
          <w:p w:rsidR="00E31B19" w:rsidRPr="001A01AB" w:rsidRDefault="007C3972" w:rsidP="00053CAC">
            <w:pPr>
              <w:spacing w:before="40" w:after="40"/>
              <w:jc w:val="both"/>
              <w:rPr>
                <w:rFonts w:ascii="Calibri" w:hAnsi="Calibri" w:cs="Calibri"/>
                <w:sz w:val="22"/>
                <w:szCs w:val="22"/>
                <w:lang w:val="es-GT"/>
              </w:rPr>
            </w:pPr>
            <w:r w:rsidRPr="00053CAC">
              <w:rPr>
                <w:rFonts w:ascii="Calibri" w:hAnsi="Calibri" w:cs="Calibri"/>
                <w:sz w:val="22"/>
                <w:szCs w:val="22"/>
                <w:lang w:val="es-GT"/>
              </w:rPr>
              <w:t>En áreas de alta escasez</w:t>
            </w:r>
            <w:r w:rsidR="00E31B19" w:rsidRPr="00053CAC">
              <w:rPr>
                <w:rFonts w:ascii="Calibri" w:hAnsi="Calibri" w:cs="Calibri"/>
                <w:sz w:val="22"/>
                <w:szCs w:val="22"/>
                <w:lang w:val="es-GT"/>
              </w:rPr>
              <w:t xml:space="preserve"> temporal de lluvias, como en el </w:t>
            </w:r>
            <w:r w:rsidR="00B850BA" w:rsidRPr="00053CAC">
              <w:rPr>
                <w:rFonts w:ascii="Calibri" w:hAnsi="Calibri" w:cs="Calibri"/>
                <w:sz w:val="22"/>
                <w:szCs w:val="22"/>
                <w:lang w:val="es-GT"/>
              </w:rPr>
              <w:t>corredor seco</w:t>
            </w:r>
            <w:r w:rsidR="00E14CA2" w:rsidRPr="00053CAC">
              <w:rPr>
                <w:rFonts w:ascii="Calibri" w:hAnsi="Calibri" w:cs="Calibri"/>
                <w:sz w:val="22"/>
                <w:szCs w:val="22"/>
                <w:lang w:val="es-GT"/>
              </w:rPr>
              <w:t>,</w:t>
            </w:r>
            <w:r w:rsidR="00B850BA" w:rsidRPr="00053CAC">
              <w:rPr>
                <w:rFonts w:ascii="Calibri" w:hAnsi="Calibri" w:cs="Calibri"/>
                <w:sz w:val="22"/>
                <w:szCs w:val="22"/>
                <w:lang w:val="es-GT"/>
              </w:rPr>
              <w:t xml:space="preserve"> </w:t>
            </w:r>
            <w:r w:rsidR="00E31B19" w:rsidRPr="00053CAC">
              <w:rPr>
                <w:rFonts w:ascii="Calibri" w:hAnsi="Calibri" w:cs="Calibri"/>
                <w:sz w:val="22"/>
                <w:szCs w:val="22"/>
                <w:lang w:val="es-GT"/>
              </w:rPr>
              <w:t>se deben considerar algunas soluciones de riego, principalmente para asegurar que las comunidades más vulnerables, puedan obtener las cosechas de temporada (época lluviosa) y de esta forma, mejorar su capacidad de adaptación a la variabilidad climática.</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053CAC">
            <w:pPr>
              <w:spacing w:before="40" w:after="40"/>
              <w:jc w:val="both"/>
              <w:rPr>
                <w:rFonts w:ascii="Calibri" w:hAnsi="Calibri" w:cs="Calibri"/>
                <w:sz w:val="22"/>
                <w:szCs w:val="22"/>
                <w:lang w:val="es-GT"/>
              </w:rPr>
            </w:pPr>
            <w:r w:rsidRPr="001A01AB">
              <w:rPr>
                <w:rFonts w:ascii="Calibri" w:hAnsi="Calibri" w:cs="Calibri"/>
                <w:sz w:val="22"/>
                <w:szCs w:val="22"/>
                <w:lang w:val="es-GT"/>
              </w:rPr>
              <w:t>Corredo</w:t>
            </w:r>
            <w:r w:rsidR="003C58E3">
              <w:rPr>
                <w:rFonts w:ascii="Calibri" w:hAnsi="Calibri" w:cs="Calibri"/>
                <w:sz w:val="22"/>
                <w:szCs w:val="22"/>
                <w:lang w:val="es-GT"/>
              </w:rPr>
              <w:t>r s</w:t>
            </w:r>
            <w:r w:rsidR="00053CAC">
              <w:rPr>
                <w:rFonts w:ascii="Calibri" w:hAnsi="Calibri" w:cs="Calibri"/>
                <w:sz w:val="22"/>
                <w:szCs w:val="22"/>
                <w:lang w:val="es-GT"/>
              </w:rPr>
              <w:t>eco del país y a</w:t>
            </w:r>
            <w:r w:rsidRPr="001A01AB">
              <w:rPr>
                <w:rFonts w:ascii="Calibri" w:hAnsi="Calibri" w:cs="Calibri"/>
                <w:sz w:val="22"/>
                <w:szCs w:val="22"/>
                <w:lang w:val="es-GT"/>
              </w:rPr>
              <w:t>ltiplano central y occidental.</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053CAC">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 xml:space="preserve">Los sistemas de riego permiten incrementar la productividad de los sistemas de producción de los agricultores, principalmente de los pequeños y medianos, mejorándoles </w:t>
            </w:r>
            <w:r w:rsidR="00053CAC">
              <w:rPr>
                <w:rFonts w:ascii="Calibri" w:hAnsi="Calibri" w:cs="Calibri"/>
                <w:sz w:val="22"/>
                <w:szCs w:val="22"/>
                <w:lang w:val="es-GT"/>
              </w:rPr>
              <w:t>sus capacidades</w:t>
            </w:r>
            <w:r w:rsidRPr="001A01AB">
              <w:rPr>
                <w:rFonts w:ascii="Calibri" w:hAnsi="Calibri" w:cs="Calibri"/>
                <w:sz w:val="22"/>
                <w:szCs w:val="22"/>
                <w:lang w:val="es-GT"/>
              </w:rPr>
              <w:t>.</w:t>
            </w:r>
          </w:p>
          <w:p w:rsidR="00E31B19" w:rsidRPr="001A01AB" w:rsidRDefault="00E31B19" w:rsidP="001A01AB">
            <w:pPr>
              <w:spacing w:before="40" w:after="40"/>
              <w:ind w:left="237"/>
              <w:jc w:val="both"/>
              <w:rPr>
                <w:rFonts w:ascii="Calibri" w:hAnsi="Calibri" w:cs="Calibri"/>
                <w:b/>
                <w:i/>
                <w:sz w:val="22"/>
                <w:szCs w:val="22"/>
                <w:lang w:val="es-GT"/>
              </w:rPr>
            </w:pPr>
            <w:r w:rsidRPr="001A01AB">
              <w:rPr>
                <w:rFonts w:ascii="Calibri" w:hAnsi="Calibri" w:cs="Calibri"/>
                <w:sz w:val="22"/>
                <w:szCs w:val="22"/>
                <w:lang w:val="es-GT"/>
              </w:rPr>
              <w:t>Nuevas y mejores cosechas de productos agropecuarios tienen mayor potencial de ser comercializad</w:t>
            </w:r>
            <w:r w:rsidR="00053CAC">
              <w:rPr>
                <w:rFonts w:ascii="Calibri" w:hAnsi="Calibri" w:cs="Calibri"/>
                <w:sz w:val="22"/>
                <w:szCs w:val="22"/>
                <w:lang w:val="es-GT"/>
              </w:rPr>
              <w:t>o</w:t>
            </w:r>
            <w:r w:rsidRPr="001A01AB">
              <w:rPr>
                <w:rFonts w:ascii="Calibri" w:hAnsi="Calibri" w:cs="Calibri"/>
                <w:sz w:val="22"/>
                <w:szCs w:val="22"/>
                <w:lang w:val="es-GT"/>
              </w:rPr>
              <w:t>s en otros mercados, posibilitando mejorar los ingresos de los productores.</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w:t>
            </w:r>
            <w:r w:rsidR="00053CAC">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 xml:space="preserve">Los sistemas de riego mejoran la capacidad de las comunidades más vulnerables a la variación climática. Esto es más evidente en el </w:t>
            </w:r>
            <w:r w:rsidR="00053CAC" w:rsidRPr="001A01AB">
              <w:rPr>
                <w:rFonts w:ascii="Calibri" w:hAnsi="Calibri" w:cs="Calibri"/>
                <w:sz w:val="22"/>
                <w:szCs w:val="22"/>
                <w:lang w:val="es-GT"/>
              </w:rPr>
              <w:t>corredor seco</w:t>
            </w:r>
            <w:r w:rsidRPr="001A01AB">
              <w:rPr>
                <w:rFonts w:ascii="Calibri" w:hAnsi="Calibri" w:cs="Calibri"/>
                <w:sz w:val="22"/>
                <w:szCs w:val="22"/>
                <w:lang w:val="es-GT"/>
              </w:rPr>
              <w:t>, en donde se ubican muchas comunidades que son altamente vulnerables a la variabilidad climática, princ</w:t>
            </w:r>
            <w:r w:rsidR="003C58E3">
              <w:rPr>
                <w:rFonts w:ascii="Calibri" w:hAnsi="Calibri" w:cs="Calibri"/>
                <w:sz w:val="22"/>
                <w:szCs w:val="22"/>
                <w:lang w:val="es-GT"/>
              </w:rPr>
              <w:t>ipalmente en las épocas de sequí</w:t>
            </w:r>
            <w:r w:rsidRPr="001A01AB">
              <w:rPr>
                <w:rFonts w:ascii="Calibri" w:hAnsi="Calibri" w:cs="Calibri"/>
                <w:sz w:val="22"/>
                <w:szCs w:val="22"/>
                <w:lang w:val="es-GT"/>
              </w:rPr>
              <w:t>a, o en aquellos años excepcionalmente secos.</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Existe institucionalidad establecida para atender las demandas de los campesinos, como el caso de la Dirección de Riego del MAGA. También existen varios proyectos de la cooperación internacional que apoyan este tipo de iniciativas.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Existen muchas experiencias de promoción de sistemas de riego</w:t>
            </w:r>
            <w:r w:rsidR="001603F2" w:rsidRPr="001A01AB">
              <w:rPr>
                <w:rFonts w:ascii="Calibri" w:hAnsi="Calibri" w:cs="Calibri"/>
                <w:sz w:val="22"/>
                <w:szCs w:val="22"/>
                <w:lang w:val="es-GT"/>
              </w:rPr>
              <w:t xml:space="preserve"> en el país</w:t>
            </w:r>
            <w:r w:rsidRPr="001A01AB">
              <w:rPr>
                <w:rFonts w:ascii="Calibri" w:hAnsi="Calibri" w:cs="Calibri"/>
                <w:sz w:val="22"/>
                <w:szCs w:val="22"/>
                <w:lang w:val="es-GT"/>
              </w:rPr>
              <w:t xml:space="preserve">, tanto para pequeños como </w:t>
            </w:r>
            <w:r w:rsidR="001603F2">
              <w:rPr>
                <w:rFonts w:ascii="Calibri" w:hAnsi="Calibri" w:cs="Calibri"/>
                <w:sz w:val="22"/>
                <w:szCs w:val="22"/>
                <w:lang w:val="es-GT"/>
              </w:rPr>
              <w:t xml:space="preserve">para </w:t>
            </w:r>
            <w:r w:rsidRPr="001A01AB">
              <w:rPr>
                <w:rFonts w:ascii="Calibri" w:hAnsi="Calibri" w:cs="Calibri"/>
                <w:sz w:val="22"/>
                <w:szCs w:val="22"/>
                <w:lang w:val="es-GT"/>
              </w:rPr>
              <w:t>grandes agricultores.</w:t>
            </w:r>
          </w:p>
          <w:p w:rsidR="00E31B19" w:rsidRPr="001A01AB" w:rsidRDefault="00E31B19" w:rsidP="001603F2">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Actualmente</w:t>
            </w:r>
            <w:r w:rsidR="001603F2">
              <w:rPr>
                <w:rFonts w:ascii="Calibri" w:hAnsi="Calibri" w:cs="Calibri"/>
                <w:sz w:val="22"/>
                <w:szCs w:val="22"/>
                <w:lang w:val="es-GT"/>
              </w:rPr>
              <w:t>,</w:t>
            </w:r>
            <w:r w:rsidRPr="001A01AB">
              <w:rPr>
                <w:rFonts w:ascii="Calibri" w:hAnsi="Calibri" w:cs="Calibri"/>
                <w:sz w:val="22"/>
                <w:szCs w:val="22"/>
                <w:lang w:val="es-GT"/>
              </w:rPr>
              <w:t xml:space="preserve"> la mayoría de sist</w:t>
            </w:r>
            <w:r w:rsidR="001603F2">
              <w:rPr>
                <w:rFonts w:ascii="Calibri" w:hAnsi="Calibri" w:cs="Calibri"/>
                <w:sz w:val="22"/>
                <w:szCs w:val="22"/>
                <w:lang w:val="es-GT"/>
              </w:rPr>
              <w:t>emas de riego son operados por</w:t>
            </w:r>
            <w:r w:rsidRPr="001A01AB">
              <w:rPr>
                <w:rFonts w:ascii="Calibri" w:hAnsi="Calibri" w:cs="Calibri"/>
                <w:sz w:val="22"/>
                <w:szCs w:val="22"/>
                <w:lang w:val="es-GT"/>
              </w:rPr>
              <w:t xml:space="preserve"> productores, lo cual les permite participar directamente en la planificación y discusión de los problemas a nivel local.</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lastRenderedPageBreak/>
              <w:t>e) Riesgos/Impactos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Promover el sobreuso de las fuentes de agua locales, sin considerar aspectos técnico-sociales, como los caudales ecológicos de las diferentes fuentes de agua a emplearse.</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 xml:space="preserve">Promover soluciones a nivel local, sin considerar el manejo del territorio a nivel de cuenca. Esto es vital para el manejo adecuado de las fuentes de agua a largo plazo. </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Si no se plantean adecuadamente las soluciones, se pueden promover y generar conflictos dentro y entre comunidades, por el acceso y uso de las fuentes de agua locales.</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5.2: P</w:t>
            </w:r>
            <w:r w:rsidR="003C58E3" w:rsidRPr="001A01AB">
              <w:rPr>
                <w:rFonts w:ascii="Calibri" w:hAnsi="Calibri" w:cs="Calibri"/>
                <w:b/>
                <w:color w:val="365F91"/>
                <w:sz w:val="22"/>
                <w:szCs w:val="22"/>
                <w:lang w:val="es-GT"/>
              </w:rPr>
              <w:t xml:space="preserve">roductividad agrícola </w:t>
            </w:r>
            <w:r w:rsidRPr="001A01AB">
              <w:rPr>
                <w:rFonts w:ascii="Calibri" w:hAnsi="Calibri" w:cs="Calibri"/>
                <w:b/>
                <w:color w:val="365F91"/>
                <w:sz w:val="22"/>
                <w:szCs w:val="22"/>
                <w:lang w:val="es-GT"/>
              </w:rPr>
              <w:t>– Encadenamientos productivos y servicios de apoyo a la comercialización</w:t>
            </w:r>
          </w:p>
        </w:tc>
      </w:tr>
      <w:tr w:rsidR="00E31B19" w:rsidRPr="000364C9" w:rsidTr="001A01AB">
        <w:trPr>
          <w:trHeight w:val="20"/>
          <w:jc w:val="center"/>
        </w:trPr>
        <w:tc>
          <w:tcPr>
            <w:tcW w:w="9437" w:type="dxa"/>
            <w:shd w:val="clear" w:color="auto" w:fill="auto"/>
          </w:tcPr>
          <w:p w:rsidR="004E6953" w:rsidRPr="000D70BF" w:rsidRDefault="004E6953" w:rsidP="001A01AB">
            <w:pPr>
              <w:spacing w:before="40" w:after="40"/>
              <w:jc w:val="both"/>
              <w:rPr>
                <w:rFonts w:ascii="Calibri" w:hAnsi="Calibri" w:cs="Calibri"/>
                <w:b/>
                <w:color w:val="365F91"/>
                <w:sz w:val="12"/>
                <w:szCs w:val="1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a) Descripción general:</w:t>
            </w:r>
          </w:p>
          <w:p w:rsidR="00E31B19"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El desarrollo productivo histórico de las áreas rurales se basa en la producción de maíz y frijol.</w:t>
            </w:r>
            <w:r w:rsidR="00141A70">
              <w:rPr>
                <w:rFonts w:ascii="Calibri" w:hAnsi="Calibri" w:cs="Calibri"/>
                <w:sz w:val="22"/>
                <w:szCs w:val="22"/>
                <w:lang w:val="es-GT"/>
              </w:rPr>
              <w:t xml:space="preserve"> </w:t>
            </w:r>
            <w:r w:rsidRPr="001A01AB">
              <w:rPr>
                <w:rFonts w:ascii="Calibri" w:hAnsi="Calibri" w:cs="Calibri"/>
                <w:sz w:val="22"/>
                <w:szCs w:val="22"/>
                <w:lang w:val="es-GT"/>
              </w:rPr>
              <w:t>Esto no permite que las familias rurales cuenten con los ingresos suficientes para garantizar su seg</w:t>
            </w:r>
            <w:r w:rsidR="00825AB6">
              <w:rPr>
                <w:rFonts w:ascii="Calibri" w:hAnsi="Calibri" w:cs="Calibri"/>
                <w:sz w:val="22"/>
                <w:szCs w:val="22"/>
                <w:lang w:val="es-GT"/>
              </w:rPr>
              <w:t>uridad alimentaria y desarrollo. Asimismo, se</w:t>
            </w:r>
            <w:r w:rsidRPr="001A01AB">
              <w:rPr>
                <w:rFonts w:ascii="Calibri" w:hAnsi="Calibri" w:cs="Calibri"/>
                <w:sz w:val="22"/>
                <w:szCs w:val="22"/>
                <w:lang w:val="es-GT"/>
              </w:rPr>
              <w:t xml:space="preserve"> generan impactos ambientales, como la erosión de las tierras productivas, </w:t>
            </w:r>
            <w:r w:rsidR="00825AB6">
              <w:rPr>
                <w:rFonts w:ascii="Calibri" w:hAnsi="Calibri" w:cs="Calibri"/>
                <w:sz w:val="22"/>
                <w:szCs w:val="22"/>
                <w:lang w:val="es-GT"/>
              </w:rPr>
              <w:t xml:space="preserve">el </w:t>
            </w:r>
            <w:r w:rsidRPr="001A01AB">
              <w:rPr>
                <w:rFonts w:ascii="Calibri" w:hAnsi="Calibri" w:cs="Calibri"/>
                <w:sz w:val="22"/>
                <w:szCs w:val="22"/>
                <w:lang w:val="es-GT"/>
              </w:rPr>
              <w:t xml:space="preserve">uso inadecuado de las fuentes de agua superficiales y </w:t>
            </w:r>
            <w:r w:rsidR="00825AB6">
              <w:rPr>
                <w:rFonts w:ascii="Calibri" w:hAnsi="Calibri" w:cs="Calibri"/>
                <w:sz w:val="22"/>
                <w:szCs w:val="22"/>
                <w:lang w:val="es-GT"/>
              </w:rPr>
              <w:t xml:space="preserve">la </w:t>
            </w:r>
            <w:r w:rsidRPr="001A01AB">
              <w:rPr>
                <w:rFonts w:ascii="Calibri" w:hAnsi="Calibri" w:cs="Calibri"/>
                <w:sz w:val="22"/>
                <w:szCs w:val="22"/>
                <w:lang w:val="es-GT"/>
              </w:rPr>
              <w:t xml:space="preserve">contaminación de los suelos y aguas. </w:t>
            </w:r>
          </w:p>
          <w:p w:rsidR="003C58E3" w:rsidRPr="000D70BF" w:rsidRDefault="003C58E3" w:rsidP="001A01AB">
            <w:pPr>
              <w:spacing w:before="40" w:after="40"/>
              <w:jc w:val="both"/>
              <w:rPr>
                <w:rFonts w:ascii="Calibri" w:hAnsi="Calibri" w:cs="Calibri"/>
                <w:sz w:val="12"/>
                <w:szCs w:val="12"/>
                <w:lang w:val="es-GT"/>
              </w:rPr>
            </w:pP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Los encadenamientos productivos promueven </w:t>
            </w:r>
            <w:r w:rsidR="00825AB6">
              <w:rPr>
                <w:rFonts w:ascii="Calibri" w:hAnsi="Calibri" w:cs="Calibri"/>
                <w:sz w:val="22"/>
                <w:szCs w:val="22"/>
                <w:lang w:val="es-GT"/>
              </w:rPr>
              <w:t>el desarrollo rural con equidad y</w:t>
            </w:r>
            <w:r w:rsidRPr="001A01AB">
              <w:rPr>
                <w:rFonts w:ascii="Calibri" w:hAnsi="Calibri" w:cs="Calibri"/>
                <w:sz w:val="22"/>
                <w:szCs w:val="22"/>
                <w:lang w:val="es-GT"/>
              </w:rPr>
              <w:t xml:space="preserve"> contribuye</w:t>
            </w:r>
            <w:r w:rsidR="00825AB6">
              <w:rPr>
                <w:rFonts w:ascii="Calibri" w:hAnsi="Calibri" w:cs="Calibri"/>
                <w:sz w:val="22"/>
                <w:szCs w:val="22"/>
                <w:lang w:val="es-GT"/>
              </w:rPr>
              <w:t>n</w:t>
            </w:r>
            <w:r w:rsidRPr="001A01AB">
              <w:rPr>
                <w:rFonts w:ascii="Calibri" w:hAnsi="Calibri" w:cs="Calibri"/>
                <w:sz w:val="22"/>
                <w:szCs w:val="22"/>
                <w:lang w:val="es-GT"/>
              </w:rPr>
              <w:t xml:space="preserve"> a la disminución de la pobreza rural, a través de la generación de empleo e ingresos. Para esto, se debe apoyar a grupos de pequeños y medianos productores y productoras organizados, para </w:t>
            </w:r>
            <w:r w:rsidR="00825AB6" w:rsidRPr="001A01AB">
              <w:rPr>
                <w:rFonts w:ascii="Calibri" w:hAnsi="Calibri" w:cs="Calibri"/>
                <w:sz w:val="22"/>
                <w:szCs w:val="22"/>
                <w:lang w:val="es-GT"/>
              </w:rPr>
              <w:t>optimizar</w:t>
            </w:r>
            <w:r w:rsidRPr="001A01AB">
              <w:rPr>
                <w:rFonts w:ascii="Calibri" w:hAnsi="Calibri" w:cs="Calibri"/>
                <w:sz w:val="22"/>
                <w:szCs w:val="22"/>
                <w:lang w:val="es-GT"/>
              </w:rPr>
              <w:t xml:space="preserve"> la competitividad y tener mejores accesos a los mercados.</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Altiplano central y occidental de Guatemala.</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825AB6">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Default="00825AB6" w:rsidP="001A01AB">
            <w:pPr>
              <w:spacing w:before="40" w:after="40"/>
              <w:ind w:left="237"/>
              <w:jc w:val="both"/>
              <w:rPr>
                <w:rFonts w:ascii="Calibri" w:hAnsi="Calibri" w:cs="Calibri"/>
                <w:sz w:val="22"/>
                <w:szCs w:val="22"/>
                <w:lang w:val="es-GT"/>
              </w:rPr>
            </w:pPr>
            <w:r>
              <w:rPr>
                <w:rFonts w:ascii="Calibri" w:hAnsi="Calibri" w:cs="Calibri"/>
                <w:sz w:val="22"/>
                <w:szCs w:val="22"/>
                <w:lang w:val="es-GT"/>
              </w:rPr>
              <w:t>Permite</w:t>
            </w:r>
            <w:r w:rsidR="00E31B19" w:rsidRPr="001A01AB">
              <w:rPr>
                <w:rFonts w:ascii="Calibri" w:hAnsi="Calibri" w:cs="Calibri"/>
                <w:sz w:val="22"/>
                <w:szCs w:val="22"/>
                <w:lang w:val="es-GT"/>
              </w:rPr>
              <w:t>n crear fuentes de empleo e ingresos a los agricultores de infrasubsistencia y de subsistencia, para que mejoren su nivel de vida en las comunidades, entendiendo el rol que juegan las cadenas de suministro como motores de desarrollo económico.</w:t>
            </w:r>
          </w:p>
          <w:p w:rsidR="003C58E3" w:rsidRPr="001A01AB" w:rsidRDefault="003C58E3" w:rsidP="001A01AB">
            <w:pPr>
              <w:spacing w:before="40" w:after="40"/>
              <w:ind w:left="237"/>
              <w:jc w:val="both"/>
              <w:rPr>
                <w:rFonts w:ascii="Calibri" w:hAnsi="Calibri" w:cs="Calibri"/>
                <w:sz w:val="22"/>
                <w:szCs w:val="22"/>
                <w:lang w:val="es-GT"/>
              </w:rPr>
            </w:pP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Esta herramienta permit</w:t>
            </w:r>
            <w:r w:rsidR="00825AB6">
              <w:rPr>
                <w:rFonts w:ascii="Calibri" w:hAnsi="Calibri" w:cs="Calibri"/>
                <w:sz w:val="22"/>
                <w:szCs w:val="22"/>
                <w:lang w:val="es-GT"/>
              </w:rPr>
              <w:t>irá el aumento en la vialidad de</w:t>
            </w:r>
            <w:r w:rsidRPr="001A01AB">
              <w:rPr>
                <w:rFonts w:ascii="Calibri" w:hAnsi="Calibri" w:cs="Calibri"/>
                <w:sz w:val="22"/>
                <w:szCs w:val="22"/>
                <w:lang w:val="es-GT"/>
              </w:rPr>
              <w:t xml:space="preserve"> toda la región, dando un impulso a los emprendimientos dentro del sector agrícola, fomentado un mercado amplio y ordenado.</w:t>
            </w:r>
            <w:r w:rsidR="00141A70">
              <w:rPr>
                <w:rFonts w:ascii="Calibri" w:hAnsi="Calibri" w:cs="Calibri"/>
                <w:sz w:val="22"/>
                <w:szCs w:val="22"/>
                <w:lang w:val="es-GT"/>
              </w:rPr>
              <w:t xml:space="preserve"> </w:t>
            </w:r>
            <w:r w:rsidRPr="001A01AB">
              <w:rPr>
                <w:rFonts w:ascii="Calibri" w:hAnsi="Calibri" w:cs="Calibri"/>
                <w:sz w:val="22"/>
                <w:szCs w:val="22"/>
                <w:lang w:val="es-GT"/>
              </w:rPr>
              <w:t>Esto</w:t>
            </w:r>
            <w:r w:rsidR="00825AB6">
              <w:rPr>
                <w:rFonts w:ascii="Calibri" w:hAnsi="Calibri" w:cs="Calibri"/>
                <w:sz w:val="22"/>
                <w:szCs w:val="22"/>
                <w:lang w:val="es-GT"/>
              </w:rPr>
              <w:t>s</w:t>
            </w:r>
            <w:r w:rsidRPr="001A01AB">
              <w:rPr>
                <w:rFonts w:ascii="Calibri" w:hAnsi="Calibri" w:cs="Calibri"/>
                <w:sz w:val="22"/>
                <w:szCs w:val="22"/>
                <w:lang w:val="es-GT"/>
              </w:rPr>
              <w:t xml:space="preserve"> serían beneficios potenciales para los productores excedentarios.</w:t>
            </w:r>
          </w:p>
          <w:p w:rsidR="004E6953" w:rsidRDefault="004E6953"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fortale</w:t>
            </w:r>
            <w:r w:rsidR="00825AB6">
              <w:rPr>
                <w:rFonts w:ascii="Calibri" w:hAnsi="Calibri" w:cs="Calibri"/>
                <w:b/>
                <w:i/>
                <w:color w:val="365F91"/>
                <w:sz w:val="22"/>
                <w:szCs w:val="22"/>
                <w:lang w:val="es-GT"/>
              </w:rPr>
              <w:t>cimiento institucional, diá</w:t>
            </w:r>
            <w:r w:rsidRPr="001A01AB">
              <w:rPr>
                <w:rFonts w:ascii="Calibri" w:hAnsi="Calibri" w:cs="Calibri"/>
                <w:b/>
                <w:i/>
                <w:color w:val="365F91"/>
                <w:sz w:val="22"/>
                <w:szCs w:val="22"/>
                <w:lang w:val="es-GT"/>
              </w:rPr>
              <w:t>logo de políticas y planificación sectorial)</w:t>
            </w:r>
          </w:p>
          <w:p w:rsidR="00E31B19" w:rsidRPr="001A01AB" w:rsidRDefault="00E31B19" w:rsidP="00825AB6">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La asistencia técnica, capacitac</w:t>
            </w:r>
            <w:r w:rsidR="00825AB6">
              <w:rPr>
                <w:rFonts w:ascii="Calibri" w:hAnsi="Calibri" w:cs="Calibri"/>
                <w:sz w:val="22"/>
                <w:szCs w:val="22"/>
                <w:lang w:val="es-GT"/>
              </w:rPr>
              <w:t>ión y extensión agroambiental es</w:t>
            </w:r>
            <w:r w:rsidRPr="001A01AB">
              <w:rPr>
                <w:rFonts w:ascii="Calibri" w:hAnsi="Calibri" w:cs="Calibri"/>
                <w:sz w:val="22"/>
                <w:szCs w:val="22"/>
                <w:lang w:val="es-GT"/>
              </w:rPr>
              <w:t xml:space="preserve"> clave para el desarrollo rural integral desde la perspectiva de los encadenamientos productivos.</w:t>
            </w:r>
            <w:r w:rsidR="00141A70">
              <w:rPr>
                <w:rFonts w:ascii="Calibri" w:hAnsi="Calibri" w:cs="Calibri"/>
                <w:sz w:val="22"/>
                <w:szCs w:val="22"/>
                <w:lang w:val="es-GT"/>
              </w:rPr>
              <w:t xml:space="preserve"> </w:t>
            </w:r>
            <w:r w:rsidRPr="001A01AB">
              <w:rPr>
                <w:rFonts w:ascii="Calibri" w:hAnsi="Calibri" w:cs="Calibri"/>
                <w:sz w:val="22"/>
                <w:szCs w:val="22"/>
                <w:lang w:val="es-GT"/>
              </w:rPr>
              <w:t>Por ejemplo: en procesos productivos y de calidad</w:t>
            </w:r>
            <w:r w:rsidR="00825AB6">
              <w:rPr>
                <w:rFonts w:ascii="Calibri" w:hAnsi="Calibri" w:cs="Calibri"/>
                <w:sz w:val="22"/>
                <w:szCs w:val="22"/>
                <w:lang w:val="es-GT"/>
              </w:rPr>
              <w:t>, buenas prácticas agrícolas,</w:t>
            </w:r>
            <w:r w:rsidRPr="001A01AB">
              <w:rPr>
                <w:rFonts w:ascii="Calibri" w:hAnsi="Calibri" w:cs="Calibri"/>
                <w:sz w:val="22"/>
                <w:szCs w:val="22"/>
                <w:lang w:val="es-GT"/>
              </w:rPr>
              <w:t xml:space="preserve"> buenas prácti</w:t>
            </w:r>
            <w:r w:rsidR="00825AB6">
              <w:rPr>
                <w:rFonts w:ascii="Calibri" w:hAnsi="Calibri" w:cs="Calibri"/>
                <w:sz w:val="22"/>
                <w:szCs w:val="22"/>
                <w:lang w:val="es-GT"/>
              </w:rPr>
              <w:t>cas de manufactura, diagnóstico, certificación de calidad,</w:t>
            </w:r>
            <w:r w:rsidRPr="001A01AB">
              <w:rPr>
                <w:rFonts w:ascii="Calibri" w:hAnsi="Calibri" w:cs="Calibri"/>
                <w:sz w:val="22"/>
                <w:szCs w:val="22"/>
                <w:lang w:val="es-GT"/>
              </w:rPr>
              <w:t xml:space="preserve"> en logística, </w:t>
            </w:r>
            <w:r w:rsidR="00825AB6">
              <w:rPr>
                <w:rFonts w:ascii="Calibri" w:hAnsi="Calibri" w:cs="Calibri"/>
                <w:sz w:val="22"/>
                <w:szCs w:val="22"/>
                <w:lang w:val="es-GT"/>
              </w:rPr>
              <w:t>procesamiento calidad y volumen,</w:t>
            </w:r>
            <w:r w:rsidRPr="001A01AB">
              <w:rPr>
                <w:rFonts w:ascii="Calibri" w:hAnsi="Calibri" w:cs="Calibri"/>
                <w:sz w:val="22"/>
                <w:szCs w:val="22"/>
                <w:lang w:val="es-GT"/>
              </w:rPr>
              <w:t xml:space="preserve"> transferencia tecnológica, admin</w:t>
            </w:r>
            <w:r w:rsidR="00825AB6">
              <w:rPr>
                <w:rFonts w:ascii="Calibri" w:hAnsi="Calibri" w:cs="Calibri"/>
                <w:sz w:val="22"/>
                <w:szCs w:val="22"/>
                <w:lang w:val="es-GT"/>
              </w:rPr>
              <w:t xml:space="preserve">istración y gestión empresarial, y </w:t>
            </w:r>
            <w:r w:rsidRPr="001A01AB">
              <w:rPr>
                <w:rFonts w:ascii="Calibri" w:hAnsi="Calibri" w:cs="Calibri"/>
                <w:sz w:val="22"/>
                <w:szCs w:val="22"/>
                <w:lang w:val="es-GT"/>
              </w:rPr>
              <w:t>contabilidad.</w:t>
            </w:r>
          </w:p>
        </w:tc>
      </w:tr>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lastRenderedPageBreak/>
              <w:t>d) Oportunidades</w:t>
            </w:r>
          </w:p>
          <w:p w:rsidR="00E31B19" w:rsidRPr="001A01AB" w:rsidRDefault="00E31B19" w:rsidP="001A01AB">
            <w:pPr>
              <w:numPr>
                <w:ilvl w:val="0"/>
                <w:numId w:val="29"/>
              </w:numPr>
              <w:tabs>
                <w:tab w:val="clear" w:pos="720"/>
                <w:tab w:val="num" w:pos="-4253"/>
              </w:tabs>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 xml:space="preserve">Existen experiencias exitosas a nivel local, que pueden servir de base para proponer proyectos a corto y mediano plazo. </w:t>
            </w:r>
          </w:p>
          <w:p w:rsidR="00E31B19" w:rsidRPr="001A01AB" w:rsidRDefault="00E31B19" w:rsidP="001A01AB">
            <w:pPr>
              <w:numPr>
                <w:ilvl w:val="0"/>
                <w:numId w:val="29"/>
              </w:numPr>
              <w:tabs>
                <w:tab w:val="clear" w:pos="720"/>
                <w:tab w:val="num" w:pos="-4253"/>
              </w:tabs>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Vincula a los actores de la cadena producción/cliente, y provee conocimientos, servicios técnicos especializados y habilidades para coordinar producción y comercialización.</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Generación de empleo/ingreso rural, tanto en los sectores agrícola como no agrícola.</w:t>
            </w:r>
          </w:p>
        </w:tc>
      </w:tr>
      <w:tr w:rsidR="00E31B19" w:rsidRPr="000364C9" w:rsidTr="001A01AB">
        <w:trPr>
          <w:trHeight w:val="20"/>
          <w:jc w:val="center"/>
        </w:trPr>
        <w:tc>
          <w:tcPr>
            <w:tcW w:w="9437" w:type="dxa"/>
            <w:shd w:val="clear" w:color="auto" w:fill="auto"/>
          </w:tcPr>
          <w:p w:rsidR="004E6953" w:rsidRDefault="004E6953"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tabs>
                <w:tab w:val="clear" w:pos="720"/>
              </w:tabs>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 xml:space="preserve">La ejecución de las actividades culturales en encadenamientos agrícolas conlleva una serie de planes de fertilización, control de malezas, plagas y enfermedades, que podrían tener un potencial impacto negativo </w:t>
            </w:r>
            <w:r w:rsidR="007041C2">
              <w:rPr>
                <w:rFonts w:ascii="Calibri" w:hAnsi="Calibri" w:cs="Calibri"/>
                <w:sz w:val="22"/>
                <w:szCs w:val="22"/>
                <w:lang w:val="es-GT"/>
              </w:rPr>
              <w:t>por</w:t>
            </w:r>
            <w:r w:rsidRPr="001A01AB">
              <w:rPr>
                <w:rFonts w:ascii="Calibri" w:hAnsi="Calibri" w:cs="Calibri"/>
                <w:sz w:val="22"/>
                <w:szCs w:val="22"/>
                <w:lang w:val="es-GT"/>
              </w:rPr>
              <w:t xml:space="preserve"> contaminación de agua y suelo.</w:t>
            </w:r>
          </w:p>
          <w:p w:rsidR="00E31B19" w:rsidRPr="001A01AB" w:rsidRDefault="007041C2" w:rsidP="001A01AB">
            <w:pPr>
              <w:numPr>
                <w:ilvl w:val="0"/>
                <w:numId w:val="29"/>
              </w:numPr>
              <w:tabs>
                <w:tab w:val="clear" w:pos="720"/>
              </w:tabs>
              <w:spacing w:before="40" w:after="40"/>
              <w:ind w:left="432" w:hanging="144"/>
              <w:jc w:val="both"/>
              <w:rPr>
                <w:rFonts w:ascii="Calibri" w:hAnsi="Calibri" w:cs="Calibri"/>
                <w:sz w:val="22"/>
                <w:szCs w:val="22"/>
                <w:lang w:val="es-GT"/>
              </w:rPr>
            </w:pPr>
            <w:r>
              <w:rPr>
                <w:rFonts w:ascii="Calibri" w:hAnsi="Calibri" w:cs="Calibri"/>
                <w:sz w:val="22"/>
                <w:szCs w:val="22"/>
                <w:lang w:val="es-GT"/>
              </w:rPr>
              <w:t>El incremento de</w:t>
            </w:r>
            <w:r w:rsidR="00E31B19" w:rsidRPr="001A01AB">
              <w:rPr>
                <w:rFonts w:ascii="Calibri" w:hAnsi="Calibri" w:cs="Calibri"/>
                <w:sz w:val="22"/>
                <w:szCs w:val="22"/>
                <w:lang w:val="es-GT"/>
              </w:rPr>
              <w:t xml:space="preserve"> la demanda de tierras productivas, </w:t>
            </w:r>
            <w:r>
              <w:rPr>
                <w:rFonts w:ascii="Calibri" w:hAnsi="Calibri" w:cs="Calibri"/>
                <w:sz w:val="22"/>
                <w:szCs w:val="22"/>
                <w:lang w:val="es-GT"/>
              </w:rPr>
              <w:t>implica</w:t>
            </w:r>
            <w:r w:rsidR="00E31B19" w:rsidRPr="001A01AB">
              <w:rPr>
                <w:rFonts w:ascii="Calibri" w:hAnsi="Calibri" w:cs="Calibri"/>
                <w:sz w:val="22"/>
                <w:szCs w:val="22"/>
                <w:lang w:val="es-GT"/>
              </w:rPr>
              <w:t xml:space="preserve"> la pérdida de suelo por erosión y productividad, así como el incremento de la vulnerabilidad y riesgo a desastres. </w:t>
            </w:r>
          </w:p>
          <w:p w:rsidR="00E31B19" w:rsidRPr="001A01AB" w:rsidRDefault="00E31B19" w:rsidP="001A01AB">
            <w:pPr>
              <w:numPr>
                <w:ilvl w:val="0"/>
                <w:numId w:val="29"/>
              </w:numPr>
              <w:tabs>
                <w:tab w:val="clear" w:pos="720"/>
              </w:tabs>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 xml:space="preserve">La generación de residuos y el uso de agua en estos procesos, pueden generar </w:t>
            </w:r>
            <w:r w:rsidR="007041C2">
              <w:rPr>
                <w:rFonts w:ascii="Calibri" w:hAnsi="Calibri" w:cs="Calibri"/>
                <w:sz w:val="22"/>
                <w:szCs w:val="22"/>
                <w:lang w:val="es-GT"/>
              </w:rPr>
              <w:t xml:space="preserve">la </w:t>
            </w:r>
            <w:r w:rsidRPr="001A01AB">
              <w:rPr>
                <w:rFonts w:ascii="Calibri" w:hAnsi="Calibri" w:cs="Calibri"/>
                <w:sz w:val="22"/>
                <w:szCs w:val="22"/>
                <w:lang w:val="es-GT"/>
              </w:rPr>
              <w:t>contaminación de los suelos y aguas de la periferia, por lo que se debe garantizar el manejo adecuado de los mismos.</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5.3: P</w:t>
            </w:r>
            <w:r w:rsidR="003C58E3" w:rsidRPr="001A01AB">
              <w:rPr>
                <w:rFonts w:ascii="Calibri" w:hAnsi="Calibri" w:cs="Calibri"/>
                <w:b/>
                <w:color w:val="365F91"/>
                <w:sz w:val="22"/>
                <w:szCs w:val="22"/>
                <w:lang w:val="es-GT"/>
              </w:rPr>
              <w:t xml:space="preserve">roductividad agrícola </w:t>
            </w:r>
            <w:r w:rsidRPr="001A01AB">
              <w:rPr>
                <w:rFonts w:ascii="Calibri" w:hAnsi="Calibri" w:cs="Calibri"/>
                <w:b/>
                <w:color w:val="365F91"/>
                <w:sz w:val="22"/>
                <w:szCs w:val="22"/>
                <w:lang w:val="es-GT"/>
              </w:rPr>
              <w:t>– Investigación y desarrollo tecnológico agrícola</w:t>
            </w:r>
          </w:p>
        </w:tc>
      </w:tr>
      <w:tr w:rsidR="00E31B19" w:rsidRPr="000364C9" w:rsidTr="001A01AB">
        <w:trPr>
          <w:trHeight w:val="20"/>
          <w:jc w:val="center"/>
        </w:trPr>
        <w:tc>
          <w:tcPr>
            <w:tcW w:w="9437" w:type="dxa"/>
            <w:shd w:val="clear" w:color="auto" w:fill="auto"/>
          </w:tcPr>
          <w:p w:rsidR="00760D64" w:rsidRPr="000D70BF" w:rsidRDefault="00760D64" w:rsidP="001A01AB">
            <w:pPr>
              <w:spacing w:before="40" w:after="40"/>
              <w:jc w:val="both"/>
              <w:rPr>
                <w:rFonts w:ascii="Calibri" w:hAnsi="Calibri" w:cs="Calibri"/>
                <w:b/>
                <w:color w:val="365F91"/>
                <w:sz w:val="12"/>
                <w:szCs w:val="12"/>
                <w:lang w:val="es-GT"/>
              </w:rPr>
            </w:pPr>
          </w:p>
          <w:p w:rsidR="00E31B19" w:rsidRPr="001A01AB" w:rsidRDefault="003C58E3"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Muchas comunidades rurales poseen sistemas de producción que emplean bajos niveles tecnológicos, como se muestra en muchas de las parcelas </w:t>
            </w:r>
            <w:r w:rsidR="0018466F">
              <w:rPr>
                <w:rFonts w:ascii="Calibri" w:hAnsi="Calibri" w:cs="Calibri"/>
                <w:sz w:val="22"/>
                <w:szCs w:val="22"/>
                <w:lang w:val="es-GT"/>
              </w:rPr>
              <w:t>de producción de granos básicos;</w:t>
            </w:r>
            <w:r w:rsidRPr="001A01AB">
              <w:rPr>
                <w:rFonts w:ascii="Calibri" w:hAnsi="Calibri" w:cs="Calibri"/>
                <w:sz w:val="22"/>
                <w:szCs w:val="22"/>
                <w:lang w:val="es-GT"/>
              </w:rPr>
              <w:t xml:space="preserve"> </w:t>
            </w:r>
            <w:r w:rsidR="007C3972" w:rsidRPr="001A01AB">
              <w:rPr>
                <w:rFonts w:ascii="Calibri" w:hAnsi="Calibri" w:cs="Calibri"/>
                <w:sz w:val="22"/>
                <w:szCs w:val="22"/>
                <w:lang w:val="es-GT"/>
              </w:rPr>
              <w:t>así</w:t>
            </w:r>
            <w:r w:rsidRPr="001A01AB">
              <w:rPr>
                <w:rFonts w:ascii="Calibri" w:hAnsi="Calibri" w:cs="Calibri"/>
                <w:sz w:val="22"/>
                <w:szCs w:val="22"/>
                <w:lang w:val="es-GT"/>
              </w:rPr>
              <w:t xml:space="preserve"> también, mantienen sistemas basados en las experiencias históricas, algunos de los cuales empiezan a demostrar que no son efectivos ante la alta variabilidad climática experimentada.</w:t>
            </w:r>
          </w:p>
          <w:p w:rsidR="003C58E3" w:rsidRPr="001A01AB" w:rsidRDefault="003C58E3" w:rsidP="001A01AB">
            <w:pPr>
              <w:spacing w:before="40" w:after="40"/>
              <w:jc w:val="both"/>
              <w:rPr>
                <w:rFonts w:ascii="Calibri" w:hAnsi="Calibri" w:cs="Calibri"/>
                <w:sz w:val="22"/>
                <w:szCs w:val="22"/>
                <w:lang w:val="es-GT"/>
              </w:rPr>
            </w:pPr>
          </w:p>
          <w:p w:rsidR="00E31B19" w:rsidRPr="001A01AB" w:rsidRDefault="00E31B19" w:rsidP="0018466F">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Como una medida de adaptación ante el cambio climático, </w:t>
            </w:r>
            <w:r w:rsidR="0018466F">
              <w:rPr>
                <w:rFonts w:ascii="Calibri" w:hAnsi="Calibri" w:cs="Calibri"/>
                <w:sz w:val="22"/>
                <w:szCs w:val="22"/>
                <w:lang w:val="es-GT"/>
              </w:rPr>
              <w:t>es necesario realizar</w:t>
            </w:r>
            <w:r w:rsidRPr="001A01AB">
              <w:rPr>
                <w:rFonts w:ascii="Calibri" w:hAnsi="Calibri" w:cs="Calibri"/>
                <w:sz w:val="22"/>
                <w:szCs w:val="22"/>
                <w:lang w:val="es-GT"/>
              </w:rPr>
              <w:t xml:space="preserve"> investigaciones aplicadas y la adaptación tecnológica de paquetes productivos que mejoren la capacidad de los productores </w:t>
            </w:r>
            <w:r w:rsidR="0018466F">
              <w:rPr>
                <w:rFonts w:ascii="Calibri" w:hAnsi="Calibri" w:cs="Calibri"/>
                <w:sz w:val="22"/>
                <w:szCs w:val="22"/>
                <w:lang w:val="es-GT"/>
              </w:rPr>
              <w:t>para</w:t>
            </w:r>
            <w:r w:rsidRPr="001A01AB">
              <w:rPr>
                <w:rFonts w:ascii="Calibri" w:hAnsi="Calibri" w:cs="Calibri"/>
                <w:sz w:val="22"/>
                <w:szCs w:val="22"/>
                <w:lang w:val="es-GT"/>
              </w:rPr>
              <w:t xml:space="preserve"> enfrentar las condiciones climáticas y de mercado.</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Es aplicable a todo el territorio nacional.</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18466F">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760D64" w:rsidRPr="000D70BF" w:rsidRDefault="00760D64" w:rsidP="001A01AB">
            <w:pPr>
              <w:spacing w:before="40" w:after="40"/>
              <w:ind w:left="213"/>
              <w:jc w:val="both"/>
              <w:rPr>
                <w:rFonts w:ascii="Calibri" w:hAnsi="Calibri" w:cs="Calibri"/>
                <w:b/>
                <w:i/>
                <w:color w:val="365F91"/>
                <w:sz w:val="12"/>
                <w:szCs w:val="1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Pr="001A01AB" w:rsidRDefault="00E31B19" w:rsidP="001A01AB">
            <w:pPr>
              <w:spacing w:before="40" w:after="40"/>
              <w:ind w:left="237"/>
              <w:jc w:val="both"/>
              <w:rPr>
                <w:rFonts w:ascii="Calibri" w:hAnsi="Calibri" w:cs="Calibri"/>
                <w:b/>
                <w:sz w:val="22"/>
                <w:szCs w:val="22"/>
                <w:lang w:val="es-GT"/>
              </w:rPr>
            </w:pPr>
            <w:r w:rsidRPr="001A01AB">
              <w:rPr>
                <w:rFonts w:ascii="Calibri" w:hAnsi="Calibri" w:cs="Calibri"/>
                <w:sz w:val="22"/>
                <w:szCs w:val="22"/>
                <w:lang w:val="es-GT"/>
              </w:rPr>
              <w:t>Contribuye directamente a mejorar la productividad de los sistemas de producción de los pequeños y medianos productores, esperando que puedan generar excedentes que se destinen al mercado</w:t>
            </w:r>
            <w:r w:rsidR="0018466F">
              <w:rPr>
                <w:rFonts w:ascii="Calibri" w:hAnsi="Calibri" w:cs="Calibri"/>
                <w:sz w:val="22"/>
                <w:szCs w:val="22"/>
                <w:lang w:val="es-GT"/>
              </w:rPr>
              <w:t>,</w:t>
            </w:r>
            <w:r w:rsidRPr="001A01AB">
              <w:rPr>
                <w:rFonts w:ascii="Calibri" w:hAnsi="Calibri" w:cs="Calibri"/>
                <w:sz w:val="22"/>
                <w:szCs w:val="22"/>
                <w:lang w:val="es-GT"/>
              </w:rPr>
              <w:t xml:space="preserve"> y </w:t>
            </w:r>
            <w:r w:rsidR="007C3972" w:rsidRPr="001A01AB">
              <w:rPr>
                <w:rFonts w:ascii="Calibri" w:hAnsi="Calibri" w:cs="Calibri"/>
                <w:sz w:val="22"/>
                <w:szCs w:val="22"/>
                <w:lang w:val="es-GT"/>
              </w:rPr>
              <w:t>así</w:t>
            </w:r>
            <w:r w:rsidRPr="001A01AB">
              <w:rPr>
                <w:rFonts w:ascii="Calibri" w:hAnsi="Calibri" w:cs="Calibri"/>
                <w:sz w:val="22"/>
                <w:szCs w:val="22"/>
                <w:lang w:val="es-GT"/>
              </w:rPr>
              <w:t xml:space="preserve"> puedan apoyar la seguridad alimentaria y nutricional de los productores.</w:t>
            </w:r>
          </w:p>
          <w:p w:rsidR="00760D64" w:rsidRDefault="00760D64"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w:t>
            </w:r>
            <w:r w:rsidR="0018466F">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Mejores condiciones de productividad, mejoran en forma directa las condiciones y capacidades de los productores y de las comunidades.</w:t>
            </w:r>
          </w:p>
        </w:tc>
      </w:tr>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lastRenderedPageBreak/>
              <w:t>d) Oportunidades</w:t>
            </w:r>
          </w:p>
          <w:p w:rsidR="00E31B19" w:rsidRPr="001A01AB" w:rsidRDefault="00E31B19" w:rsidP="0018466F">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Estudios sobre mejoramiento de semillas y paquetes productivos realizados por el ICTA</w:t>
            </w:r>
            <w:r w:rsidR="0018466F">
              <w:rPr>
                <w:rFonts w:ascii="Calibri" w:hAnsi="Calibri" w:cs="Calibri"/>
                <w:sz w:val="22"/>
                <w:szCs w:val="22"/>
                <w:lang w:val="es-GT"/>
              </w:rPr>
              <w:t>,</w:t>
            </w:r>
            <w:r w:rsidRPr="001A01AB">
              <w:rPr>
                <w:rFonts w:ascii="Calibri" w:hAnsi="Calibri" w:cs="Calibri"/>
                <w:sz w:val="22"/>
                <w:szCs w:val="22"/>
                <w:lang w:val="es-GT"/>
              </w:rPr>
              <w:t xml:space="preserve"> e investigaciones aisladas de entes productivos y de universidades. Aunque los resultados son limitados, sobre esta base se pueden establecer plataformas de acción.</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 xml:space="preserve">Perder la base genética de muchos agrosistemas tradicionales, principalmente al promover la introducción de especies específicas. También se debe considerar el riesgo que significa la introducción de especies de cultivares de los cuales Guatemala es centro de origen, como el caso </w:t>
            </w:r>
            <w:r w:rsidR="0018466F">
              <w:rPr>
                <w:rFonts w:ascii="Calibri" w:hAnsi="Calibri" w:cs="Calibri"/>
                <w:sz w:val="22"/>
                <w:szCs w:val="22"/>
                <w:lang w:val="es-GT"/>
              </w:rPr>
              <w:t>del maíz, frijol, cucurbitáceas y</w:t>
            </w:r>
            <w:r w:rsidRPr="001A01AB">
              <w:rPr>
                <w:rFonts w:ascii="Calibri" w:hAnsi="Calibri" w:cs="Calibri"/>
                <w:sz w:val="22"/>
                <w:szCs w:val="22"/>
                <w:lang w:val="es-GT"/>
              </w:rPr>
              <w:t xml:space="preserve"> chiles, entre otros.</w:t>
            </w:r>
          </w:p>
          <w:p w:rsidR="00E31B19" w:rsidRPr="001A01AB" w:rsidRDefault="00E31B19" w:rsidP="0018466F">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Para obtener resultados consistentes, los programas de desarrollo de paquetes productivos o la adaptación de los mismos a las condiciones locales requiere de altos periodos de tiempo, para dar resultados validados que puedan servir para promover la productividad a largo plazo.</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5.4: P</w:t>
            </w:r>
            <w:r w:rsidR="003C58E3" w:rsidRPr="001A01AB">
              <w:rPr>
                <w:rFonts w:ascii="Calibri" w:hAnsi="Calibri" w:cs="Calibri"/>
                <w:b/>
                <w:color w:val="365F91"/>
                <w:sz w:val="22"/>
                <w:szCs w:val="22"/>
                <w:lang w:val="es-GT"/>
              </w:rPr>
              <w:t xml:space="preserve">roductividad agrícola </w:t>
            </w:r>
            <w:r w:rsidRPr="001A01AB">
              <w:rPr>
                <w:rFonts w:ascii="Calibri" w:hAnsi="Calibri" w:cs="Calibri"/>
                <w:b/>
                <w:color w:val="365F91"/>
                <w:sz w:val="22"/>
                <w:szCs w:val="22"/>
                <w:lang w:val="es-GT"/>
              </w:rPr>
              <w:t xml:space="preserve">– Asistencia técnica y extensión agrícola </w:t>
            </w:r>
          </w:p>
        </w:tc>
      </w:tr>
      <w:tr w:rsidR="00E31B19" w:rsidRPr="000364C9" w:rsidTr="001A01AB">
        <w:trPr>
          <w:trHeight w:val="20"/>
          <w:jc w:val="center"/>
        </w:trPr>
        <w:tc>
          <w:tcPr>
            <w:tcW w:w="9437" w:type="dxa"/>
            <w:shd w:val="clear" w:color="auto" w:fill="auto"/>
          </w:tcPr>
          <w:p w:rsidR="00760D64" w:rsidRPr="000D70BF" w:rsidRDefault="00760D64" w:rsidP="001A01AB">
            <w:pPr>
              <w:spacing w:before="40" w:after="40"/>
              <w:jc w:val="both"/>
              <w:rPr>
                <w:rFonts w:ascii="Calibri" w:hAnsi="Calibri" w:cs="Calibri"/>
                <w:b/>
                <w:color w:val="365F91"/>
                <w:sz w:val="12"/>
                <w:szCs w:val="1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a) Desc</w:t>
            </w:r>
            <w:r w:rsidR="003C58E3">
              <w:rPr>
                <w:rFonts w:ascii="Calibri" w:hAnsi="Calibri" w:cs="Calibri"/>
                <w:b/>
                <w:color w:val="365F91"/>
                <w:sz w:val="22"/>
                <w:szCs w:val="22"/>
                <w:lang w:val="es-GT"/>
              </w:rPr>
              <w:t>ripción general</w:t>
            </w:r>
          </w:p>
          <w:p w:rsidR="00E31B19"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Las estadísticas productivas del país muestran la baja eficiencia y productividad de los sistemas agropecuarios locales, la mayoría de los cuales causan altos impactos ambientales asociados, como la erosión y la contaminación de los suelos y las fuentes de agua.</w:t>
            </w:r>
          </w:p>
          <w:p w:rsidR="003C58E3" w:rsidRPr="001A01AB" w:rsidRDefault="003C58E3" w:rsidP="001A01AB">
            <w:pPr>
              <w:spacing w:before="40" w:after="40"/>
              <w:jc w:val="both"/>
              <w:rPr>
                <w:rFonts w:ascii="Calibri" w:hAnsi="Calibri" w:cs="Calibri"/>
                <w:sz w:val="22"/>
                <w:szCs w:val="22"/>
                <w:lang w:val="es-GT"/>
              </w:rPr>
            </w:pPr>
          </w:p>
          <w:p w:rsidR="00E31B19"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Diversos estudios a nivel comunitario han evidenciado la necesidad de </w:t>
            </w:r>
            <w:r w:rsidR="0018466F">
              <w:rPr>
                <w:rFonts w:ascii="Calibri" w:hAnsi="Calibri" w:cs="Calibri"/>
                <w:sz w:val="22"/>
                <w:szCs w:val="22"/>
                <w:lang w:val="es-GT"/>
              </w:rPr>
              <w:t>mejorar la</w:t>
            </w:r>
            <w:r w:rsidR="0018466F" w:rsidRPr="001A01AB">
              <w:rPr>
                <w:rFonts w:ascii="Calibri" w:hAnsi="Calibri" w:cs="Calibri"/>
                <w:sz w:val="22"/>
                <w:szCs w:val="22"/>
                <w:lang w:val="es-GT"/>
              </w:rPr>
              <w:t xml:space="preserve"> capacidad productiva </w:t>
            </w:r>
            <w:r w:rsidR="0018466F">
              <w:rPr>
                <w:rFonts w:ascii="Calibri" w:hAnsi="Calibri" w:cs="Calibri"/>
                <w:sz w:val="22"/>
                <w:szCs w:val="22"/>
                <w:lang w:val="es-GT"/>
              </w:rPr>
              <w:t xml:space="preserve">de </w:t>
            </w:r>
            <w:r w:rsidRPr="001A01AB">
              <w:rPr>
                <w:rFonts w:ascii="Calibri" w:hAnsi="Calibri" w:cs="Calibri"/>
                <w:sz w:val="22"/>
                <w:szCs w:val="22"/>
                <w:lang w:val="es-GT"/>
              </w:rPr>
              <w:t xml:space="preserve">los pequeños productores agropecuarios. Desde finales de los años 1990, los programas de asistencia técnica y extensión agropecuaria </w:t>
            </w:r>
            <w:r w:rsidR="0018466F">
              <w:rPr>
                <w:rFonts w:ascii="Calibri" w:hAnsi="Calibri" w:cs="Calibri"/>
                <w:sz w:val="22"/>
                <w:szCs w:val="22"/>
                <w:lang w:val="es-GT"/>
              </w:rPr>
              <w:t>terminaron</w:t>
            </w:r>
            <w:r w:rsidRPr="001A01AB">
              <w:rPr>
                <w:rFonts w:ascii="Calibri" w:hAnsi="Calibri" w:cs="Calibri"/>
                <w:sz w:val="22"/>
                <w:szCs w:val="22"/>
                <w:lang w:val="es-GT"/>
              </w:rPr>
              <w:t xml:space="preserve"> en el país, lo que ha evidenciado una debilidad dentro de las comunidades rurales.</w:t>
            </w:r>
          </w:p>
          <w:p w:rsidR="003C58E3" w:rsidRPr="001A01AB" w:rsidRDefault="003C58E3" w:rsidP="001A01AB">
            <w:pPr>
              <w:spacing w:before="40" w:after="40"/>
              <w:jc w:val="both"/>
              <w:rPr>
                <w:rFonts w:ascii="Calibri" w:hAnsi="Calibri" w:cs="Calibri"/>
                <w:sz w:val="22"/>
                <w:szCs w:val="22"/>
                <w:lang w:val="es-GT"/>
              </w:rPr>
            </w:pP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Esta necesidad se hace más evidente, al considerar los cambios de clima en el país.</w:t>
            </w:r>
          </w:p>
        </w:tc>
      </w:tr>
      <w:tr w:rsidR="00E31B19" w:rsidRPr="000364C9" w:rsidTr="001A01AB">
        <w:trPr>
          <w:trHeight w:val="20"/>
          <w:jc w:val="center"/>
        </w:trPr>
        <w:tc>
          <w:tcPr>
            <w:tcW w:w="9437" w:type="dxa"/>
            <w:shd w:val="clear" w:color="auto" w:fill="auto"/>
          </w:tcPr>
          <w:p w:rsidR="00760D64" w:rsidRPr="000D70BF" w:rsidRDefault="00760D64" w:rsidP="001A01AB">
            <w:pPr>
              <w:spacing w:before="40" w:after="40"/>
              <w:jc w:val="both"/>
              <w:rPr>
                <w:rFonts w:ascii="Calibri" w:hAnsi="Calibri" w:cs="Calibri"/>
                <w:b/>
                <w:color w:val="365F91"/>
                <w:sz w:val="12"/>
                <w:szCs w:val="1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18466F">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Aplica </w:t>
            </w:r>
            <w:r w:rsidR="0018466F">
              <w:rPr>
                <w:rFonts w:ascii="Calibri" w:hAnsi="Calibri" w:cs="Calibri"/>
                <w:sz w:val="22"/>
                <w:szCs w:val="22"/>
                <w:lang w:val="es-GT"/>
              </w:rPr>
              <w:t>a</w:t>
            </w:r>
            <w:r w:rsidRPr="001A01AB">
              <w:rPr>
                <w:rFonts w:ascii="Calibri" w:hAnsi="Calibri" w:cs="Calibri"/>
                <w:sz w:val="22"/>
                <w:szCs w:val="22"/>
                <w:lang w:val="es-GT"/>
              </w:rPr>
              <w:t xml:space="preserve"> todo el territorio del país. Se sugiere que se considere como una actividad que complementa otros esfuerzos</w:t>
            </w:r>
            <w:r w:rsidR="0018466F">
              <w:rPr>
                <w:rFonts w:ascii="Calibri" w:hAnsi="Calibri" w:cs="Calibri"/>
                <w:sz w:val="22"/>
                <w:szCs w:val="22"/>
                <w:lang w:val="es-GT"/>
              </w:rPr>
              <w:t>. P</w:t>
            </w:r>
            <w:r w:rsidRPr="001A01AB">
              <w:rPr>
                <w:rFonts w:ascii="Calibri" w:hAnsi="Calibri" w:cs="Calibri"/>
                <w:sz w:val="22"/>
                <w:szCs w:val="22"/>
                <w:lang w:val="es-GT"/>
              </w:rPr>
              <w:t xml:space="preserve">or ejemplo, en las comunidades en donde se promoverán sistemas de riego o procesos de encadenamientos productivos, se deberán </w:t>
            </w:r>
            <w:r w:rsidR="0018466F">
              <w:rPr>
                <w:rFonts w:ascii="Calibri" w:hAnsi="Calibri" w:cs="Calibri"/>
                <w:sz w:val="22"/>
                <w:szCs w:val="22"/>
                <w:lang w:val="es-GT"/>
              </w:rPr>
              <w:t>realizar también</w:t>
            </w:r>
            <w:r w:rsidRPr="001A01AB">
              <w:rPr>
                <w:rFonts w:ascii="Calibri" w:hAnsi="Calibri" w:cs="Calibri"/>
                <w:sz w:val="22"/>
                <w:szCs w:val="22"/>
                <w:lang w:val="es-GT"/>
              </w:rPr>
              <w:t xml:space="preserve"> esfuerzos de asistencia técnica y extensión agrícola dirigida. </w:t>
            </w:r>
          </w:p>
        </w:tc>
      </w:tr>
      <w:tr w:rsidR="00E31B19" w:rsidRPr="000364C9" w:rsidTr="001A01AB">
        <w:trPr>
          <w:trHeight w:val="20"/>
          <w:jc w:val="center"/>
        </w:trPr>
        <w:tc>
          <w:tcPr>
            <w:tcW w:w="9437" w:type="dxa"/>
            <w:shd w:val="clear" w:color="auto" w:fill="auto"/>
          </w:tcPr>
          <w:p w:rsidR="00760D64" w:rsidRPr="000D70BF" w:rsidRDefault="00760D64" w:rsidP="001A01AB">
            <w:pPr>
              <w:spacing w:before="40" w:after="40"/>
              <w:jc w:val="both"/>
              <w:rPr>
                <w:rFonts w:ascii="Calibri" w:hAnsi="Calibri" w:cs="Calibri"/>
                <w:b/>
                <w:color w:val="365F91"/>
                <w:sz w:val="12"/>
                <w:szCs w:val="1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18466F">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 xml:space="preserve">La </w:t>
            </w:r>
            <w:r w:rsidR="00EC46BC">
              <w:rPr>
                <w:rFonts w:ascii="Calibri" w:hAnsi="Calibri" w:cs="Calibri"/>
                <w:sz w:val="22"/>
                <w:szCs w:val="22"/>
                <w:lang w:val="es-GT"/>
              </w:rPr>
              <w:t>optimización</w:t>
            </w:r>
            <w:r w:rsidRPr="001A01AB">
              <w:rPr>
                <w:rFonts w:ascii="Calibri" w:hAnsi="Calibri" w:cs="Calibri"/>
                <w:sz w:val="22"/>
                <w:szCs w:val="22"/>
                <w:lang w:val="es-GT"/>
              </w:rPr>
              <w:t xml:space="preserve"> de la productivid</w:t>
            </w:r>
            <w:r w:rsidR="00EC46BC">
              <w:rPr>
                <w:rFonts w:ascii="Calibri" w:hAnsi="Calibri" w:cs="Calibri"/>
                <w:sz w:val="22"/>
                <w:szCs w:val="22"/>
                <w:lang w:val="es-GT"/>
              </w:rPr>
              <w:t>ad de los agricultores, mejorará</w:t>
            </w:r>
            <w:r w:rsidRPr="001A01AB">
              <w:rPr>
                <w:rFonts w:ascii="Calibri" w:hAnsi="Calibri" w:cs="Calibri"/>
                <w:sz w:val="22"/>
                <w:szCs w:val="22"/>
                <w:lang w:val="es-GT"/>
              </w:rPr>
              <w:t xml:space="preserve"> sus ingresos de forma directa. La asistencia técnica y la extensión agrícola buscan fortalecer los sistemas productivos de los pequeños productores agropecuarios.</w:t>
            </w:r>
          </w:p>
          <w:p w:rsidR="00760D64" w:rsidRDefault="00760D64"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fortalecimiento institucional, di</w:t>
            </w:r>
            <w:r w:rsidR="00EC46BC">
              <w:rPr>
                <w:rFonts w:ascii="Calibri" w:hAnsi="Calibri" w:cs="Calibri"/>
                <w:b/>
                <w:i/>
                <w:color w:val="365F91"/>
                <w:sz w:val="22"/>
                <w:szCs w:val="22"/>
                <w:lang w:val="es-GT"/>
              </w:rPr>
              <w:t>á</w:t>
            </w:r>
            <w:r w:rsidRPr="001A01AB">
              <w:rPr>
                <w:rFonts w:ascii="Calibri" w:hAnsi="Calibri" w:cs="Calibri"/>
                <w:b/>
                <w:i/>
                <w:color w:val="365F91"/>
                <w:sz w:val="22"/>
                <w:szCs w:val="22"/>
                <w:lang w:val="es-GT"/>
              </w:rPr>
              <w:t>logo de políticas y planificación sectorial)</w:t>
            </w:r>
          </w:p>
          <w:p w:rsidR="00E31B19"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Estos sistemas se basan en la transmisión de conocimientos que mejoren las capacidades actuales (capital humano) de los productores y las comunidades locales.</w:t>
            </w:r>
          </w:p>
          <w:p w:rsidR="00E31B19" w:rsidRPr="001A01AB" w:rsidRDefault="00E31B19" w:rsidP="00306664">
            <w:pPr>
              <w:spacing w:before="40" w:after="40"/>
              <w:ind w:left="237"/>
              <w:jc w:val="both"/>
              <w:rPr>
                <w:rFonts w:ascii="Calibri" w:hAnsi="Calibri" w:cs="Calibri"/>
                <w:sz w:val="22"/>
                <w:szCs w:val="22"/>
                <w:lang w:val="es-GT"/>
              </w:rPr>
            </w:pPr>
            <w:r w:rsidRPr="001A01AB">
              <w:rPr>
                <w:rFonts w:ascii="Calibri" w:hAnsi="Calibri" w:cs="Calibri"/>
                <w:sz w:val="22"/>
                <w:szCs w:val="22"/>
                <w:lang w:val="es-GT"/>
              </w:rPr>
              <w:lastRenderedPageBreak/>
              <w:t xml:space="preserve">Existen muchos temas que </w:t>
            </w:r>
            <w:r w:rsidR="00306664">
              <w:rPr>
                <w:rFonts w:ascii="Calibri" w:hAnsi="Calibri" w:cs="Calibri"/>
                <w:sz w:val="22"/>
                <w:szCs w:val="22"/>
                <w:lang w:val="es-GT"/>
              </w:rPr>
              <w:t>abordar y para los cuales se desarrollen propuestas de acción</w:t>
            </w:r>
            <w:r w:rsidRPr="001A01AB">
              <w:rPr>
                <w:rFonts w:ascii="Calibri" w:hAnsi="Calibri" w:cs="Calibri"/>
                <w:sz w:val="22"/>
                <w:szCs w:val="22"/>
                <w:lang w:val="es-GT"/>
              </w:rPr>
              <w:t xml:space="preserve">, ya que el </w:t>
            </w:r>
            <w:r w:rsidR="00EC46BC" w:rsidRPr="001A01AB">
              <w:rPr>
                <w:rFonts w:ascii="Calibri" w:hAnsi="Calibri" w:cs="Calibri"/>
                <w:sz w:val="22"/>
                <w:szCs w:val="22"/>
                <w:lang w:val="es-GT"/>
              </w:rPr>
              <w:t xml:space="preserve">desarrollo rural integral </w:t>
            </w:r>
            <w:r w:rsidRPr="001A01AB">
              <w:rPr>
                <w:rFonts w:ascii="Calibri" w:hAnsi="Calibri" w:cs="Calibri"/>
                <w:sz w:val="22"/>
                <w:szCs w:val="22"/>
                <w:lang w:val="es-GT"/>
              </w:rPr>
              <w:t>es complejo y de largo plazo. Se deberán priorizar aquellos temas de trascendencia para las comunidades, como la adaptación al cambio climático de los sistemas productivos, el manejo y protección de los suelos, y la adopción de prácticas amigables con el ambiente, que generalmente tienden a ser más complejas para su adopción.</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Recientemente el MAGA puso en marcha el Programa de Extensión Agrícola, el cual puede ser</w:t>
            </w:r>
            <w:r w:rsidR="00306664">
              <w:rPr>
                <w:rFonts w:ascii="Calibri" w:hAnsi="Calibri" w:cs="Calibri"/>
                <w:sz w:val="22"/>
                <w:szCs w:val="22"/>
                <w:lang w:val="es-GT"/>
              </w:rPr>
              <w:t xml:space="preserve"> base para el impulso de</w:t>
            </w:r>
            <w:r w:rsidRPr="001A01AB">
              <w:rPr>
                <w:rFonts w:ascii="Calibri" w:hAnsi="Calibri" w:cs="Calibri"/>
                <w:sz w:val="22"/>
                <w:szCs w:val="22"/>
                <w:lang w:val="es-GT"/>
              </w:rPr>
              <w:t xml:space="preserve"> actividades de asistencia técnica y extensión, aunque</w:t>
            </w:r>
            <w:r w:rsidR="00306664">
              <w:rPr>
                <w:rFonts w:ascii="Calibri" w:hAnsi="Calibri" w:cs="Calibri"/>
                <w:sz w:val="22"/>
                <w:szCs w:val="22"/>
                <w:lang w:val="es-GT"/>
              </w:rPr>
              <w:t xml:space="preserve"> en la actualidad</w:t>
            </w:r>
            <w:r w:rsidRPr="001A01AB">
              <w:rPr>
                <w:rFonts w:ascii="Calibri" w:hAnsi="Calibri" w:cs="Calibri"/>
                <w:sz w:val="22"/>
                <w:szCs w:val="22"/>
                <w:lang w:val="es-GT"/>
              </w:rPr>
              <w:t xml:space="preserve"> </w:t>
            </w:r>
            <w:r w:rsidR="00306664">
              <w:rPr>
                <w:rFonts w:ascii="Calibri" w:hAnsi="Calibri" w:cs="Calibri"/>
                <w:sz w:val="22"/>
                <w:szCs w:val="22"/>
                <w:lang w:val="es-GT"/>
              </w:rPr>
              <w:t>su</w:t>
            </w:r>
            <w:r w:rsidRPr="001A01AB">
              <w:rPr>
                <w:rFonts w:ascii="Calibri" w:hAnsi="Calibri" w:cs="Calibri"/>
                <w:sz w:val="22"/>
                <w:szCs w:val="22"/>
                <w:lang w:val="es-GT"/>
              </w:rPr>
              <w:t xml:space="preserve"> capacidad operativa </w:t>
            </w:r>
            <w:r w:rsidR="00306664">
              <w:rPr>
                <w:rFonts w:ascii="Calibri" w:hAnsi="Calibri" w:cs="Calibri"/>
                <w:sz w:val="22"/>
                <w:szCs w:val="22"/>
                <w:lang w:val="es-GT"/>
              </w:rPr>
              <w:t>es aun limitada</w:t>
            </w:r>
            <w:r w:rsidRPr="001A01AB">
              <w:rPr>
                <w:rFonts w:ascii="Calibri" w:hAnsi="Calibri" w:cs="Calibri"/>
                <w:sz w:val="22"/>
                <w:szCs w:val="22"/>
                <w:lang w:val="es-GT"/>
              </w:rPr>
              <w:t>.</w:t>
            </w:r>
          </w:p>
          <w:p w:rsidR="00E31B19" w:rsidRPr="001A01AB" w:rsidRDefault="00E31B19" w:rsidP="001A01AB">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Existen experiencias nacionales y personas formadas con capacidad para desarrollar planes de asistencia técnic</w:t>
            </w:r>
            <w:r w:rsidR="00306664">
              <w:rPr>
                <w:rFonts w:ascii="Calibri" w:hAnsi="Calibri" w:cs="Calibri"/>
                <w:sz w:val="22"/>
                <w:szCs w:val="22"/>
                <w:lang w:val="es-GT"/>
              </w:rPr>
              <w:t>a y extensión agrícola, adaptado</w:t>
            </w:r>
            <w:r w:rsidRPr="001A01AB">
              <w:rPr>
                <w:rFonts w:ascii="Calibri" w:hAnsi="Calibri" w:cs="Calibri"/>
                <w:sz w:val="22"/>
                <w:szCs w:val="22"/>
                <w:lang w:val="es-GT"/>
              </w:rPr>
              <w:t>s a los territorios.</w:t>
            </w:r>
          </w:p>
          <w:p w:rsidR="00E31B19" w:rsidRPr="001A01AB" w:rsidRDefault="00E31B19" w:rsidP="00306664">
            <w:pPr>
              <w:numPr>
                <w:ilvl w:val="0"/>
                <w:numId w:val="29"/>
              </w:numPr>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Existe una amplia demanda de los productores rurales por asistencia técnica y extensión agrícola.</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La falta de recursos financieros para establecer procesos de largo plazo, que tiendan a mejorar y cambiar la forma de actuar de las poblaciones.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La formación de extensionistas rurales es un proceso largo y costoso, que requiere de mucho acompañamiento. Existe poca factibilidad de crear esquemas locales sin el apoyo del gobierno.</w:t>
            </w:r>
          </w:p>
          <w:p w:rsidR="00E31B19" w:rsidRPr="001A01AB" w:rsidRDefault="00E31B19" w:rsidP="00306664">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Por experiencias anteriores, existe el riesgo de manipulación de los procesos de asistencia técnica y extensión agrícola para beneficios particulares, como el caso de la política partidista.</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6.1: V</w:t>
            </w:r>
            <w:r w:rsidR="003C58E3" w:rsidRPr="001A01AB">
              <w:rPr>
                <w:rFonts w:ascii="Calibri" w:hAnsi="Calibri" w:cs="Calibri"/>
                <w:b/>
                <w:color w:val="365F91"/>
                <w:sz w:val="22"/>
                <w:szCs w:val="22"/>
                <w:lang w:val="es-GT"/>
              </w:rPr>
              <w:t xml:space="preserve">ulnerabilidad y cambio climático </w:t>
            </w:r>
            <w:r w:rsidRPr="001A01AB">
              <w:rPr>
                <w:rFonts w:ascii="Calibri" w:hAnsi="Calibri" w:cs="Calibri"/>
                <w:b/>
                <w:color w:val="365F91"/>
                <w:sz w:val="22"/>
                <w:szCs w:val="22"/>
                <w:lang w:val="es-GT"/>
              </w:rPr>
              <w:t>– Planes de gestión de riesgo local</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3C58E3"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Guatemala ha sido reconocido como un país con altos niveles de vulnerabilidad sistémica</w:t>
            </w:r>
            <w:r w:rsidR="00306664">
              <w:rPr>
                <w:rFonts w:ascii="Calibri" w:hAnsi="Calibri" w:cs="Calibri"/>
                <w:sz w:val="22"/>
                <w:szCs w:val="22"/>
                <w:lang w:val="es-GT"/>
              </w:rPr>
              <w:t xml:space="preserve">, la cual </w:t>
            </w:r>
            <w:r w:rsidRPr="001A01AB">
              <w:rPr>
                <w:rFonts w:ascii="Calibri" w:hAnsi="Calibri" w:cs="Calibri"/>
                <w:sz w:val="22"/>
                <w:szCs w:val="22"/>
                <w:lang w:val="es-GT"/>
              </w:rPr>
              <w:t xml:space="preserve">se debe principalmente a la suma de otro tipo de vulnerabilidades y condiciones de desarrollo, como el caso de la educación, </w:t>
            </w:r>
            <w:r w:rsidR="00306664">
              <w:rPr>
                <w:rFonts w:ascii="Calibri" w:hAnsi="Calibri" w:cs="Calibri"/>
                <w:sz w:val="22"/>
                <w:szCs w:val="22"/>
                <w:lang w:val="es-GT"/>
              </w:rPr>
              <w:t xml:space="preserve">la </w:t>
            </w:r>
            <w:r w:rsidRPr="001A01AB">
              <w:rPr>
                <w:rFonts w:ascii="Calibri" w:hAnsi="Calibri" w:cs="Calibri"/>
                <w:sz w:val="22"/>
                <w:szCs w:val="22"/>
                <w:lang w:val="es-GT"/>
              </w:rPr>
              <w:t xml:space="preserve">salud, </w:t>
            </w:r>
            <w:r w:rsidR="00306664">
              <w:rPr>
                <w:rFonts w:ascii="Calibri" w:hAnsi="Calibri" w:cs="Calibri"/>
                <w:sz w:val="22"/>
                <w:szCs w:val="22"/>
                <w:lang w:val="es-GT"/>
              </w:rPr>
              <w:t xml:space="preserve">las </w:t>
            </w:r>
            <w:r w:rsidRPr="001A01AB">
              <w:rPr>
                <w:rFonts w:ascii="Calibri" w:hAnsi="Calibri" w:cs="Calibri"/>
                <w:sz w:val="22"/>
                <w:szCs w:val="22"/>
                <w:lang w:val="es-GT"/>
              </w:rPr>
              <w:t>capacidades institucionales, etc.</w:t>
            </w:r>
          </w:p>
          <w:p w:rsidR="003C58E3" w:rsidRPr="001A01AB" w:rsidRDefault="003C58E3" w:rsidP="001A01AB">
            <w:pPr>
              <w:spacing w:before="40" w:after="40"/>
              <w:jc w:val="both"/>
              <w:rPr>
                <w:rFonts w:ascii="Calibri" w:hAnsi="Calibri" w:cs="Calibri"/>
                <w:sz w:val="22"/>
                <w:szCs w:val="22"/>
                <w:lang w:val="es-GT"/>
              </w:rPr>
            </w:pP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Aunque las actuaciones de</w:t>
            </w:r>
            <w:r w:rsidR="00306664">
              <w:rPr>
                <w:rFonts w:ascii="Calibri" w:hAnsi="Calibri" w:cs="Calibri"/>
                <w:sz w:val="22"/>
                <w:szCs w:val="22"/>
                <w:lang w:val="es-GT"/>
              </w:rPr>
              <w:t>l</w:t>
            </w:r>
            <w:r w:rsidRPr="001A01AB">
              <w:rPr>
                <w:rFonts w:ascii="Calibri" w:hAnsi="Calibri" w:cs="Calibri"/>
                <w:sz w:val="22"/>
                <w:szCs w:val="22"/>
                <w:lang w:val="es-GT"/>
              </w:rPr>
              <w:t xml:space="preserve"> FIDA no se centran en trabajar con la totalidad de la población de las comunidades seleccionadas, es factible promover acciones para reducir el nivel de algunos tipos de vulnerabilidad, principalmente, la asociada a la baja capacidad de generación de ingresos y de acceso a alimentos suficientes y nutricionales.</w:t>
            </w:r>
          </w:p>
        </w:tc>
      </w:tr>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Aplica a todo el territorio nacional, p</w:t>
            </w:r>
            <w:r w:rsidR="00306664">
              <w:rPr>
                <w:rFonts w:ascii="Calibri" w:hAnsi="Calibri" w:cs="Calibri"/>
                <w:sz w:val="22"/>
                <w:szCs w:val="22"/>
                <w:lang w:val="es-GT"/>
              </w:rPr>
              <w:t>rincipalmente en las regiones con</w:t>
            </w:r>
            <w:r w:rsidRPr="001A01AB">
              <w:rPr>
                <w:rFonts w:ascii="Calibri" w:hAnsi="Calibri" w:cs="Calibri"/>
                <w:sz w:val="22"/>
                <w:szCs w:val="22"/>
                <w:lang w:val="es-GT"/>
              </w:rPr>
              <w:t xml:space="preserve"> mayor vulnerabilidad a los cambios de clima, como el denominado </w:t>
            </w:r>
            <w:r w:rsidR="00306664" w:rsidRPr="00306664">
              <w:rPr>
                <w:rFonts w:ascii="Calibri" w:hAnsi="Calibri" w:cs="Calibri"/>
                <w:i/>
                <w:sz w:val="22"/>
                <w:szCs w:val="22"/>
                <w:lang w:val="es-GT"/>
              </w:rPr>
              <w:t>corredor seco</w:t>
            </w:r>
            <w:r w:rsidR="00306664" w:rsidRPr="001A01AB">
              <w:rPr>
                <w:rFonts w:ascii="Calibri" w:hAnsi="Calibri" w:cs="Calibri"/>
                <w:sz w:val="22"/>
                <w:szCs w:val="22"/>
                <w:lang w:val="es-GT"/>
              </w:rPr>
              <w:t xml:space="preserve"> </w:t>
            </w:r>
            <w:r w:rsidRPr="001A01AB">
              <w:rPr>
                <w:rFonts w:ascii="Calibri" w:hAnsi="Calibri" w:cs="Calibri"/>
                <w:sz w:val="22"/>
                <w:szCs w:val="22"/>
                <w:lang w:val="es-GT"/>
              </w:rPr>
              <w:t xml:space="preserve">y las tierras en las regiones montañosas. </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306664">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760D64" w:rsidRDefault="00760D64"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Pr="001A01AB" w:rsidRDefault="00306664" w:rsidP="001A01AB">
            <w:pPr>
              <w:spacing w:before="40" w:after="40"/>
              <w:ind w:left="237"/>
              <w:jc w:val="both"/>
              <w:rPr>
                <w:rFonts w:ascii="Calibri" w:hAnsi="Calibri" w:cs="Calibri"/>
                <w:b/>
                <w:sz w:val="22"/>
                <w:szCs w:val="22"/>
                <w:lang w:val="es-GT"/>
              </w:rPr>
            </w:pPr>
            <w:r w:rsidRPr="0033045E">
              <w:rPr>
                <w:rFonts w:ascii="Calibri" w:hAnsi="Calibri" w:cs="Calibri"/>
                <w:b/>
                <w:sz w:val="22"/>
                <w:szCs w:val="22"/>
                <w:highlight w:val="red"/>
                <w:lang w:val="es-GT"/>
              </w:rPr>
              <w:t>No hay información</w:t>
            </w:r>
          </w:p>
          <w:p w:rsidR="00306664" w:rsidRDefault="00306664"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lastRenderedPageBreak/>
              <w:t>Fortalecimiento de condiciones y capacidades (desarrollo de capital humano y social, fo</w:t>
            </w:r>
            <w:r w:rsidR="00306664">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 xml:space="preserve">Los planes </w:t>
            </w:r>
            <w:r w:rsidR="00306664" w:rsidRPr="001A01AB">
              <w:rPr>
                <w:rFonts w:ascii="Calibri" w:hAnsi="Calibri" w:cs="Calibri"/>
                <w:sz w:val="22"/>
                <w:szCs w:val="22"/>
                <w:lang w:val="es-GT"/>
              </w:rPr>
              <w:t xml:space="preserve">locales </w:t>
            </w:r>
            <w:r w:rsidRPr="001A01AB">
              <w:rPr>
                <w:rFonts w:ascii="Calibri" w:hAnsi="Calibri" w:cs="Calibri"/>
                <w:sz w:val="22"/>
                <w:szCs w:val="22"/>
                <w:lang w:val="es-GT"/>
              </w:rPr>
              <w:t xml:space="preserve">de riesgo tienden a mejorar las condiciones y capacidades de las comunidades, toda vez que reducen la o las vulnerabilidades que poseen. </w:t>
            </w:r>
          </w:p>
          <w:p w:rsidR="00306664" w:rsidRPr="001A01AB" w:rsidRDefault="00306664" w:rsidP="001A01AB">
            <w:pPr>
              <w:spacing w:before="40" w:after="40"/>
              <w:ind w:left="237"/>
              <w:jc w:val="both"/>
              <w:rPr>
                <w:rFonts w:ascii="Calibri" w:hAnsi="Calibri" w:cs="Calibri"/>
                <w:sz w:val="22"/>
                <w:szCs w:val="22"/>
                <w:lang w:val="es-GT"/>
              </w:rPr>
            </w:pP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Trabajar en la promoción de Planes de Gestión de Riesgo a nivel local es una buena contribución de FIDA a la reducción de estas vulnerabilidades.</w:t>
            </w:r>
            <w:r w:rsidR="00306664">
              <w:rPr>
                <w:rFonts w:ascii="Calibri" w:hAnsi="Calibri" w:cs="Calibri"/>
                <w:sz w:val="22"/>
                <w:szCs w:val="22"/>
                <w:lang w:val="es-GT"/>
              </w:rPr>
              <w:t xml:space="preserve"> </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E31B19" w:rsidP="00306664">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Prácticamente no se conocen experiencias exitosas de gestión de riesgo local en el país, que hayan demostrado reducir el riesgo de las comunidades. Aunque esto parece una debilidad o limitación, las acciones que se puedan implementar e impulsar, constituirían la base para cimentar políticas nacionales sobre el tema.</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spacing w:before="40" w:after="40"/>
              <w:ind w:left="432" w:hanging="144"/>
              <w:jc w:val="both"/>
              <w:rPr>
                <w:rFonts w:ascii="Calibri" w:hAnsi="Calibri" w:cs="Calibri"/>
                <w:b/>
                <w:sz w:val="22"/>
                <w:szCs w:val="22"/>
                <w:lang w:val="es-GT"/>
              </w:rPr>
            </w:pPr>
            <w:r w:rsidRPr="00306664">
              <w:rPr>
                <w:rFonts w:ascii="Calibri" w:hAnsi="Calibri" w:cs="Calibri"/>
                <w:sz w:val="22"/>
                <w:szCs w:val="22"/>
                <w:highlight w:val="yellow"/>
                <w:lang w:val="es-GT"/>
              </w:rPr>
              <w:t>La adopción por parte de las comunidades involucradas, debido principalmente a que esto representa cambios, en algunos casos, abruptos de realizar las actividades.</w:t>
            </w:r>
            <w:r w:rsidRPr="001A01AB">
              <w:rPr>
                <w:rFonts w:ascii="Calibri" w:hAnsi="Calibri" w:cs="Calibri"/>
                <w:sz w:val="22"/>
                <w:szCs w:val="22"/>
                <w:lang w:val="es-GT"/>
              </w:rPr>
              <w:t xml:space="preserve"> Estos cambios, como la reubicación de las actividades productivas o las zonas de vivienda, requieren de altos esfuerzos económicos y de voluntad que no siempre están disponibles a nivel local.</w:t>
            </w:r>
          </w:p>
          <w:p w:rsidR="00E31B19" w:rsidRPr="001A01AB" w:rsidRDefault="00E31B19" w:rsidP="00306664">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 xml:space="preserve">La alta degradación de los recursos naturales en ciertas regiones, constituyen limitaciones de los planes de gestión de </w:t>
            </w:r>
            <w:r w:rsidRPr="00306664">
              <w:rPr>
                <w:rFonts w:ascii="Calibri" w:hAnsi="Calibri" w:cs="Calibri"/>
                <w:sz w:val="22"/>
                <w:szCs w:val="22"/>
                <w:highlight w:val="yellow"/>
                <w:lang w:val="es-GT"/>
              </w:rPr>
              <w:t>riego</w:t>
            </w:r>
            <w:r w:rsidRPr="001A01AB">
              <w:rPr>
                <w:rFonts w:ascii="Calibri" w:hAnsi="Calibri" w:cs="Calibri"/>
                <w:sz w:val="22"/>
                <w:szCs w:val="22"/>
                <w:lang w:val="es-GT"/>
              </w:rPr>
              <w:t xml:space="preserve"> local.</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6.2: V</w:t>
            </w:r>
            <w:r w:rsidR="003C58E3" w:rsidRPr="001A01AB">
              <w:rPr>
                <w:rFonts w:ascii="Calibri" w:hAnsi="Calibri" w:cs="Calibri"/>
                <w:b/>
                <w:color w:val="365F91"/>
                <w:sz w:val="22"/>
                <w:szCs w:val="22"/>
                <w:lang w:val="es-GT"/>
              </w:rPr>
              <w:t xml:space="preserve">ulnerabilidad y cambio climático </w:t>
            </w:r>
            <w:r w:rsidRPr="001A01AB">
              <w:rPr>
                <w:rFonts w:ascii="Calibri" w:hAnsi="Calibri" w:cs="Calibri"/>
                <w:b/>
                <w:color w:val="365F91"/>
                <w:sz w:val="22"/>
                <w:szCs w:val="22"/>
                <w:lang w:val="es-GT"/>
              </w:rPr>
              <w:t>– Generación de información climática local</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3C58E3"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Default="003173AD" w:rsidP="003173AD">
            <w:pPr>
              <w:spacing w:before="40" w:after="40"/>
              <w:jc w:val="both"/>
              <w:rPr>
                <w:rFonts w:ascii="Calibri" w:hAnsi="Calibri" w:cs="Calibri"/>
                <w:sz w:val="22"/>
                <w:szCs w:val="22"/>
                <w:lang w:val="es-GT"/>
              </w:rPr>
            </w:pPr>
            <w:r>
              <w:rPr>
                <w:rFonts w:ascii="Calibri" w:hAnsi="Calibri" w:cs="Calibri"/>
                <w:sz w:val="22"/>
                <w:szCs w:val="22"/>
                <w:lang w:val="es-GT"/>
              </w:rPr>
              <w:t xml:space="preserve">Por su ubicación geográfica, el país es altamente susceptible a las variaciones del clima a causa de factores externos. </w:t>
            </w:r>
            <w:r w:rsidR="00E31B19" w:rsidRPr="001A01AB">
              <w:rPr>
                <w:rFonts w:ascii="Calibri" w:hAnsi="Calibri" w:cs="Calibri"/>
                <w:sz w:val="22"/>
                <w:szCs w:val="22"/>
                <w:lang w:val="es-GT"/>
              </w:rPr>
              <w:t xml:space="preserve">A pesar </w:t>
            </w:r>
            <w:r>
              <w:rPr>
                <w:rFonts w:ascii="Calibri" w:hAnsi="Calibri" w:cs="Calibri"/>
                <w:sz w:val="22"/>
                <w:szCs w:val="22"/>
                <w:lang w:val="es-GT"/>
              </w:rPr>
              <w:t xml:space="preserve">de </w:t>
            </w:r>
            <w:r w:rsidR="00E31B19" w:rsidRPr="001A01AB">
              <w:rPr>
                <w:rFonts w:ascii="Calibri" w:hAnsi="Calibri" w:cs="Calibri"/>
                <w:sz w:val="22"/>
                <w:szCs w:val="22"/>
                <w:lang w:val="es-GT"/>
              </w:rPr>
              <w:t>que se reconoce la necesidad de contar con información local, de calidad y en el tiempo adecuado para la toma de decisiones, la red de estaciones meteorológicas que posibiliten información para la toma de decisiones y para la gestión de las actividades productivas agrícolas, es insuficiente.</w:t>
            </w:r>
          </w:p>
          <w:p w:rsidR="003C58E3" w:rsidRPr="001A01AB" w:rsidRDefault="003C58E3" w:rsidP="001A01AB">
            <w:pPr>
              <w:spacing w:before="40" w:after="40"/>
              <w:jc w:val="both"/>
              <w:rPr>
                <w:rFonts w:ascii="Calibri" w:hAnsi="Calibri" w:cs="Calibri"/>
                <w:sz w:val="22"/>
                <w:szCs w:val="22"/>
                <w:lang w:val="es-GT"/>
              </w:rPr>
            </w:pPr>
          </w:p>
          <w:p w:rsidR="00E31B19" w:rsidRPr="001A01AB" w:rsidRDefault="00E31B19" w:rsidP="003173AD">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Se reconoce que existen pocas iniciativas orientadas a la generación de información básica, como la climática, que sirva a </w:t>
            </w:r>
            <w:r w:rsidR="003173AD">
              <w:rPr>
                <w:rFonts w:ascii="Calibri" w:hAnsi="Calibri" w:cs="Calibri"/>
                <w:sz w:val="22"/>
                <w:szCs w:val="22"/>
                <w:lang w:val="es-GT"/>
              </w:rPr>
              <w:t>nivel nacional</w:t>
            </w:r>
            <w:r w:rsidRPr="001A01AB">
              <w:rPr>
                <w:rFonts w:ascii="Calibri" w:hAnsi="Calibri" w:cs="Calibri"/>
                <w:sz w:val="22"/>
                <w:szCs w:val="22"/>
                <w:lang w:val="es-GT"/>
              </w:rPr>
              <w:t>. Por lo general, la red de estaciones climáticas es limitada</w:t>
            </w:r>
            <w:r w:rsidR="003173AD" w:rsidRPr="001A01AB">
              <w:rPr>
                <w:rFonts w:ascii="Calibri" w:hAnsi="Calibri" w:cs="Calibri"/>
                <w:sz w:val="22"/>
                <w:szCs w:val="22"/>
                <w:lang w:val="es-GT"/>
              </w:rPr>
              <w:t xml:space="preserve"> en las áreas más apartadas</w:t>
            </w:r>
            <w:r w:rsidRPr="001A01AB">
              <w:rPr>
                <w:rFonts w:ascii="Calibri" w:hAnsi="Calibri" w:cs="Calibri"/>
                <w:sz w:val="22"/>
                <w:szCs w:val="22"/>
                <w:lang w:val="es-GT"/>
              </w:rPr>
              <w:t>, siendo este un obstáculo para la adecuada gestión del riesgo y para la adaptación a los cambios de clima.</w:t>
            </w:r>
            <w:r w:rsidR="003173AD">
              <w:rPr>
                <w:rFonts w:ascii="Calibri" w:hAnsi="Calibri" w:cs="Calibri"/>
                <w:sz w:val="22"/>
                <w:szCs w:val="22"/>
                <w:lang w:val="es-GT"/>
              </w:rPr>
              <w:t xml:space="preserve"> </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Principalmente las regiones con mayor vulnerabilidad a la variación climática actual, como el denominado </w:t>
            </w:r>
            <w:r w:rsidR="003173AD" w:rsidRPr="003173AD">
              <w:rPr>
                <w:rFonts w:ascii="Calibri" w:hAnsi="Calibri" w:cs="Calibri"/>
                <w:i/>
                <w:sz w:val="22"/>
                <w:szCs w:val="22"/>
                <w:lang w:val="es-GT"/>
              </w:rPr>
              <w:t>corredor seco</w:t>
            </w:r>
            <w:r w:rsidRPr="001A01AB">
              <w:rPr>
                <w:rFonts w:ascii="Calibri" w:hAnsi="Calibri" w:cs="Calibri"/>
                <w:sz w:val="22"/>
                <w:szCs w:val="22"/>
                <w:lang w:val="es-GT"/>
              </w:rPr>
              <w:t>, las áreas de alta montaña y las áreas propensas a sufrir inundaciones repentinas en las regiones costeras del país.</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0D70BF" w:rsidRDefault="000D70BF" w:rsidP="001A01AB">
            <w:pPr>
              <w:spacing w:before="40" w:after="40"/>
              <w:jc w:val="both"/>
              <w:rPr>
                <w:rFonts w:ascii="Calibri" w:hAnsi="Calibri" w:cs="Calibri"/>
                <w:b/>
                <w:color w:val="365F91"/>
                <w:sz w:val="22"/>
                <w:szCs w:val="22"/>
                <w:lang w:val="es-GT"/>
              </w:rPr>
            </w:pPr>
          </w:p>
          <w:p w:rsidR="00760D64" w:rsidRDefault="00E31B19" w:rsidP="000D70BF">
            <w:pPr>
              <w:spacing w:before="40" w:after="40"/>
              <w:jc w:val="both"/>
              <w:rPr>
                <w:rFonts w:ascii="Calibri" w:hAnsi="Calibri" w:cs="Calibri"/>
                <w:b/>
                <w:i/>
                <w:color w:val="365F91"/>
                <w:sz w:val="22"/>
                <w:szCs w:val="22"/>
                <w:lang w:val="es-GT"/>
              </w:rPr>
            </w:pPr>
            <w:r w:rsidRPr="001A01AB">
              <w:rPr>
                <w:rFonts w:ascii="Calibri" w:hAnsi="Calibri" w:cs="Calibri"/>
                <w:b/>
                <w:color w:val="365F91"/>
                <w:sz w:val="22"/>
                <w:szCs w:val="22"/>
                <w:lang w:val="es-GT"/>
              </w:rPr>
              <w:lastRenderedPageBreak/>
              <w:t>c) Contribución con los objetivos estratégico</w:t>
            </w:r>
            <w:r w:rsidR="003173AD">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Pr="001A01AB" w:rsidRDefault="003173AD" w:rsidP="001A01AB">
            <w:pPr>
              <w:spacing w:before="40" w:after="40"/>
              <w:ind w:left="237"/>
              <w:jc w:val="both"/>
              <w:rPr>
                <w:rFonts w:ascii="Calibri" w:hAnsi="Calibri" w:cs="Calibri"/>
                <w:b/>
                <w:i/>
                <w:sz w:val="22"/>
                <w:szCs w:val="22"/>
                <w:lang w:val="es-GT"/>
              </w:rPr>
            </w:pPr>
            <w:r w:rsidRPr="0033045E">
              <w:rPr>
                <w:rFonts w:ascii="Calibri" w:hAnsi="Calibri" w:cs="Calibri"/>
                <w:b/>
                <w:i/>
                <w:sz w:val="22"/>
                <w:szCs w:val="22"/>
                <w:highlight w:val="red"/>
                <w:lang w:val="es-GT"/>
              </w:rPr>
              <w:t>No hay información</w:t>
            </w:r>
          </w:p>
          <w:p w:rsidR="003173AD" w:rsidRDefault="003173AD"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w:t>
            </w:r>
            <w:r w:rsidR="003173AD">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E31B19" w:rsidP="003173AD">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Actividades de este tipo, fortalecen las capacidades de las comunidades de prevenir</w:t>
            </w:r>
            <w:r w:rsidR="003173AD">
              <w:rPr>
                <w:rFonts w:ascii="Calibri" w:hAnsi="Calibri" w:cs="Calibri"/>
                <w:sz w:val="22"/>
                <w:szCs w:val="22"/>
                <w:lang w:val="es-GT"/>
              </w:rPr>
              <w:t xml:space="preserve"> o</w:t>
            </w:r>
            <w:r w:rsidRPr="001A01AB">
              <w:rPr>
                <w:rFonts w:ascii="Calibri" w:hAnsi="Calibri" w:cs="Calibri"/>
                <w:sz w:val="22"/>
                <w:szCs w:val="22"/>
                <w:lang w:val="es-GT"/>
              </w:rPr>
              <w:t xml:space="preserve"> reaccionar ante situaciones adversas del clima, como el caso de i</w:t>
            </w:r>
            <w:r w:rsidR="003173AD">
              <w:rPr>
                <w:rFonts w:ascii="Calibri" w:hAnsi="Calibri" w:cs="Calibri"/>
                <w:sz w:val="22"/>
                <w:szCs w:val="22"/>
                <w:lang w:val="es-GT"/>
              </w:rPr>
              <w:t>nundaciones o de épocas de sequí</w:t>
            </w:r>
            <w:r w:rsidRPr="001A01AB">
              <w:rPr>
                <w:rFonts w:ascii="Calibri" w:hAnsi="Calibri" w:cs="Calibri"/>
                <w:sz w:val="22"/>
                <w:szCs w:val="22"/>
                <w:lang w:val="es-GT"/>
              </w:rPr>
              <w:t>a extrema.</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3173AD" w:rsidP="008901F3">
            <w:pPr>
              <w:numPr>
                <w:ilvl w:val="0"/>
                <w:numId w:val="29"/>
              </w:numPr>
              <w:spacing w:before="40" w:after="40"/>
              <w:ind w:left="432" w:hanging="144"/>
              <w:jc w:val="both"/>
              <w:rPr>
                <w:rFonts w:ascii="Calibri" w:hAnsi="Calibri" w:cs="Calibri"/>
                <w:b/>
                <w:sz w:val="22"/>
                <w:szCs w:val="22"/>
                <w:lang w:val="es-GT"/>
              </w:rPr>
            </w:pPr>
            <w:r>
              <w:rPr>
                <w:rFonts w:ascii="Calibri" w:hAnsi="Calibri" w:cs="Calibri"/>
                <w:sz w:val="22"/>
                <w:szCs w:val="22"/>
                <w:lang w:val="es-GT"/>
              </w:rPr>
              <w:t>Existen algunos esfuerzos del E</w:t>
            </w:r>
            <w:r w:rsidR="00E31B19" w:rsidRPr="001A01AB">
              <w:rPr>
                <w:rFonts w:ascii="Calibri" w:hAnsi="Calibri" w:cs="Calibri"/>
                <w:sz w:val="22"/>
                <w:szCs w:val="22"/>
                <w:lang w:val="es-GT"/>
              </w:rPr>
              <w:t xml:space="preserve">stado por ampliar y mejorar las estaciones meteorológicas para obtener información, en tiempo real, de las condiciones climáticas de las regiones prioritarias. Aunque existen estas iniciativas, los esfuerzos </w:t>
            </w:r>
            <w:r w:rsidR="003C58E3">
              <w:rPr>
                <w:rFonts w:ascii="Calibri" w:hAnsi="Calibri" w:cs="Calibri"/>
                <w:sz w:val="22"/>
                <w:szCs w:val="22"/>
                <w:lang w:val="es-GT"/>
              </w:rPr>
              <w:t>aú</w:t>
            </w:r>
            <w:r w:rsidR="00E31B19" w:rsidRPr="001A01AB">
              <w:rPr>
                <w:rFonts w:ascii="Calibri" w:hAnsi="Calibri" w:cs="Calibri"/>
                <w:sz w:val="22"/>
                <w:szCs w:val="22"/>
                <w:lang w:val="es-GT"/>
              </w:rPr>
              <w:t>n son limitados</w:t>
            </w:r>
            <w:r w:rsidR="008901F3">
              <w:rPr>
                <w:rFonts w:ascii="Calibri" w:hAnsi="Calibri" w:cs="Calibri"/>
                <w:sz w:val="22"/>
                <w:szCs w:val="22"/>
                <w:lang w:val="es-GT"/>
              </w:rPr>
              <w:t>,</w:t>
            </w:r>
            <w:r w:rsidR="00E31B19" w:rsidRPr="001A01AB">
              <w:rPr>
                <w:rFonts w:ascii="Calibri" w:hAnsi="Calibri" w:cs="Calibri"/>
                <w:sz w:val="22"/>
                <w:szCs w:val="22"/>
                <w:lang w:val="es-GT"/>
              </w:rPr>
              <w:t xml:space="preserve"> por lo que se deberán buscar opciones para ampliar</w:t>
            </w:r>
            <w:r w:rsidR="008901F3">
              <w:rPr>
                <w:rFonts w:ascii="Calibri" w:hAnsi="Calibri" w:cs="Calibri"/>
                <w:sz w:val="22"/>
                <w:szCs w:val="22"/>
                <w:lang w:val="es-GT"/>
              </w:rPr>
              <w:t>los</w:t>
            </w:r>
            <w:r w:rsidR="00E31B19" w:rsidRPr="001A01AB">
              <w:rPr>
                <w:rFonts w:ascii="Calibri" w:hAnsi="Calibri" w:cs="Calibri"/>
                <w:sz w:val="22"/>
                <w:szCs w:val="22"/>
                <w:lang w:val="es-GT"/>
              </w:rPr>
              <w:t xml:space="preserve"> y mejorar</w:t>
            </w:r>
            <w:r w:rsidR="008901F3">
              <w:rPr>
                <w:rFonts w:ascii="Calibri" w:hAnsi="Calibri" w:cs="Calibri"/>
                <w:sz w:val="22"/>
                <w:szCs w:val="22"/>
                <w:lang w:val="es-GT"/>
              </w:rPr>
              <w:t>los</w:t>
            </w:r>
            <w:r w:rsidR="00E31B19" w:rsidRPr="001A01AB">
              <w:rPr>
                <w:rFonts w:ascii="Calibri" w:hAnsi="Calibri" w:cs="Calibri"/>
                <w:sz w:val="22"/>
                <w:szCs w:val="22"/>
                <w:lang w:val="es-GT"/>
              </w:rPr>
              <w:t>.</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8901F3">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 xml:space="preserve">La continuidad </w:t>
            </w:r>
            <w:r w:rsidR="008901F3">
              <w:rPr>
                <w:rFonts w:ascii="Calibri" w:hAnsi="Calibri" w:cs="Calibri"/>
                <w:sz w:val="22"/>
                <w:szCs w:val="22"/>
                <w:lang w:val="es-GT"/>
              </w:rPr>
              <w:t>de</w:t>
            </w:r>
            <w:r w:rsidRPr="001A01AB">
              <w:rPr>
                <w:rFonts w:ascii="Calibri" w:hAnsi="Calibri" w:cs="Calibri"/>
                <w:sz w:val="22"/>
                <w:szCs w:val="22"/>
                <w:lang w:val="es-GT"/>
              </w:rPr>
              <w:t xml:space="preserve"> los</w:t>
            </w:r>
            <w:r w:rsidR="008901F3">
              <w:rPr>
                <w:rFonts w:ascii="Calibri" w:hAnsi="Calibri" w:cs="Calibri"/>
                <w:sz w:val="22"/>
                <w:szCs w:val="22"/>
                <w:lang w:val="es-GT"/>
              </w:rPr>
              <w:t xml:space="preserve"> esfuerzos a largo plazo</w:t>
            </w:r>
            <w:r w:rsidRPr="001A01AB">
              <w:rPr>
                <w:rFonts w:ascii="Calibri" w:hAnsi="Calibri" w:cs="Calibri"/>
                <w:sz w:val="22"/>
                <w:szCs w:val="22"/>
                <w:lang w:val="es-GT"/>
              </w:rPr>
              <w:t xml:space="preserve"> para obtener información climática y su vinculación con las entidades encargadas de la generación debe estar garantiza</w:t>
            </w:r>
            <w:r w:rsidR="008901F3">
              <w:rPr>
                <w:rFonts w:ascii="Calibri" w:hAnsi="Calibri" w:cs="Calibri"/>
                <w:sz w:val="22"/>
                <w:szCs w:val="22"/>
                <w:lang w:val="es-GT"/>
              </w:rPr>
              <w:t>da</w:t>
            </w:r>
            <w:r w:rsidRPr="001A01AB">
              <w:rPr>
                <w:rFonts w:ascii="Calibri" w:hAnsi="Calibri" w:cs="Calibri"/>
                <w:sz w:val="22"/>
                <w:szCs w:val="22"/>
                <w:lang w:val="es-GT"/>
              </w:rPr>
              <w:t xml:space="preserve"> para asegurar la efectividad de las inversiones a realizar.</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7.1: D</w:t>
            </w:r>
            <w:r w:rsidR="003C58E3" w:rsidRPr="001A01AB">
              <w:rPr>
                <w:rFonts w:ascii="Calibri" w:hAnsi="Calibri" w:cs="Calibri"/>
                <w:b/>
                <w:color w:val="365F91"/>
                <w:sz w:val="22"/>
                <w:szCs w:val="22"/>
                <w:lang w:val="es-GT"/>
              </w:rPr>
              <w:t xml:space="preserve">esarrollo institucional </w:t>
            </w:r>
            <w:r w:rsidRPr="001A01AB">
              <w:rPr>
                <w:rFonts w:ascii="Calibri" w:hAnsi="Calibri" w:cs="Calibri"/>
                <w:b/>
                <w:color w:val="365F91"/>
                <w:sz w:val="22"/>
                <w:szCs w:val="22"/>
                <w:lang w:val="es-GT"/>
              </w:rPr>
              <w:t>– Promoción de la asocia</w:t>
            </w:r>
            <w:r w:rsidR="007C3972" w:rsidRPr="001A01AB">
              <w:rPr>
                <w:rFonts w:ascii="Calibri" w:hAnsi="Calibri" w:cs="Calibri"/>
                <w:b/>
                <w:color w:val="365F91"/>
                <w:sz w:val="22"/>
                <w:szCs w:val="22"/>
                <w:lang w:val="es-GT"/>
              </w:rPr>
              <w:t>ción</w:t>
            </w:r>
            <w:r w:rsidRPr="001A01AB">
              <w:rPr>
                <w:rFonts w:ascii="Calibri" w:hAnsi="Calibri" w:cs="Calibri"/>
                <w:b/>
                <w:color w:val="365F91"/>
                <w:sz w:val="22"/>
                <w:szCs w:val="22"/>
                <w:lang w:val="es-GT"/>
              </w:rPr>
              <w:t xml:space="preserve"> de los pequeños y medianos productores rurales</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3C58E3"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8901F3" w:rsidRDefault="00E31B19" w:rsidP="008901F3">
            <w:pPr>
              <w:spacing w:before="40" w:after="40"/>
              <w:jc w:val="both"/>
              <w:rPr>
                <w:rFonts w:ascii="Calibri" w:hAnsi="Calibri" w:cs="Calibri"/>
                <w:sz w:val="22"/>
                <w:szCs w:val="22"/>
                <w:lang w:val="es-GT"/>
              </w:rPr>
            </w:pPr>
            <w:r w:rsidRPr="001A01AB">
              <w:rPr>
                <w:rFonts w:ascii="Calibri" w:hAnsi="Calibri" w:cs="Calibri"/>
                <w:sz w:val="22"/>
                <w:szCs w:val="22"/>
                <w:lang w:val="es-GT"/>
              </w:rPr>
              <w:t>En Guatemala</w:t>
            </w:r>
            <w:r w:rsidR="008901F3">
              <w:rPr>
                <w:rFonts w:ascii="Calibri" w:hAnsi="Calibri" w:cs="Calibri"/>
                <w:sz w:val="22"/>
                <w:szCs w:val="22"/>
                <w:lang w:val="es-GT"/>
              </w:rPr>
              <w:t>,</w:t>
            </w:r>
            <w:r w:rsidRPr="001A01AB">
              <w:rPr>
                <w:rFonts w:ascii="Calibri" w:hAnsi="Calibri" w:cs="Calibri"/>
                <w:sz w:val="22"/>
                <w:szCs w:val="22"/>
                <w:lang w:val="es-GT"/>
              </w:rPr>
              <w:t xml:space="preserve"> las pequeñas y medianas empresas contribuyen con el 85% del empleo.</w:t>
            </w:r>
            <w:r w:rsidR="00141A70">
              <w:rPr>
                <w:rFonts w:ascii="Calibri" w:hAnsi="Calibri" w:cs="Calibri"/>
                <w:sz w:val="22"/>
                <w:szCs w:val="22"/>
                <w:lang w:val="es-GT"/>
              </w:rPr>
              <w:t xml:space="preserve"> </w:t>
            </w:r>
            <w:r w:rsidRPr="001A01AB">
              <w:rPr>
                <w:rFonts w:ascii="Calibri" w:hAnsi="Calibri" w:cs="Calibri"/>
                <w:sz w:val="22"/>
                <w:szCs w:val="22"/>
                <w:lang w:val="es-GT"/>
              </w:rPr>
              <w:t>La asocia</w:t>
            </w:r>
            <w:r w:rsidR="007C3972" w:rsidRPr="001A01AB">
              <w:rPr>
                <w:rFonts w:ascii="Calibri" w:hAnsi="Calibri" w:cs="Calibri"/>
                <w:sz w:val="22"/>
                <w:szCs w:val="22"/>
                <w:lang w:val="es-GT"/>
              </w:rPr>
              <w:t>ción</w:t>
            </w:r>
            <w:r w:rsidRPr="001A01AB">
              <w:rPr>
                <w:rFonts w:ascii="Calibri" w:hAnsi="Calibri" w:cs="Calibri"/>
                <w:sz w:val="22"/>
                <w:szCs w:val="22"/>
                <w:lang w:val="es-GT"/>
              </w:rPr>
              <w:t xml:space="preserve"> permitirá contar con una estrategia para enfrentar los mercados globalizados y la creciente y fuerte competencia con otras empresas (nacionales y/o extranjeras).</w:t>
            </w:r>
            <w:r w:rsidR="00141A70">
              <w:rPr>
                <w:rFonts w:ascii="Calibri" w:hAnsi="Calibri" w:cs="Calibri"/>
                <w:sz w:val="22"/>
                <w:szCs w:val="22"/>
                <w:lang w:val="es-GT"/>
              </w:rPr>
              <w:t xml:space="preserve"> </w:t>
            </w:r>
            <w:r w:rsidRPr="001A01AB">
              <w:rPr>
                <w:rFonts w:ascii="Calibri" w:hAnsi="Calibri" w:cs="Calibri"/>
                <w:sz w:val="22"/>
                <w:szCs w:val="22"/>
                <w:lang w:val="es-GT"/>
              </w:rPr>
              <w:t>Es un mecanismo de cooperación entre grupos, organizaciones, empresas, o territorios en donde cada participante decide voluntariamente participar en un e</w:t>
            </w:r>
            <w:r w:rsidR="008901F3">
              <w:rPr>
                <w:rFonts w:ascii="Calibri" w:hAnsi="Calibri" w:cs="Calibri"/>
                <w:sz w:val="22"/>
                <w:szCs w:val="22"/>
                <w:lang w:val="es-GT"/>
              </w:rPr>
              <w:t>sfuerzo conjunto</w:t>
            </w:r>
            <w:r w:rsidRPr="001A01AB">
              <w:rPr>
                <w:rFonts w:ascii="Calibri" w:hAnsi="Calibri" w:cs="Calibri"/>
                <w:sz w:val="22"/>
                <w:szCs w:val="22"/>
                <w:lang w:val="es-GT"/>
              </w:rPr>
              <w:t xml:space="preserve"> para la búsqueda de objetivos, oportunidades y metas comunes, generando un </w:t>
            </w:r>
            <w:r w:rsidR="008901F3">
              <w:rPr>
                <w:rFonts w:ascii="Calibri" w:hAnsi="Calibri" w:cs="Calibri"/>
                <w:sz w:val="22"/>
                <w:szCs w:val="22"/>
                <w:lang w:val="es-GT"/>
              </w:rPr>
              <w:t>trabajo sostenido y justo, que produzca</w:t>
            </w:r>
            <w:r w:rsidRPr="001A01AB">
              <w:rPr>
                <w:rFonts w:ascii="Calibri" w:hAnsi="Calibri" w:cs="Calibri"/>
                <w:sz w:val="22"/>
                <w:szCs w:val="22"/>
                <w:lang w:val="es-GT"/>
              </w:rPr>
              <w:t xml:space="preserve"> riqueza con responsabilidad social. </w:t>
            </w:r>
          </w:p>
          <w:p w:rsidR="008901F3" w:rsidRDefault="008901F3" w:rsidP="008901F3">
            <w:pPr>
              <w:spacing w:before="40" w:after="40"/>
              <w:jc w:val="both"/>
              <w:rPr>
                <w:rFonts w:ascii="Calibri" w:hAnsi="Calibri" w:cs="Calibri"/>
                <w:sz w:val="22"/>
                <w:szCs w:val="22"/>
                <w:lang w:val="es-GT"/>
              </w:rPr>
            </w:pPr>
          </w:p>
          <w:p w:rsidR="00E31B19" w:rsidRPr="001A01AB" w:rsidRDefault="00E31B19" w:rsidP="008901F3">
            <w:pPr>
              <w:spacing w:before="40" w:after="40"/>
              <w:jc w:val="both"/>
              <w:rPr>
                <w:rFonts w:ascii="Calibri" w:hAnsi="Calibri" w:cs="Calibri"/>
                <w:sz w:val="22"/>
                <w:szCs w:val="22"/>
                <w:lang w:val="es-GT"/>
              </w:rPr>
            </w:pPr>
            <w:r w:rsidRPr="001A01AB">
              <w:rPr>
                <w:rFonts w:ascii="Calibri" w:hAnsi="Calibri" w:cs="Calibri"/>
                <w:sz w:val="22"/>
                <w:szCs w:val="22"/>
                <w:lang w:val="es-GT"/>
              </w:rPr>
              <w:t xml:space="preserve">Este mecanismo permitirá a los agricultores de infrasubsistencia y subsistencia asumir compromisos y cumplirlos, cultivar relaciones de confianza, disposición a invertir dinero y tiempo, </w:t>
            </w:r>
            <w:r w:rsidR="008901F3">
              <w:rPr>
                <w:rFonts w:ascii="Calibri" w:hAnsi="Calibri" w:cs="Calibri"/>
                <w:sz w:val="22"/>
                <w:szCs w:val="22"/>
                <w:lang w:val="es-GT"/>
              </w:rPr>
              <w:t>y</w:t>
            </w:r>
            <w:r w:rsidRPr="001A01AB">
              <w:rPr>
                <w:rFonts w:ascii="Calibri" w:hAnsi="Calibri" w:cs="Calibri"/>
                <w:sz w:val="22"/>
                <w:szCs w:val="22"/>
                <w:lang w:val="es-GT"/>
              </w:rPr>
              <w:t xml:space="preserve"> compartir costos y riesgos.</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Todo el territorio nacional</w:t>
            </w:r>
            <w:r w:rsidR="008901F3">
              <w:rPr>
                <w:rFonts w:ascii="Calibri" w:hAnsi="Calibri" w:cs="Calibri"/>
                <w:sz w:val="22"/>
                <w:szCs w:val="22"/>
                <w:lang w:val="es-GT"/>
              </w:rPr>
              <w:t>.</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8901F3">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760D64" w:rsidRDefault="00760D64"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 xml:space="preserve">Mejorar las acciones de </w:t>
            </w:r>
            <w:r w:rsidR="007C3972" w:rsidRPr="001A01AB">
              <w:rPr>
                <w:rFonts w:ascii="Calibri" w:hAnsi="Calibri" w:cs="Calibri"/>
                <w:sz w:val="22"/>
                <w:szCs w:val="22"/>
                <w:lang w:val="es-GT"/>
              </w:rPr>
              <w:t>asociación</w:t>
            </w:r>
            <w:r w:rsidR="00077DC5">
              <w:rPr>
                <w:rFonts w:ascii="Calibri" w:hAnsi="Calibri" w:cs="Calibri"/>
                <w:sz w:val="22"/>
                <w:szCs w:val="22"/>
                <w:lang w:val="es-GT"/>
              </w:rPr>
              <w:t xml:space="preserve"> y </w:t>
            </w:r>
            <w:r w:rsidRPr="001A01AB">
              <w:rPr>
                <w:rFonts w:ascii="Calibri" w:hAnsi="Calibri" w:cs="Calibri"/>
                <w:sz w:val="22"/>
                <w:szCs w:val="22"/>
                <w:lang w:val="es-GT"/>
              </w:rPr>
              <w:t xml:space="preserve">el desempeño individual, </w:t>
            </w:r>
            <w:r w:rsidR="00077DC5">
              <w:rPr>
                <w:rFonts w:ascii="Calibri" w:hAnsi="Calibri" w:cs="Calibri"/>
                <w:sz w:val="22"/>
                <w:szCs w:val="22"/>
                <w:lang w:val="es-GT"/>
              </w:rPr>
              <w:t>optimizando</w:t>
            </w:r>
            <w:r w:rsidRPr="001A01AB">
              <w:rPr>
                <w:rFonts w:ascii="Calibri" w:hAnsi="Calibri" w:cs="Calibri"/>
                <w:sz w:val="22"/>
                <w:szCs w:val="22"/>
                <w:lang w:val="es-GT"/>
              </w:rPr>
              <w:t xml:space="preserve"> su participación en los </w:t>
            </w:r>
            <w:r w:rsidRPr="001A01AB">
              <w:rPr>
                <w:rFonts w:ascii="Calibri" w:hAnsi="Calibri" w:cs="Calibri"/>
                <w:sz w:val="22"/>
                <w:szCs w:val="22"/>
                <w:lang w:val="es-GT"/>
              </w:rPr>
              <w:lastRenderedPageBreak/>
              <w:t xml:space="preserve">mercados, que puede tener consecuencias positivas para toda la economía local. En este sentido, al tener medidas que aumenten la productividad, bajen los costos logísticos, </w:t>
            </w:r>
            <w:r w:rsidR="00077DC5">
              <w:rPr>
                <w:rFonts w:ascii="Calibri" w:hAnsi="Calibri" w:cs="Calibri"/>
                <w:sz w:val="22"/>
                <w:szCs w:val="22"/>
                <w:lang w:val="es-GT"/>
              </w:rPr>
              <w:t>se estimule</w:t>
            </w:r>
            <w:r w:rsidRPr="001A01AB">
              <w:rPr>
                <w:rFonts w:ascii="Calibri" w:hAnsi="Calibri" w:cs="Calibri"/>
                <w:sz w:val="22"/>
                <w:szCs w:val="22"/>
                <w:lang w:val="es-GT"/>
              </w:rPr>
              <w:t xml:space="preserve"> el acceso a tecnologías, </w:t>
            </w:r>
            <w:r w:rsidR="00077DC5">
              <w:rPr>
                <w:rFonts w:ascii="Calibri" w:hAnsi="Calibri" w:cs="Calibri"/>
                <w:sz w:val="22"/>
                <w:szCs w:val="22"/>
                <w:lang w:val="es-GT"/>
              </w:rPr>
              <w:t>y las PyMEs s</w:t>
            </w:r>
            <w:r w:rsidRPr="001A01AB">
              <w:rPr>
                <w:rFonts w:ascii="Calibri" w:hAnsi="Calibri" w:cs="Calibri"/>
                <w:sz w:val="22"/>
                <w:szCs w:val="22"/>
                <w:lang w:val="es-GT"/>
              </w:rPr>
              <w:t>e integren a las cadenas de valor</w:t>
            </w:r>
            <w:r w:rsidR="00077DC5">
              <w:rPr>
                <w:rFonts w:ascii="Calibri" w:hAnsi="Calibri" w:cs="Calibri"/>
                <w:sz w:val="22"/>
                <w:szCs w:val="22"/>
                <w:lang w:val="es-GT"/>
              </w:rPr>
              <w:t>; se puede</w:t>
            </w:r>
            <w:r w:rsidRPr="001A01AB">
              <w:rPr>
                <w:rFonts w:ascii="Calibri" w:hAnsi="Calibri" w:cs="Calibri"/>
                <w:sz w:val="22"/>
                <w:szCs w:val="22"/>
                <w:lang w:val="es-GT"/>
              </w:rPr>
              <w:t xml:space="preserve"> generar empleo, elevar el nivel de ingreso rural y reducir la pobreza.</w:t>
            </w:r>
          </w:p>
          <w:p w:rsidR="00760D64" w:rsidRDefault="00760D64" w:rsidP="001A01AB">
            <w:pPr>
              <w:spacing w:before="40" w:after="40"/>
              <w:ind w:left="237"/>
              <w:jc w:val="both"/>
              <w:rPr>
                <w:rFonts w:ascii="Calibri" w:hAnsi="Calibri" w:cs="Calibri"/>
                <w:b/>
                <w:i/>
                <w:color w:val="365F91"/>
                <w:sz w:val="22"/>
                <w:szCs w:val="22"/>
                <w:lang w:val="es-GT"/>
              </w:rPr>
            </w:pPr>
          </w:p>
          <w:p w:rsidR="00E31B19" w:rsidRPr="001A01AB" w:rsidRDefault="00E31B19" w:rsidP="001A01AB">
            <w:pPr>
              <w:spacing w:before="40" w:after="40"/>
              <w:ind w:left="237"/>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w:t>
            </w:r>
            <w:r w:rsidR="00077DC5">
              <w:rPr>
                <w:rFonts w:ascii="Calibri" w:hAnsi="Calibri" w:cs="Calibri"/>
                <w:b/>
                <w:i/>
                <w:color w:val="365F91"/>
                <w:sz w:val="22"/>
                <w:szCs w:val="22"/>
                <w:lang w:val="es-GT"/>
              </w:rPr>
              <w:t>rtalecimiento institucional, diá</w:t>
            </w:r>
            <w:r w:rsidRPr="001A01AB">
              <w:rPr>
                <w:rFonts w:ascii="Calibri" w:hAnsi="Calibri" w:cs="Calibri"/>
                <w:b/>
                <w:i/>
                <w:color w:val="365F91"/>
                <w:sz w:val="22"/>
                <w:szCs w:val="22"/>
                <w:lang w:val="es-GT"/>
              </w:rPr>
              <w:t>logo de políticas y planificación sectorial)</w:t>
            </w:r>
          </w:p>
          <w:p w:rsidR="00E31B19" w:rsidRPr="001A01AB" w:rsidRDefault="00E31B19" w:rsidP="001A01AB">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Fortalecer la calidad y la trascendencia de la educación formal y d</w:t>
            </w:r>
            <w:r w:rsidR="00077DC5">
              <w:rPr>
                <w:rFonts w:ascii="Calibri" w:hAnsi="Calibri" w:cs="Calibri"/>
                <w:sz w:val="22"/>
                <w:szCs w:val="22"/>
                <w:lang w:val="es-GT"/>
              </w:rPr>
              <w:t>e los programas de capacitación</w:t>
            </w:r>
            <w:r w:rsidRPr="001A01AB">
              <w:rPr>
                <w:rFonts w:ascii="Calibri" w:hAnsi="Calibri" w:cs="Calibri"/>
                <w:sz w:val="22"/>
                <w:szCs w:val="22"/>
                <w:lang w:val="es-GT"/>
              </w:rPr>
              <w:t xml:space="preserve"> es prioridad clara para Guatemala, especialmente en el corto plazo</w:t>
            </w:r>
            <w:r w:rsidR="00077DC5">
              <w:rPr>
                <w:rFonts w:ascii="Calibri" w:hAnsi="Calibri" w:cs="Calibri"/>
                <w:sz w:val="22"/>
                <w:szCs w:val="22"/>
                <w:lang w:val="es-GT"/>
              </w:rPr>
              <w:t>,</w:t>
            </w:r>
            <w:r w:rsidRPr="001A01AB">
              <w:rPr>
                <w:rFonts w:ascii="Calibri" w:hAnsi="Calibri" w:cs="Calibri"/>
                <w:sz w:val="22"/>
                <w:szCs w:val="22"/>
                <w:lang w:val="es-GT"/>
              </w:rPr>
              <w:t xml:space="preserve"> para que mejoren las condiciones y por ende el desarrollo local.</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077DC5" w:rsidP="001A01AB">
            <w:pPr>
              <w:numPr>
                <w:ilvl w:val="0"/>
                <w:numId w:val="29"/>
              </w:numPr>
              <w:tabs>
                <w:tab w:val="clear" w:pos="720"/>
              </w:tabs>
              <w:spacing w:before="40" w:after="40"/>
              <w:ind w:left="432" w:hanging="144"/>
              <w:jc w:val="both"/>
              <w:rPr>
                <w:rFonts w:ascii="Calibri" w:hAnsi="Calibri" w:cs="Calibri"/>
                <w:sz w:val="22"/>
                <w:szCs w:val="22"/>
                <w:lang w:val="es-GT"/>
              </w:rPr>
            </w:pPr>
            <w:r>
              <w:rPr>
                <w:rFonts w:ascii="Calibri" w:hAnsi="Calibri" w:cs="Calibri"/>
                <w:sz w:val="22"/>
                <w:szCs w:val="22"/>
                <w:lang w:val="es-GT"/>
              </w:rPr>
              <w:t>Existen</w:t>
            </w:r>
            <w:r w:rsidR="00E31B19" w:rsidRPr="001A01AB">
              <w:rPr>
                <w:rFonts w:ascii="Calibri" w:hAnsi="Calibri" w:cs="Calibri"/>
                <w:sz w:val="22"/>
                <w:szCs w:val="22"/>
                <w:lang w:val="es-GT"/>
              </w:rPr>
              <w:t xml:space="preserve"> capacidades nacionales e institucionalidad </w:t>
            </w:r>
            <w:r>
              <w:rPr>
                <w:rFonts w:ascii="Calibri" w:hAnsi="Calibri" w:cs="Calibri"/>
                <w:sz w:val="22"/>
                <w:szCs w:val="22"/>
                <w:lang w:val="es-GT"/>
              </w:rPr>
              <w:t>para</w:t>
            </w:r>
            <w:r w:rsidR="00E31B19" w:rsidRPr="001A01AB">
              <w:rPr>
                <w:rFonts w:ascii="Calibri" w:hAnsi="Calibri" w:cs="Calibri"/>
                <w:sz w:val="22"/>
                <w:szCs w:val="22"/>
                <w:lang w:val="es-GT"/>
              </w:rPr>
              <w:t xml:space="preserve"> la implementación de asocia</w:t>
            </w:r>
            <w:r w:rsidR="007C3972" w:rsidRPr="001A01AB">
              <w:rPr>
                <w:rFonts w:ascii="Calibri" w:hAnsi="Calibri" w:cs="Calibri"/>
                <w:sz w:val="22"/>
                <w:szCs w:val="22"/>
                <w:lang w:val="es-GT"/>
              </w:rPr>
              <w:t>ciones</w:t>
            </w:r>
            <w:r w:rsidR="00E31B19" w:rsidRPr="001A01AB">
              <w:rPr>
                <w:rFonts w:ascii="Calibri" w:hAnsi="Calibri" w:cs="Calibri"/>
                <w:sz w:val="22"/>
                <w:szCs w:val="22"/>
                <w:lang w:val="es-GT"/>
              </w:rPr>
              <w:t xml:space="preserve"> </w:t>
            </w:r>
            <w:r>
              <w:rPr>
                <w:rFonts w:ascii="Calibri" w:hAnsi="Calibri" w:cs="Calibri"/>
                <w:sz w:val="22"/>
                <w:szCs w:val="22"/>
                <w:lang w:val="es-GT"/>
              </w:rPr>
              <w:t>que accedan</w:t>
            </w:r>
            <w:r w:rsidR="00E31B19" w:rsidRPr="001A01AB">
              <w:rPr>
                <w:rFonts w:ascii="Calibri" w:hAnsi="Calibri" w:cs="Calibri"/>
                <w:sz w:val="22"/>
                <w:szCs w:val="22"/>
                <w:lang w:val="es-GT"/>
              </w:rPr>
              <w:t xml:space="preserve"> a créditos y/o proyectos.</w:t>
            </w:r>
          </w:p>
          <w:p w:rsidR="00E31B19" w:rsidRPr="001A01AB" w:rsidRDefault="00E31B19" w:rsidP="001A01AB">
            <w:pPr>
              <w:numPr>
                <w:ilvl w:val="0"/>
                <w:numId w:val="29"/>
              </w:numPr>
              <w:tabs>
                <w:tab w:val="clear" w:pos="720"/>
              </w:tabs>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Hay un sinnúmero de opciones de asocia</w:t>
            </w:r>
            <w:r w:rsidR="007C3972" w:rsidRPr="001A01AB">
              <w:rPr>
                <w:rFonts w:ascii="Calibri" w:hAnsi="Calibri" w:cs="Calibri"/>
                <w:sz w:val="22"/>
                <w:szCs w:val="22"/>
                <w:lang w:val="es-GT"/>
              </w:rPr>
              <w:t xml:space="preserve">ción </w:t>
            </w:r>
            <w:r w:rsidRPr="001A01AB">
              <w:rPr>
                <w:rFonts w:ascii="Calibri" w:hAnsi="Calibri" w:cs="Calibri"/>
                <w:sz w:val="22"/>
                <w:szCs w:val="22"/>
                <w:lang w:val="es-GT"/>
              </w:rPr>
              <w:t>a nivel nacional.</w:t>
            </w:r>
          </w:p>
          <w:p w:rsidR="00E31B19" w:rsidRPr="001A01AB" w:rsidRDefault="00E31B19" w:rsidP="001A01AB">
            <w:pPr>
              <w:numPr>
                <w:ilvl w:val="0"/>
                <w:numId w:val="29"/>
              </w:numPr>
              <w:tabs>
                <w:tab w:val="clear" w:pos="720"/>
              </w:tabs>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La asociatividad es uno de los principales elementos para aumentar la competitividad y poder incursionar en mercados internacionales.</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1A01AB">
            <w:pPr>
              <w:numPr>
                <w:ilvl w:val="0"/>
                <w:numId w:val="29"/>
              </w:numPr>
              <w:tabs>
                <w:tab w:val="clear" w:pos="720"/>
              </w:tabs>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 xml:space="preserve">Estos procesos deben considerar los elementos de sostenibilidad ambiental y de uso eficiente y sostenible de las materias primas. A mayor </w:t>
            </w:r>
            <w:r w:rsidR="003C58E3">
              <w:rPr>
                <w:rFonts w:ascii="Calibri" w:hAnsi="Calibri" w:cs="Calibri"/>
                <w:sz w:val="22"/>
                <w:szCs w:val="22"/>
                <w:lang w:val="es-GT"/>
              </w:rPr>
              <w:t>nú</w:t>
            </w:r>
            <w:r w:rsidRPr="001A01AB">
              <w:rPr>
                <w:rFonts w:ascii="Calibri" w:hAnsi="Calibri" w:cs="Calibri"/>
                <w:sz w:val="22"/>
                <w:szCs w:val="22"/>
                <w:lang w:val="es-GT"/>
              </w:rPr>
              <w:t>mero de asociaciones se espera aumentar la productividad y</w:t>
            </w:r>
            <w:r w:rsidR="00077DC5">
              <w:rPr>
                <w:rFonts w:ascii="Calibri" w:hAnsi="Calibri" w:cs="Calibri"/>
                <w:sz w:val="22"/>
                <w:szCs w:val="22"/>
                <w:lang w:val="es-GT"/>
              </w:rPr>
              <w:t>,</w:t>
            </w:r>
            <w:r w:rsidRPr="001A01AB">
              <w:rPr>
                <w:rFonts w:ascii="Calibri" w:hAnsi="Calibri" w:cs="Calibri"/>
                <w:sz w:val="22"/>
                <w:szCs w:val="22"/>
                <w:lang w:val="es-GT"/>
              </w:rPr>
              <w:t xml:space="preserve"> por ende, los recursos e impactos asociados.</w:t>
            </w:r>
          </w:p>
          <w:p w:rsidR="00E31B19" w:rsidRPr="001A01AB" w:rsidRDefault="00E31B19" w:rsidP="001A01AB">
            <w:pPr>
              <w:numPr>
                <w:ilvl w:val="0"/>
                <w:numId w:val="29"/>
              </w:numPr>
              <w:tabs>
                <w:tab w:val="clear" w:pos="720"/>
              </w:tabs>
              <w:spacing w:before="40" w:after="40"/>
              <w:ind w:left="432" w:hanging="144"/>
              <w:jc w:val="both"/>
              <w:rPr>
                <w:rFonts w:ascii="Calibri" w:hAnsi="Calibri" w:cs="Calibri"/>
                <w:sz w:val="22"/>
                <w:szCs w:val="22"/>
                <w:lang w:val="es-GT"/>
              </w:rPr>
            </w:pPr>
            <w:r w:rsidRPr="001A01AB">
              <w:rPr>
                <w:rFonts w:ascii="Calibri" w:hAnsi="Calibri" w:cs="Calibri"/>
                <w:sz w:val="22"/>
                <w:szCs w:val="22"/>
                <w:lang w:val="es-GT"/>
              </w:rPr>
              <w:t>Aumentar la demanda de los recursos naturales pa</w:t>
            </w:r>
            <w:r w:rsidR="00077DC5">
              <w:rPr>
                <w:rFonts w:ascii="Calibri" w:hAnsi="Calibri" w:cs="Calibri"/>
                <w:sz w:val="22"/>
                <w:szCs w:val="22"/>
                <w:lang w:val="es-GT"/>
              </w:rPr>
              <w:t>ra la producción, tierras, agua o</w:t>
            </w:r>
            <w:r w:rsidRPr="001A01AB">
              <w:rPr>
                <w:rFonts w:ascii="Calibri" w:hAnsi="Calibri" w:cs="Calibri"/>
                <w:sz w:val="22"/>
                <w:szCs w:val="22"/>
                <w:lang w:val="es-GT"/>
              </w:rPr>
              <w:t xml:space="preserve"> fertilizantes, puede contribuir a mantener e incrementar el deterioro ambiental.</w:t>
            </w:r>
          </w:p>
          <w:p w:rsidR="00E31B19" w:rsidRPr="001A01AB" w:rsidRDefault="00077DC5" w:rsidP="001A01AB">
            <w:pPr>
              <w:numPr>
                <w:ilvl w:val="0"/>
                <w:numId w:val="29"/>
              </w:numPr>
              <w:tabs>
                <w:tab w:val="clear" w:pos="720"/>
              </w:tabs>
              <w:spacing w:before="40" w:after="40"/>
              <w:ind w:left="432" w:hanging="144"/>
              <w:jc w:val="both"/>
              <w:rPr>
                <w:rFonts w:ascii="Calibri" w:hAnsi="Calibri" w:cs="Calibri"/>
                <w:b/>
                <w:sz w:val="22"/>
                <w:szCs w:val="22"/>
                <w:lang w:val="es-GT"/>
              </w:rPr>
            </w:pPr>
            <w:r>
              <w:rPr>
                <w:rFonts w:ascii="Calibri" w:hAnsi="Calibri" w:cs="Calibri"/>
                <w:sz w:val="22"/>
                <w:szCs w:val="22"/>
                <w:lang w:val="es-GT"/>
              </w:rPr>
              <w:t>Estos</w:t>
            </w:r>
            <w:r w:rsidR="00E31B19" w:rsidRPr="001A01AB">
              <w:rPr>
                <w:rFonts w:ascii="Calibri" w:hAnsi="Calibri" w:cs="Calibri"/>
                <w:sz w:val="22"/>
                <w:szCs w:val="22"/>
                <w:lang w:val="es-GT"/>
              </w:rPr>
              <w:t xml:space="preserve"> procesos</w:t>
            </w:r>
            <w:r>
              <w:rPr>
                <w:rFonts w:ascii="Calibri" w:hAnsi="Calibri" w:cs="Calibri"/>
                <w:sz w:val="22"/>
                <w:szCs w:val="22"/>
                <w:lang w:val="es-GT"/>
              </w:rPr>
              <w:t xml:space="preserve"> son</w:t>
            </w:r>
            <w:r w:rsidR="00E31B19" w:rsidRPr="001A01AB">
              <w:rPr>
                <w:rFonts w:ascii="Calibri" w:hAnsi="Calibri" w:cs="Calibri"/>
                <w:sz w:val="22"/>
                <w:szCs w:val="22"/>
                <w:lang w:val="es-GT"/>
              </w:rPr>
              <w:t xml:space="preserve"> de largo plazo, además requieren de mucho acompañamiento y de </w:t>
            </w:r>
            <w:r w:rsidRPr="001A01AB">
              <w:rPr>
                <w:rFonts w:ascii="Calibri" w:hAnsi="Calibri" w:cs="Calibri"/>
                <w:sz w:val="22"/>
                <w:szCs w:val="22"/>
                <w:lang w:val="es-GT"/>
              </w:rPr>
              <w:t>métodos</w:t>
            </w:r>
            <w:r w:rsidR="00E31B19" w:rsidRPr="001A01AB">
              <w:rPr>
                <w:rFonts w:ascii="Calibri" w:hAnsi="Calibri" w:cs="Calibri"/>
                <w:sz w:val="22"/>
                <w:szCs w:val="22"/>
                <w:lang w:val="es-GT"/>
              </w:rPr>
              <w:t xml:space="preserve"> de consolidación. Además</w:t>
            </w:r>
            <w:r>
              <w:rPr>
                <w:rFonts w:ascii="Calibri" w:hAnsi="Calibri" w:cs="Calibri"/>
                <w:sz w:val="22"/>
                <w:szCs w:val="22"/>
                <w:lang w:val="es-GT"/>
              </w:rPr>
              <w:t>,</w:t>
            </w:r>
            <w:r w:rsidR="00E31B19" w:rsidRPr="001A01AB">
              <w:rPr>
                <w:rFonts w:ascii="Calibri" w:hAnsi="Calibri" w:cs="Calibri"/>
                <w:sz w:val="22"/>
                <w:szCs w:val="22"/>
                <w:lang w:val="es-GT"/>
              </w:rPr>
              <w:t xml:space="preserve"> requieren altos niveles de liderazgo local para </w:t>
            </w:r>
            <w:r>
              <w:rPr>
                <w:rFonts w:ascii="Calibri" w:hAnsi="Calibri" w:cs="Calibri"/>
                <w:sz w:val="22"/>
                <w:szCs w:val="22"/>
                <w:lang w:val="es-GT"/>
              </w:rPr>
              <w:t xml:space="preserve">ser </w:t>
            </w:r>
            <w:r w:rsidR="00E31B19" w:rsidRPr="001A01AB">
              <w:rPr>
                <w:rFonts w:ascii="Calibri" w:hAnsi="Calibri" w:cs="Calibri"/>
                <w:sz w:val="22"/>
                <w:szCs w:val="22"/>
                <w:lang w:val="es-GT"/>
              </w:rPr>
              <w:t>consolida</w:t>
            </w:r>
            <w:r>
              <w:rPr>
                <w:rFonts w:ascii="Calibri" w:hAnsi="Calibri" w:cs="Calibri"/>
                <w:sz w:val="22"/>
                <w:szCs w:val="22"/>
                <w:lang w:val="es-GT"/>
              </w:rPr>
              <w:t>dos</w:t>
            </w:r>
            <w:r w:rsidR="00E31B19" w:rsidRPr="001A01AB">
              <w:rPr>
                <w:rFonts w:ascii="Calibri" w:hAnsi="Calibri" w:cs="Calibri"/>
                <w:sz w:val="22"/>
                <w:szCs w:val="22"/>
                <w:lang w:val="es-GT"/>
              </w:rPr>
              <w:t>.</w:t>
            </w:r>
          </w:p>
          <w:p w:rsidR="00E31B19" w:rsidRPr="001A01AB" w:rsidRDefault="00E31B19" w:rsidP="001A01AB">
            <w:pPr>
              <w:numPr>
                <w:ilvl w:val="0"/>
                <w:numId w:val="29"/>
              </w:numPr>
              <w:tabs>
                <w:tab w:val="clear" w:pos="720"/>
              </w:tabs>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Generación de falsas expectativas grupales.</w:t>
            </w:r>
          </w:p>
        </w:tc>
      </w:tr>
    </w:tbl>
    <w:p w:rsidR="00E31B19" w:rsidRPr="001A01AB" w:rsidRDefault="00E31B19" w:rsidP="00E31B19">
      <w:pPr>
        <w:jc w:val="both"/>
        <w:rPr>
          <w:rFonts w:ascii="Calibri" w:hAnsi="Calibri" w:cs="Calibri"/>
          <w:lang w:val="es-GT"/>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BE5F1"/>
        <w:tblLook w:val="01E0" w:firstRow="1" w:lastRow="1" w:firstColumn="1" w:lastColumn="1" w:noHBand="0" w:noVBand="0"/>
      </w:tblPr>
      <w:tblGrid>
        <w:gridCol w:w="9437"/>
      </w:tblGrid>
      <w:tr w:rsidR="00E31B19" w:rsidRPr="000364C9" w:rsidTr="001A01AB">
        <w:trPr>
          <w:trHeight w:val="20"/>
          <w:jc w:val="center"/>
        </w:trPr>
        <w:tc>
          <w:tcPr>
            <w:tcW w:w="9437" w:type="dxa"/>
            <w:shd w:val="clear" w:color="auto" w:fill="auto"/>
          </w:tcPr>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Opción estratégica 7.2: D</w:t>
            </w:r>
            <w:r w:rsidR="003C58E3" w:rsidRPr="001A01AB">
              <w:rPr>
                <w:rFonts w:ascii="Calibri" w:hAnsi="Calibri" w:cs="Calibri"/>
                <w:b/>
                <w:color w:val="365F91"/>
                <w:sz w:val="22"/>
                <w:szCs w:val="22"/>
                <w:lang w:val="es-GT"/>
              </w:rPr>
              <w:t xml:space="preserve">esarrollo institucional </w:t>
            </w:r>
            <w:r w:rsidR="00077DC5">
              <w:rPr>
                <w:rFonts w:ascii="Calibri" w:hAnsi="Calibri" w:cs="Calibri"/>
                <w:b/>
                <w:color w:val="365F91"/>
                <w:sz w:val="22"/>
                <w:szCs w:val="22"/>
                <w:lang w:val="es-GT"/>
              </w:rPr>
              <w:t>– Impulso al diá</w:t>
            </w:r>
            <w:r w:rsidRPr="001A01AB">
              <w:rPr>
                <w:rFonts w:ascii="Calibri" w:hAnsi="Calibri" w:cs="Calibri"/>
                <w:b/>
                <w:color w:val="365F91"/>
                <w:sz w:val="22"/>
                <w:szCs w:val="22"/>
                <w:lang w:val="es-GT"/>
              </w:rPr>
              <w:t>logo sectorial y de políticas de los recursos hídricos</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3C58E3" w:rsidP="001A01AB">
            <w:pPr>
              <w:spacing w:before="40" w:after="40"/>
              <w:jc w:val="both"/>
              <w:rPr>
                <w:rFonts w:ascii="Calibri" w:hAnsi="Calibri" w:cs="Calibri"/>
                <w:b/>
                <w:color w:val="365F91"/>
                <w:sz w:val="22"/>
                <w:szCs w:val="22"/>
                <w:lang w:val="es-GT"/>
              </w:rPr>
            </w:pPr>
            <w:r>
              <w:rPr>
                <w:rFonts w:ascii="Calibri" w:hAnsi="Calibri" w:cs="Calibri"/>
                <w:b/>
                <w:color w:val="365F91"/>
                <w:sz w:val="22"/>
                <w:szCs w:val="22"/>
                <w:lang w:val="es-GT"/>
              </w:rPr>
              <w:t>a) Descripción general</w:t>
            </w: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La provisión efectiva de agua para la población actual y futura, así como de los procesos productivos requiere de una gestión integrada que incluya al menos los siguientes aspectos:</w:t>
            </w:r>
          </w:p>
          <w:p w:rsidR="00E31B19" w:rsidRPr="00535834" w:rsidRDefault="00E31B19" w:rsidP="001A01AB">
            <w:pPr>
              <w:numPr>
                <w:ilvl w:val="0"/>
                <w:numId w:val="30"/>
              </w:numPr>
              <w:spacing w:before="40" w:after="40"/>
              <w:jc w:val="both"/>
              <w:rPr>
                <w:rFonts w:ascii="Calibri" w:hAnsi="Calibri" w:cs="Calibri"/>
                <w:sz w:val="22"/>
                <w:szCs w:val="22"/>
                <w:lang w:val="es-GT"/>
              </w:rPr>
            </w:pPr>
            <w:r w:rsidRPr="00535834">
              <w:rPr>
                <w:rFonts w:ascii="Calibri" w:hAnsi="Calibri" w:cs="Calibri"/>
                <w:sz w:val="22"/>
                <w:szCs w:val="22"/>
                <w:lang w:val="es-GT"/>
              </w:rPr>
              <w:t>Garantizar condiciones ambientales mínimas para el mantenimiento del ciclo hidrológico, especialmente en lo referente a cobertura boscosa en z</w:t>
            </w:r>
            <w:r w:rsidR="00535834">
              <w:rPr>
                <w:rFonts w:ascii="Calibri" w:hAnsi="Calibri" w:cs="Calibri"/>
                <w:sz w:val="22"/>
                <w:szCs w:val="22"/>
                <w:lang w:val="es-GT"/>
              </w:rPr>
              <w:t>onas de importancia hidrológica;</w:t>
            </w:r>
          </w:p>
          <w:p w:rsidR="00E31B19" w:rsidRPr="00535834" w:rsidRDefault="00E31B19" w:rsidP="001A01AB">
            <w:pPr>
              <w:numPr>
                <w:ilvl w:val="0"/>
                <w:numId w:val="30"/>
              </w:numPr>
              <w:spacing w:before="40" w:after="40"/>
              <w:jc w:val="both"/>
              <w:rPr>
                <w:rFonts w:ascii="Calibri" w:hAnsi="Calibri" w:cs="Calibri"/>
                <w:sz w:val="22"/>
                <w:szCs w:val="22"/>
                <w:lang w:val="es-GT"/>
              </w:rPr>
            </w:pPr>
            <w:r w:rsidRPr="00535834">
              <w:rPr>
                <w:rFonts w:ascii="Calibri" w:hAnsi="Calibri" w:cs="Calibri"/>
                <w:sz w:val="22"/>
                <w:szCs w:val="22"/>
                <w:lang w:val="es-GT"/>
              </w:rPr>
              <w:t xml:space="preserve">Fomentar la eficiencia en el uso del agua, tanto como bien de consumo, </w:t>
            </w:r>
            <w:r w:rsidR="00535834">
              <w:rPr>
                <w:rFonts w:ascii="Calibri" w:hAnsi="Calibri" w:cs="Calibri"/>
                <w:sz w:val="22"/>
                <w:szCs w:val="22"/>
                <w:lang w:val="es-GT"/>
              </w:rPr>
              <w:t xml:space="preserve">como </w:t>
            </w:r>
            <w:r w:rsidRPr="00535834">
              <w:rPr>
                <w:rFonts w:ascii="Calibri" w:hAnsi="Calibri" w:cs="Calibri"/>
                <w:sz w:val="22"/>
                <w:szCs w:val="22"/>
                <w:lang w:val="es-GT"/>
              </w:rPr>
              <w:t>factor de producción o receptor de desechos,</w:t>
            </w:r>
          </w:p>
          <w:p w:rsidR="00E31B19" w:rsidRPr="00535834" w:rsidRDefault="00E31B19" w:rsidP="001A01AB">
            <w:pPr>
              <w:numPr>
                <w:ilvl w:val="0"/>
                <w:numId w:val="30"/>
              </w:numPr>
              <w:spacing w:before="40" w:after="40"/>
              <w:jc w:val="both"/>
              <w:rPr>
                <w:rFonts w:ascii="Calibri" w:hAnsi="Calibri" w:cs="Calibri"/>
                <w:sz w:val="22"/>
                <w:szCs w:val="22"/>
                <w:lang w:val="es-GT"/>
              </w:rPr>
            </w:pPr>
            <w:r w:rsidRPr="00535834">
              <w:rPr>
                <w:rFonts w:ascii="Calibri" w:hAnsi="Calibri" w:cs="Calibri"/>
                <w:sz w:val="22"/>
                <w:szCs w:val="22"/>
                <w:lang w:val="es-GT"/>
              </w:rPr>
              <w:t>Impulsar la creación de instrumentos institucionales y normativos que garanticen una efectiva gobernabilidad del agua.</w:t>
            </w:r>
          </w:p>
          <w:p w:rsidR="003C58E3" w:rsidRDefault="003C58E3" w:rsidP="001A01AB">
            <w:pPr>
              <w:spacing w:before="40" w:after="40"/>
              <w:jc w:val="both"/>
              <w:rPr>
                <w:rFonts w:ascii="Calibri" w:hAnsi="Calibri" w:cs="Calibri"/>
                <w:sz w:val="22"/>
                <w:szCs w:val="22"/>
                <w:lang w:val="es-GT"/>
              </w:rPr>
            </w:pPr>
          </w:p>
          <w:p w:rsidR="00E31B19"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La debilidad de la institucionalidad nacional y local para la e</w:t>
            </w:r>
            <w:r w:rsidR="00535834">
              <w:rPr>
                <w:rFonts w:ascii="Calibri" w:hAnsi="Calibri" w:cs="Calibri"/>
                <w:sz w:val="22"/>
                <w:szCs w:val="22"/>
                <w:lang w:val="es-GT"/>
              </w:rPr>
              <w:t>fectiva gobernabilidad del agua</w:t>
            </w:r>
            <w:r w:rsidRPr="001A01AB">
              <w:rPr>
                <w:rFonts w:ascii="Calibri" w:hAnsi="Calibri" w:cs="Calibri"/>
                <w:sz w:val="22"/>
                <w:szCs w:val="22"/>
                <w:lang w:val="es-GT"/>
              </w:rPr>
              <w:t xml:space="preserve"> es un elemento crítico que debe ser atendido dentro del contexto de la gestión integrada de recursos </w:t>
            </w:r>
            <w:r w:rsidRPr="001A01AB">
              <w:rPr>
                <w:rFonts w:ascii="Calibri" w:hAnsi="Calibri" w:cs="Calibri"/>
                <w:sz w:val="22"/>
                <w:szCs w:val="22"/>
                <w:lang w:val="es-GT"/>
              </w:rPr>
              <w:lastRenderedPageBreak/>
              <w:t>hídricos. En el plano institucional se han logrado avances con la elaboración del Plan Sectorial Multianual de Ambiente y Agua</w:t>
            </w:r>
            <w:r w:rsidR="00535834">
              <w:rPr>
                <w:rFonts w:ascii="Calibri" w:hAnsi="Calibri" w:cs="Calibri"/>
                <w:sz w:val="22"/>
                <w:szCs w:val="22"/>
                <w:lang w:val="es-GT"/>
              </w:rPr>
              <w:t>,</w:t>
            </w:r>
            <w:r w:rsidRPr="001A01AB">
              <w:rPr>
                <w:rFonts w:ascii="Calibri" w:hAnsi="Calibri" w:cs="Calibri"/>
                <w:sz w:val="22"/>
                <w:szCs w:val="22"/>
                <w:lang w:val="es-GT"/>
              </w:rPr>
              <w:t xml:space="preserve"> y la aprobación de la Política Nacional del Agua y su estrategia.</w:t>
            </w:r>
            <w:r w:rsidR="00141A70">
              <w:rPr>
                <w:rFonts w:ascii="Calibri" w:hAnsi="Calibri" w:cs="Calibri"/>
                <w:sz w:val="22"/>
                <w:szCs w:val="22"/>
                <w:lang w:val="es-GT"/>
              </w:rPr>
              <w:t xml:space="preserve"> </w:t>
            </w:r>
          </w:p>
          <w:p w:rsidR="003C58E3" w:rsidRPr="001A01AB" w:rsidRDefault="003C58E3" w:rsidP="001A01AB">
            <w:pPr>
              <w:spacing w:before="40" w:after="40"/>
              <w:jc w:val="both"/>
              <w:rPr>
                <w:rFonts w:ascii="Calibri" w:hAnsi="Calibri" w:cs="Calibri"/>
                <w:sz w:val="22"/>
                <w:szCs w:val="22"/>
                <w:lang w:val="es-GT"/>
              </w:rPr>
            </w:pPr>
          </w:p>
          <w:p w:rsidR="00E31B19" w:rsidRPr="001A01AB" w:rsidRDefault="00E31B19" w:rsidP="001A01AB">
            <w:pPr>
              <w:spacing w:before="40" w:after="40"/>
              <w:jc w:val="both"/>
              <w:rPr>
                <w:rFonts w:ascii="Calibri" w:hAnsi="Calibri" w:cs="Calibri"/>
                <w:sz w:val="22"/>
                <w:szCs w:val="22"/>
                <w:lang w:val="es-GT"/>
              </w:rPr>
            </w:pPr>
            <w:r w:rsidRPr="001A01AB">
              <w:rPr>
                <w:rFonts w:ascii="Calibri" w:hAnsi="Calibri" w:cs="Calibri"/>
                <w:sz w:val="22"/>
                <w:szCs w:val="22"/>
                <w:lang w:val="es-GT"/>
              </w:rPr>
              <w:t>FIDA tiene el potencial de aprovechar su ventaja comparativa en la pr</w:t>
            </w:r>
            <w:r w:rsidR="00535834">
              <w:rPr>
                <w:rFonts w:ascii="Calibri" w:hAnsi="Calibri" w:cs="Calibri"/>
                <w:sz w:val="22"/>
                <w:szCs w:val="22"/>
                <w:lang w:val="es-GT"/>
              </w:rPr>
              <w:t>omoción y acompañamiento del diá</w:t>
            </w:r>
            <w:r w:rsidRPr="001A01AB">
              <w:rPr>
                <w:rFonts w:ascii="Calibri" w:hAnsi="Calibri" w:cs="Calibri"/>
                <w:sz w:val="22"/>
                <w:szCs w:val="22"/>
                <w:lang w:val="es-GT"/>
              </w:rPr>
              <w:t>logo sectorial y de políticas en este contexto, contribuyendo con el diseño e implementación de mecanismos e instrumentos que promuevan aspectos fundamentales como: i) priorización de los usos del agua, ii) fortalecimiento de la capacidad institucional para planificar y regular el recurso, iii) aumentar la eficiencia del uso y reducir la contaminación,</w:t>
            </w:r>
            <w:r w:rsidR="00535834">
              <w:rPr>
                <w:rFonts w:ascii="Calibri" w:hAnsi="Calibri" w:cs="Calibri"/>
                <w:sz w:val="22"/>
                <w:szCs w:val="22"/>
                <w:lang w:val="es-GT"/>
              </w:rPr>
              <w:t xml:space="preserve"> y</w:t>
            </w:r>
            <w:r w:rsidRPr="001A01AB">
              <w:rPr>
                <w:rFonts w:ascii="Calibri" w:hAnsi="Calibri" w:cs="Calibri"/>
                <w:sz w:val="22"/>
                <w:szCs w:val="22"/>
                <w:lang w:val="es-GT"/>
              </w:rPr>
              <w:t xml:space="preserve"> iv) construcción de acuerdos sociales y sectoriales que fortalezcan la gobernabilidad del recurso.</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b) Enfoque territorial</w:t>
            </w:r>
          </w:p>
          <w:p w:rsidR="00E31B19" w:rsidRPr="001A01AB" w:rsidRDefault="00E31B19" w:rsidP="00535834">
            <w:pPr>
              <w:spacing w:before="40" w:after="40"/>
              <w:jc w:val="both"/>
              <w:rPr>
                <w:rFonts w:ascii="Calibri" w:hAnsi="Calibri" w:cs="Calibri"/>
                <w:sz w:val="22"/>
                <w:szCs w:val="22"/>
                <w:lang w:val="es-GT"/>
              </w:rPr>
            </w:pPr>
            <w:r w:rsidRPr="001A01AB">
              <w:rPr>
                <w:rFonts w:ascii="Calibri" w:hAnsi="Calibri" w:cs="Calibri"/>
                <w:sz w:val="22"/>
                <w:szCs w:val="22"/>
                <w:lang w:val="es-GT"/>
              </w:rPr>
              <w:t>Todo el territorio nacional, enfocando los esfuerzos de fomento e impulso del di</w:t>
            </w:r>
            <w:r w:rsidR="00535834">
              <w:rPr>
                <w:rFonts w:ascii="Calibri" w:hAnsi="Calibri" w:cs="Calibri"/>
                <w:sz w:val="22"/>
                <w:szCs w:val="22"/>
                <w:lang w:val="es-GT"/>
              </w:rPr>
              <w:t>á</w:t>
            </w:r>
            <w:r w:rsidRPr="001A01AB">
              <w:rPr>
                <w:rFonts w:ascii="Calibri" w:hAnsi="Calibri" w:cs="Calibri"/>
                <w:sz w:val="22"/>
                <w:szCs w:val="22"/>
                <w:lang w:val="es-GT"/>
              </w:rPr>
              <w:t>logo sector</w:t>
            </w:r>
            <w:r w:rsidR="00535834">
              <w:rPr>
                <w:rFonts w:ascii="Calibri" w:hAnsi="Calibri" w:cs="Calibri"/>
                <w:sz w:val="22"/>
                <w:szCs w:val="22"/>
                <w:lang w:val="es-GT"/>
              </w:rPr>
              <w:t>ial y de políticas a nivel del g</w:t>
            </w:r>
            <w:r w:rsidRPr="001A01AB">
              <w:rPr>
                <w:rFonts w:ascii="Calibri" w:hAnsi="Calibri" w:cs="Calibri"/>
                <w:sz w:val="22"/>
                <w:szCs w:val="22"/>
                <w:lang w:val="es-GT"/>
              </w:rPr>
              <w:t>obierno central, pero también a nivel de las autoridades locales, con énfasis en los territorios prioritar</w:t>
            </w:r>
            <w:r w:rsidR="00535834">
              <w:rPr>
                <w:rFonts w:ascii="Calibri" w:hAnsi="Calibri" w:cs="Calibri"/>
                <w:sz w:val="22"/>
                <w:szCs w:val="22"/>
                <w:lang w:val="es-GT"/>
              </w:rPr>
              <w:t>ios de la Política Nacional de Desarrollo R</w:t>
            </w:r>
            <w:r w:rsidRPr="001A01AB">
              <w:rPr>
                <w:rFonts w:ascii="Calibri" w:hAnsi="Calibri" w:cs="Calibri"/>
                <w:sz w:val="22"/>
                <w:szCs w:val="22"/>
                <w:lang w:val="es-GT"/>
              </w:rPr>
              <w:t>ural.</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c) Contribución con los objetivos estratégico</w:t>
            </w:r>
            <w:r w:rsidR="00535834">
              <w:rPr>
                <w:rFonts w:ascii="Calibri" w:hAnsi="Calibri" w:cs="Calibri"/>
                <w:b/>
                <w:color w:val="365F91"/>
                <w:sz w:val="22"/>
                <w:szCs w:val="22"/>
                <w:lang w:val="es-GT"/>
              </w:rPr>
              <w:t>s</w:t>
            </w:r>
            <w:r w:rsidRPr="001A01AB">
              <w:rPr>
                <w:rFonts w:ascii="Calibri" w:hAnsi="Calibri" w:cs="Calibri"/>
                <w:b/>
                <w:color w:val="365F91"/>
                <w:sz w:val="22"/>
                <w:szCs w:val="22"/>
                <w:lang w:val="es-GT"/>
              </w:rPr>
              <w:t xml:space="preserve"> de la intervención del FIDA en Guatemala</w:t>
            </w:r>
          </w:p>
          <w:p w:rsidR="00760D64" w:rsidRDefault="00760D64" w:rsidP="001A01AB">
            <w:pPr>
              <w:spacing w:before="40" w:after="40"/>
              <w:ind w:left="213"/>
              <w:jc w:val="both"/>
              <w:rPr>
                <w:rFonts w:ascii="Calibri" w:hAnsi="Calibri" w:cs="Calibri"/>
                <w:b/>
                <w:i/>
                <w:color w:val="365F91"/>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Generación de ingreso, con enfoque de mercado</w:t>
            </w:r>
          </w:p>
          <w:p w:rsidR="00E31B19" w:rsidRDefault="00535834" w:rsidP="001A01AB">
            <w:pPr>
              <w:spacing w:before="40" w:after="40"/>
              <w:ind w:left="237"/>
              <w:jc w:val="both"/>
              <w:rPr>
                <w:rFonts w:ascii="Calibri" w:hAnsi="Calibri" w:cs="Calibri"/>
                <w:sz w:val="22"/>
                <w:szCs w:val="22"/>
                <w:lang w:val="es-GT"/>
              </w:rPr>
            </w:pPr>
            <w:r w:rsidRPr="0033045E">
              <w:rPr>
                <w:rFonts w:ascii="Calibri" w:hAnsi="Calibri" w:cs="Calibri"/>
                <w:sz w:val="22"/>
                <w:szCs w:val="22"/>
                <w:highlight w:val="red"/>
                <w:lang w:val="es-GT"/>
              </w:rPr>
              <w:t>No hay información</w:t>
            </w:r>
          </w:p>
          <w:p w:rsidR="00535834" w:rsidRPr="001A01AB" w:rsidRDefault="00535834" w:rsidP="001A01AB">
            <w:pPr>
              <w:spacing w:before="40" w:after="40"/>
              <w:ind w:left="237"/>
              <w:jc w:val="both"/>
              <w:rPr>
                <w:rFonts w:ascii="Calibri" w:hAnsi="Calibri" w:cs="Calibri"/>
                <w:sz w:val="22"/>
                <w:szCs w:val="22"/>
                <w:lang w:val="es-GT"/>
              </w:rPr>
            </w:pPr>
          </w:p>
          <w:p w:rsidR="00E31B19" w:rsidRPr="001A01AB" w:rsidRDefault="00E31B19" w:rsidP="001A01AB">
            <w:pPr>
              <w:spacing w:before="40" w:after="40"/>
              <w:ind w:left="213"/>
              <w:jc w:val="both"/>
              <w:rPr>
                <w:rFonts w:ascii="Calibri" w:hAnsi="Calibri" w:cs="Calibri"/>
                <w:b/>
                <w:i/>
                <w:color w:val="365F91"/>
                <w:sz w:val="22"/>
                <w:szCs w:val="22"/>
                <w:lang w:val="es-GT"/>
              </w:rPr>
            </w:pPr>
            <w:r w:rsidRPr="001A01AB">
              <w:rPr>
                <w:rFonts w:ascii="Calibri" w:hAnsi="Calibri" w:cs="Calibri"/>
                <w:b/>
                <w:i/>
                <w:color w:val="365F91"/>
                <w:sz w:val="22"/>
                <w:szCs w:val="22"/>
                <w:lang w:val="es-GT"/>
              </w:rPr>
              <w:t>Fortalecimiento de condiciones y capacidades (desarrollo de capital humano y social, fortalecimiento institucional, di</w:t>
            </w:r>
            <w:r w:rsidR="00535834">
              <w:rPr>
                <w:rFonts w:ascii="Calibri" w:hAnsi="Calibri" w:cs="Calibri"/>
                <w:b/>
                <w:i/>
                <w:color w:val="365F91"/>
                <w:sz w:val="22"/>
                <w:szCs w:val="22"/>
                <w:lang w:val="es-GT"/>
              </w:rPr>
              <w:t>á</w:t>
            </w:r>
            <w:r w:rsidRPr="001A01AB">
              <w:rPr>
                <w:rFonts w:ascii="Calibri" w:hAnsi="Calibri" w:cs="Calibri"/>
                <w:b/>
                <w:i/>
                <w:color w:val="365F91"/>
                <w:sz w:val="22"/>
                <w:szCs w:val="22"/>
                <w:lang w:val="es-GT"/>
              </w:rPr>
              <w:t>logo de políticas y planificación sectorial)</w:t>
            </w:r>
          </w:p>
          <w:p w:rsidR="00E31B19" w:rsidRPr="001A01AB" w:rsidRDefault="00E31B19" w:rsidP="00535834">
            <w:pPr>
              <w:spacing w:before="40" w:after="40"/>
              <w:ind w:left="237"/>
              <w:jc w:val="both"/>
              <w:rPr>
                <w:rFonts w:ascii="Calibri" w:hAnsi="Calibri" w:cs="Calibri"/>
                <w:sz w:val="22"/>
                <w:szCs w:val="22"/>
                <w:lang w:val="es-GT"/>
              </w:rPr>
            </w:pPr>
            <w:r w:rsidRPr="001A01AB">
              <w:rPr>
                <w:rFonts w:ascii="Calibri" w:hAnsi="Calibri" w:cs="Calibri"/>
                <w:sz w:val="22"/>
                <w:szCs w:val="22"/>
                <w:lang w:val="es-GT"/>
              </w:rPr>
              <w:t>El fortalecimiento del marco institucional y regulatorio del agua en Guate</w:t>
            </w:r>
            <w:r w:rsidR="00535834">
              <w:rPr>
                <w:rFonts w:ascii="Calibri" w:hAnsi="Calibri" w:cs="Calibri"/>
                <w:sz w:val="22"/>
                <w:szCs w:val="22"/>
                <w:lang w:val="es-GT"/>
              </w:rPr>
              <w:t>mala, así como el impulso del diá</w:t>
            </w:r>
            <w:r w:rsidRPr="001A01AB">
              <w:rPr>
                <w:rFonts w:ascii="Calibri" w:hAnsi="Calibri" w:cs="Calibri"/>
                <w:sz w:val="22"/>
                <w:szCs w:val="22"/>
                <w:lang w:val="es-GT"/>
              </w:rPr>
              <w:t>logo sectorial y de políticas en este contexto, se considera una contribución clave para la gestión integral del recurso hídrico.</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d) Oportunidades</w:t>
            </w:r>
          </w:p>
          <w:p w:rsidR="00E31B19" w:rsidRPr="001A01AB" w:rsidRDefault="00E31B19" w:rsidP="001A01AB">
            <w:pPr>
              <w:numPr>
                <w:ilvl w:val="0"/>
                <w:numId w:val="30"/>
              </w:numPr>
              <w:spacing w:before="40" w:after="40"/>
              <w:jc w:val="both"/>
              <w:rPr>
                <w:rFonts w:ascii="Calibri" w:hAnsi="Calibri" w:cs="Calibri"/>
                <w:b/>
                <w:sz w:val="22"/>
                <w:szCs w:val="22"/>
                <w:lang w:val="es-GT"/>
              </w:rPr>
            </w:pPr>
            <w:r w:rsidRPr="001A01AB">
              <w:rPr>
                <w:rFonts w:ascii="Calibri" w:hAnsi="Calibri" w:cs="Calibri"/>
                <w:sz w:val="22"/>
                <w:szCs w:val="22"/>
                <w:lang w:val="es-GT"/>
              </w:rPr>
              <w:t>Contribuir a llenar el vacío institucional (central y local) existente para la gestión del recurso hídrico</w:t>
            </w:r>
            <w:r w:rsidR="00535834">
              <w:rPr>
                <w:rFonts w:ascii="Calibri" w:hAnsi="Calibri" w:cs="Calibri"/>
                <w:sz w:val="22"/>
                <w:szCs w:val="22"/>
                <w:lang w:val="es-GT"/>
              </w:rPr>
              <w:t>.</w:t>
            </w:r>
            <w:r w:rsidRPr="001A01AB">
              <w:rPr>
                <w:rFonts w:ascii="Calibri" w:hAnsi="Calibri" w:cs="Calibri"/>
                <w:sz w:val="22"/>
                <w:szCs w:val="22"/>
                <w:lang w:val="es-GT"/>
              </w:rPr>
              <w:t xml:space="preserve"> </w:t>
            </w:r>
          </w:p>
          <w:p w:rsidR="00E31B19" w:rsidRPr="001A01AB" w:rsidRDefault="00535834" w:rsidP="00535834">
            <w:pPr>
              <w:numPr>
                <w:ilvl w:val="0"/>
                <w:numId w:val="30"/>
              </w:numPr>
              <w:spacing w:before="40" w:after="40"/>
              <w:jc w:val="both"/>
              <w:rPr>
                <w:rFonts w:ascii="Calibri" w:hAnsi="Calibri" w:cs="Calibri"/>
                <w:b/>
                <w:sz w:val="22"/>
                <w:szCs w:val="22"/>
                <w:lang w:val="es-GT"/>
              </w:rPr>
            </w:pPr>
            <w:r>
              <w:rPr>
                <w:rFonts w:ascii="Calibri" w:hAnsi="Calibri" w:cs="Calibri"/>
                <w:sz w:val="22"/>
                <w:szCs w:val="22"/>
                <w:lang w:val="es-GT"/>
              </w:rPr>
              <w:t>Generación de oportunidades de diá</w:t>
            </w:r>
            <w:r w:rsidR="00E31B19" w:rsidRPr="001A01AB">
              <w:rPr>
                <w:rFonts w:ascii="Calibri" w:hAnsi="Calibri" w:cs="Calibri"/>
                <w:sz w:val="22"/>
                <w:szCs w:val="22"/>
                <w:lang w:val="es-GT"/>
              </w:rPr>
              <w:t>logo tendientes a reducir la conflictividad existente en torno al acceso y uso del agua</w:t>
            </w:r>
            <w:r w:rsidR="00E31B19" w:rsidRPr="001A01AB">
              <w:rPr>
                <w:rFonts w:ascii="Calibri" w:hAnsi="Calibri" w:cs="Calibri"/>
                <w:b/>
                <w:sz w:val="22"/>
                <w:szCs w:val="22"/>
                <w:lang w:val="es-GT"/>
              </w:rPr>
              <w:t>.</w:t>
            </w:r>
          </w:p>
        </w:tc>
      </w:tr>
      <w:tr w:rsidR="00E31B19" w:rsidRPr="000364C9" w:rsidTr="001A01AB">
        <w:trPr>
          <w:trHeight w:val="20"/>
          <w:jc w:val="center"/>
        </w:trPr>
        <w:tc>
          <w:tcPr>
            <w:tcW w:w="9437" w:type="dxa"/>
            <w:shd w:val="clear" w:color="auto" w:fill="auto"/>
          </w:tcPr>
          <w:p w:rsidR="00760D64" w:rsidRDefault="00760D64" w:rsidP="001A01AB">
            <w:pPr>
              <w:spacing w:before="40" w:after="40"/>
              <w:jc w:val="both"/>
              <w:rPr>
                <w:rFonts w:ascii="Calibri" w:hAnsi="Calibri" w:cs="Calibri"/>
                <w:b/>
                <w:color w:val="365F91"/>
                <w:sz w:val="22"/>
                <w:szCs w:val="22"/>
                <w:lang w:val="es-GT"/>
              </w:rPr>
            </w:pPr>
          </w:p>
          <w:p w:rsidR="00535834" w:rsidRDefault="00535834" w:rsidP="001A01AB">
            <w:pPr>
              <w:spacing w:before="40" w:after="40"/>
              <w:jc w:val="both"/>
              <w:rPr>
                <w:rFonts w:ascii="Calibri" w:hAnsi="Calibri" w:cs="Calibri"/>
                <w:b/>
                <w:color w:val="365F91"/>
                <w:sz w:val="22"/>
                <w:szCs w:val="22"/>
                <w:lang w:val="es-GT"/>
              </w:rPr>
            </w:pPr>
          </w:p>
          <w:p w:rsidR="00E31B19" w:rsidRPr="001A01AB" w:rsidRDefault="00E31B19" w:rsidP="001A01AB">
            <w:pPr>
              <w:spacing w:before="40" w:after="40"/>
              <w:jc w:val="both"/>
              <w:rPr>
                <w:rFonts w:ascii="Calibri" w:hAnsi="Calibri" w:cs="Calibri"/>
                <w:b/>
                <w:color w:val="365F91"/>
                <w:sz w:val="22"/>
                <w:szCs w:val="22"/>
                <w:lang w:val="es-GT"/>
              </w:rPr>
            </w:pPr>
            <w:r w:rsidRPr="001A01AB">
              <w:rPr>
                <w:rFonts w:ascii="Calibri" w:hAnsi="Calibri" w:cs="Calibri"/>
                <w:b/>
                <w:color w:val="365F91"/>
                <w:sz w:val="22"/>
                <w:szCs w:val="22"/>
                <w:lang w:val="es-GT"/>
              </w:rPr>
              <w:t>e) Riesgos/Impactos</w:t>
            </w:r>
          </w:p>
          <w:p w:rsidR="00E31B19" w:rsidRPr="001A01AB" w:rsidRDefault="00E31B19" w:rsidP="00346084">
            <w:pPr>
              <w:numPr>
                <w:ilvl w:val="0"/>
                <w:numId w:val="29"/>
              </w:numPr>
              <w:spacing w:before="40" w:after="40"/>
              <w:ind w:left="432" w:hanging="144"/>
              <w:jc w:val="both"/>
              <w:rPr>
                <w:rFonts w:ascii="Calibri" w:hAnsi="Calibri" w:cs="Calibri"/>
                <w:b/>
                <w:sz w:val="22"/>
                <w:szCs w:val="22"/>
                <w:lang w:val="es-GT"/>
              </w:rPr>
            </w:pPr>
            <w:r w:rsidRPr="001A01AB">
              <w:rPr>
                <w:rFonts w:ascii="Calibri" w:hAnsi="Calibri" w:cs="Calibri"/>
                <w:sz w:val="22"/>
                <w:szCs w:val="22"/>
                <w:lang w:val="es-GT"/>
              </w:rPr>
              <w:t>Históricamente, el tema del agua ha estado asociado a los conflictos por su uso y acceso, contribuyendo a la polarización entre sectores de la sociedad.</w:t>
            </w:r>
            <w:r w:rsidR="00141A70">
              <w:rPr>
                <w:rFonts w:ascii="Calibri" w:hAnsi="Calibri" w:cs="Calibri"/>
                <w:sz w:val="22"/>
                <w:szCs w:val="22"/>
                <w:lang w:val="es-GT"/>
              </w:rPr>
              <w:t xml:space="preserve"> </w:t>
            </w:r>
            <w:r w:rsidRPr="001A01AB">
              <w:rPr>
                <w:rFonts w:ascii="Calibri" w:hAnsi="Calibri" w:cs="Calibri"/>
                <w:sz w:val="22"/>
                <w:szCs w:val="22"/>
                <w:lang w:val="es-GT"/>
              </w:rPr>
              <w:t>Un proceso de di</w:t>
            </w:r>
            <w:r w:rsidR="00346084">
              <w:rPr>
                <w:rFonts w:ascii="Calibri" w:hAnsi="Calibri" w:cs="Calibri"/>
                <w:sz w:val="22"/>
                <w:szCs w:val="22"/>
                <w:lang w:val="es-GT"/>
              </w:rPr>
              <w:t>á</w:t>
            </w:r>
            <w:r w:rsidRPr="001A01AB">
              <w:rPr>
                <w:rFonts w:ascii="Calibri" w:hAnsi="Calibri" w:cs="Calibri"/>
                <w:sz w:val="22"/>
                <w:szCs w:val="22"/>
                <w:lang w:val="es-GT"/>
              </w:rPr>
              <w:t>logo inadecuado o sin la participación de todos l</w:t>
            </w:r>
            <w:r w:rsidR="00346084">
              <w:rPr>
                <w:rFonts w:ascii="Calibri" w:hAnsi="Calibri" w:cs="Calibri"/>
                <w:sz w:val="22"/>
                <w:szCs w:val="22"/>
                <w:lang w:val="es-GT"/>
              </w:rPr>
              <w:t>os sectores involucrados, puede</w:t>
            </w:r>
            <w:r w:rsidRPr="001A01AB">
              <w:rPr>
                <w:rFonts w:ascii="Calibri" w:hAnsi="Calibri" w:cs="Calibri"/>
                <w:sz w:val="22"/>
                <w:szCs w:val="22"/>
                <w:lang w:val="es-GT"/>
              </w:rPr>
              <w:t xml:space="preserve"> acentuar esta conflictividad.</w:t>
            </w:r>
          </w:p>
        </w:tc>
      </w:tr>
    </w:tbl>
    <w:p w:rsidR="00E31B19" w:rsidRPr="001A01AB" w:rsidRDefault="00E31B19" w:rsidP="004E2482">
      <w:pPr>
        <w:pStyle w:val="Prrafodelista"/>
        <w:numPr>
          <w:ilvl w:val="0"/>
          <w:numId w:val="55"/>
        </w:numPr>
        <w:pBdr>
          <w:bottom w:val="single" w:sz="12" w:space="1" w:color="365F91"/>
        </w:pBdr>
        <w:autoSpaceDE w:val="0"/>
        <w:autoSpaceDN w:val="0"/>
        <w:adjustRightInd w:val="0"/>
        <w:spacing w:after="120" w:line="264" w:lineRule="auto"/>
        <w:ind w:left="720" w:hanging="720"/>
        <w:jc w:val="both"/>
        <w:outlineLvl w:val="0"/>
        <w:rPr>
          <w:rFonts w:cs="Calibri"/>
          <w:b/>
          <w:color w:val="365F91"/>
          <w:sz w:val="36"/>
          <w:lang w:eastAsia="es-GT"/>
        </w:rPr>
      </w:pPr>
      <w:r w:rsidRPr="001A01AB">
        <w:rPr>
          <w:rFonts w:cs="Calibri"/>
        </w:rPr>
        <w:br w:type="page"/>
      </w:r>
      <w:bookmarkStart w:id="184" w:name="_Toc339926608"/>
      <w:bookmarkStart w:id="185" w:name="_Toc340065175"/>
      <w:bookmarkStart w:id="186" w:name="_Toc340065267"/>
      <w:bookmarkStart w:id="187" w:name="_Toc340565860"/>
      <w:bookmarkStart w:id="188" w:name="_Toc347841310"/>
      <w:r w:rsidRPr="001A01AB">
        <w:rPr>
          <w:rFonts w:cs="Calibri"/>
          <w:b/>
          <w:color w:val="365F91"/>
          <w:sz w:val="36"/>
          <w:lang w:eastAsia="es-GT"/>
        </w:rPr>
        <w:lastRenderedPageBreak/>
        <w:t>Directrices de sostenibilidad ambiental</w:t>
      </w:r>
      <w:bookmarkEnd w:id="184"/>
      <w:bookmarkEnd w:id="185"/>
      <w:bookmarkEnd w:id="186"/>
      <w:bookmarkEnd w:id="187"/>
      <w:bookmarkEnd w:id="188"/>
    </w:p>
    <w:p w:rsidR="00E31B19" w:rsidRPr="001A01AB" w:rsidRDefault="00E31B19" w:rsidP="00E31B19">
      <w:pPr>
        <w:spacing w:after="120"/>
        <w:jc w:val="both"/>
        <w:rPr>
          <w:rFonts w:ascii="Calibri" w:hAnsi="Calibri" w:cs="Calibri"/>
          <w:lang w:val="es-GT"/>
        </w:rPr>
      </w:pPr>
    </w:p>
    <w:p w:rsidR="00E31B19" w:rsidRPr="001A01AB" w:rsidRDefault="00E31B19" w:rsidP="00E31B19">
      <w:pPr>
        <w:jc w:val="both"/>
        <w:rPr>
          <w:rFonts w:ascii="Calibri" w:hAnsi="Calibri" w:cs="Calibri"/>
          <w:lang w:val="es-GT"/>
        </w:rPr>
      </w:pPr>
      <w:r w:rsidRPr="00301499">
        <w:rPr>
          <w:rFonts w:ascii="Calibri" w:hAnsi="Calibri" w:cs="Calibri"/>
          <w:lang w:val="es-GT"/>
        </w:rPr>
        <w:t xml:space="preserve">Las nuevas inversiones públicas, privadas o mixtas en el territorio nacional no han de constituirse en impulsoras de nuevos desbalances socioecológicos. En este sentido, las mismas deben estar sujetas a la observancia de </w:t>
      </w:r>
      <w:r w:rsidRPr="00301499">
        <w:rPr>
          <w:rFonts w:ascii="Calibri" w:hAnsi="Calibri" w:cs="Calibri"/>
          <w:b/>
          <w:bCs/>
          <w:i/>
          <w:iCs/>
          <w:lang w:val="es-GT"/>
        </w:rPr>
        <w:t xml:space="preserve">principios rectores </w:t>
      </w:r>
      <w:r w:rsidRPr="00301499">
        <w:rPr>
          <w:rFonts w:ascii="Calibri" w:hAnsi="Calibri" w:cs="Calibri"/>
          <w:lang w:val="es-GT"/>
        </w:rPr>
        <w:t xml:space="preserve">y </w:t>
      </w:r>
      <w:r w:rsidRPr="00301499">
        <w:rPr>
          <w:rFonts w:ascii="Calibri" w:hAnsi="Calibri" w:cs="Calibri"/>
          <w:b/>
          <w:bCs/>
          <w:i/>
          <w:iCs/>
          <w:lang w:val="es-GT"/>
        </w:rPr>
        <w:t xml:space="preserve">criterios operativos </w:t>
      </w:r>
      <w:r w:rsidRPr="00301499">
        <w:rPr>
          <w:rFonts w:ascii="Calibri" w:hAnsi="Calibri" w:cs="Calibri"/>
          <w:lang w:val="es-GT"/>
        </w:rPr>
        <w:t xml:space="preserve">adecuadamente administrados por las autoridades públicas en materia ambiental. Los </w:t>
      </w:r>
      <w:r w:rsidRPr="00301499">
        <w:rPr>
          <w:rFonts w:ascii="Calibri" w:hAnsi="Calibri" w:cs="Calibri"/>
          <w:b/>
          <w:bCs/>
          <w:i/>
          <w:iCs/>
          <w:lang w:val="es-GT"/>
        </w:rPr>
        <w:t xml:space="preserve">principios </w:t>
      </w:r>
      <w:r w:rsidRPr="00301499">
        <w:rPr>
          <w:rFonts w:ascii="Calibri" w:hAnsi="Calibri" w:cs="Calibri"/>
          <w:lang w:val="es-GT"/>
        </w:rPr>
        <w:t xml:space="preserve">y </w:t>
      </w:r>
      <w:r w:rsidRPr="00301499">
        <w:rPr>
          <w:rFonts w:ascii="Calibri" w:hAnsi="Calibri" w:cs="Calibri"/>
          <w:b/>
          <w:bCs/>
          <w:i/>
          <w:iCs/>
          <w:lang w:val="es-GT"/>
        </w:rPr>
        <w:t xml:space="preserve">criterios </w:t>
      </w:r>
      <w:r w:rsidRPr="00301499">
        <w:rPr>
          <w:rFonts w:ascii="Calibri" w:hAnsi="Calibri" w:cs="Calibri"/>
          <w:lang w:val="es-GT"/>
        </w:rPr>
        <w:t>tienen que ser aplicados en forma generalizada</w:t>
      </w:r>
      <w:r w:rsidR="00301499">
        <w:rPr>
          <w:rFonts w:ascii="Calibri" w:hAnsi="Calibri" w:cs="Calibri"/>
          <w:lang w:val="es-GT"/>
        </w:rPr>
        <w:t xml:space="preserve"> y enfocarse</w:t>
      </w:r>
      <w:r w:rsidRPr="00301499">
        <w:rPr>
          <w:rFonts w:ascii="Calibri" w:hAnsi="Calibri" w:cs="Calibri"/>
          <w:lang w:val="es-GT"/>
        </w:rPr>
        <w:t xml:space="preserve"> en las inversiones en desarrollo rural.</w:t>
      </w:r>
    </w:p>
    <w:p w:rsidR="00E31B19" w:rsidRPr="001A01AB" w:rsidRDefault="00E31B19" w:rsidP="00E31B19">
      <w:pPr>
        <w:jc w:val="both"/>
        <w:rPr>
          <w:rFonts w:ascii="Calibri" w:hAnsi="Calibri" w:cs="Calibri"/>
          <w:lang w:val="es-GT"/>
        </w:rPr>
      </w:pPr>
    </w:p>
    <w:p w:rsidR="00E31B19" w:rsidRPr="001A01AB" w:rsidRDefault="00E31B19" w:rsidP="004E2482">
      <w:pPr>
        <w:pStyle w:val="Prrafodelista"/>
        <w:numPr>
          <w:ilvl w:val="1"/>
          <w:numId w:val="55"/>
        </w:numPr>
        <w:autoSpaceDE w:val="0"/>
        <w:autoSpaceDN w:val="0"/>
        <w:adjustRightInd w:val="0"/>
        <w:spacing w:after="120" w:line="264" w:lineRule="auto"/>
        <w:ind w:left="720" w:hanging="720"/>
        <w:jc w:val="both"/>
        <w:outlineLvl w:val="1"/>
        <w:rPr>
          <w:rFonts w:cs="Calibri"/>
          <w:b/>
          <w:color w:val="365F91"/>
          <w:sz w:val="28"/>
          <w:lang w:eastAsia="es-GT"/>
        </w:rPr>
      </w:pPr>
      <w:bookmarkStart w:id="189" w:name="_Toc340065176"/>
      <w:bookmarkStart w:id="190" w:name="_Toc340065268"/>
      <w:bookmarkStart w:id="191" w:name="_Toc340565861"/>
      <w:bookmarkStart w:id="192" w:name="_Toc347841311"/>
      <w:r w:rsidRPr="001A01AB">
        <w:rPr>
          <w:rFonts w:cs="Calibri"/>
          <w:b/>
          <w:color w:val="365F91"/>
          <w:sz w:val="28"/>
          <w:lang w:eastAsia="es-GT"/>
        </w:rPr>
        <w:t>Los principios rectores propuestos son:</w:t>
      </w:r>
      <w:bookmarkEnd w:id="189"/>
      <w:bookmarkEnd w:id="190"/>
      <w:bookmarkEnd w:id="191"/>
      <w:bookmarkEnd w:id="192"/>
    </w:p>
    <w:p w:rsidR="00E31B19" w:rsidRPr="001A01AB" w:rsidRDefault="00E31B19" w:rsidP="00E31B19">
      <w:pPr>
        <w:jc w:val="both"/>
        <w:rPr>
          <w:rFonts w:ascii="Calibri" w:hAnsi="Calibri" w:cs="Calibri"/>
          <w:lang w:val="es-GT"/>
        </w:rPr>
      </w:pPr>
    </w:p>
    <w:p w:rsidR="00E31B19" w:rsidRPr="001A01AB" w:rsidRDefault="00E31B19" w:rsidP="006B0A31">
      <w:pPr>
        <w:numPr>
          <w:ilvl w:val="0"/>
          <w:numId w:val="31"/>
        </w:numPr>
        <w:spacing w:after="60"/>
        <w:jc w:val="both"/>
        <w:rPr>
          <w:rFonts w:ascii="Calibri" w:hAnsi="Calibri" w:cs="Calibri"/>
          <w:lang w:val="es-GT"/>
        </w:rPr>
      </w:pPr>
      <w:r w:rsidRPr="001A01AB">
        <w:rPr>
          <w:rFonts w:ascii="Calibri" w:hAnsi="Calibri" w:cs="Calibri"/>
          <w:lang w:val="es-GT"/>
        </w:rPr>
        <w:t>Las tasas de captura, extracción o cosecha de bienes naturales deben ser menores a la tasa de regeneración biológica de éstos.</w:t>
      </w:r>
    </w:p>
    <w:p w:rsidR="00E31B19" w:rsidRPr="001A01AB" w:rsidRDefault="00E31B19" w:rsidP="006B0A31">
      <w:pPr>
        <w:numPr>
          <w:ilvl w:val="0"/>
          <w:numId w:val="31"/>
        </w:numPr>
        <w:spacing w:after="60"/>
        <w:jc w:val="both"/>
        <w:rPr>
          <w:rFonts w:ascii="Calibri" w:hAnsi="Calibri" w:cs="Calibri"/>
          <w:lang w:val="es-GT"/>
        </w:rPr>
      </w:pPr>
      <w:r w:rsidRPr="001A01AB">
        <w:rPr>
          <w:rFonts w:ascii="Calibri" w:hAnsi="Calibri" w:cs="Calibri"/>
          <w:lang w:val="es-GT"/>
        </w:rPr>
        <w:t>La generación de residuos y emisiones debe ser menor a la capacidad de reciclaje o tratamiento</w:t>
      </w:r>
      <w:r w:rsidR="00301499">
        <w:rPr>
          <w:rFonts w:ascii="Calibri" w:hAnsi="Calibri" w:cs="Calibri"/>
          <w:lang w:val="es-GT"/>
        </w:rPr>
        <w:t>,</w:t>
      </w:r>
      <w:r w:rsidRPr="001A01AB">
        <w:rPr>
          <w:rFonts w:ascii="Calibri" w:hAnsi="Calibri" w:cs="Calibri"/>
          <w:lang w:val="es-GT"/>
        </w:rPr>
        <w:t xml:space="preserve"> más la capacidad de asimilación del medio natural.</w:t>
      </w:r>
    </w:p>
    <w:p w:rsidR="00E31B19" w:rsidRPr="001A01AB" w:rsidRDefault="00E31B19" w:rsidP="006B0A31">
      <w:pPr>
        <w:numPr>
          <w:ilvl w:val="0"/>
          <w:numId w:val="31"/>
        </w:numPr>
        <w:spacing w:after="60"/>
        <w:jc w:val="both"/>
        <w:rPr>
          <w:rFonts w:ascii="Calibri" w:hAnsi="Calibri" w:cs="Calibri"/>
          <w:lang w:val="es-GT"/>
        </w:rPr>
      </w:pPr>
      <w:r w:rsidRPr="001A01AB">
        <w:rPr>
          <w:rFonts w:ascii="Calibri" w:hAnsi="Calibri" w:cs="Calibri"/>
          <w:lang w:val="es-GT"/>
        </w:rPr>
        <w:t>Los bienes naturales endémicos, protegidos, en peligro de extinción, con baja resiliencia, de difícil reproducción o de especial significancia cultural, no tienen sustituto y, por lo tanto, no deben estar sujetos al aprovechamiento comercial.</w:t>
      </w:r>
    </w:p>
    <w:p w:rsidR="00E31B19" w:rsidRPr="001A01AB" w:rsidRDefault="00E31B19" w:rsidP="006B0A31">
      <w:pPr>
        <w:numPr>
          <w:ilvl w:val="0"/>
          <w:numId w:val="31"/>
        </w:numPr>
        <w:spacing w:after="60"/>
        <w:jc w:val="both"/>
        <w:rPr>
          <w:rFonts w:ascii="Calibri" w:hAnsi="Calibri" w:cs="Calibri"/>
          <w:lang w:val="es-GT"/>
        </w:rPr>
      </w:pPr>
      <w:r w:rsidRPr="001A01AB">
        <w:rPr>
          <w:rFonts w:ascii="Calibri" w:hAnsi="Calibri" w:cs="Calibri"/>
          <w:lang w:val="es-GT"/>
        </w:rPr>
        <w:t>La decisión de aprovechar un bien no debe basarse exclusivamente en la relación beneficio-costo (decisión lineal), sino también en los valo</w:t>
      </w:r>
      <w:r w:rsidR="00301499">
        <w:rPr>
          <w:rFonts w:ascii="Calibri" w:hAnsi="Calibri" w:cs="Calibri"/>
          <w:lang w:val="es-GT"/>
        </w:rPr>
        <w:t>res ecosistémicos de provisión -</w:t>
      </w:r>
      <w:r w:rsidRPr="001A01AB">
        <w:rPr>
          <w:rFonts w:ascii="Calibri" w:hAnsi="Calibri" w:cs="Calibri"/>
          <w:lang w:val="es-GT"/>
        </w:rPr>
        <w:t>ali</w:t>
      </w:r>
      <w:r w:rsidR="00301499">
        <w:rPr>
          <w:rFonts w:ascii="Calibri" w:hAnsi="Calibri" w:cs="Calibri"/>
          <w:lang w:val="es-GT"/>
        </w:rPr>
        <w:t>mento, madera, fibra, medicinas, otros-, regulación -</w:t>
      </w:r>
      <w:r w:rsidRPr="001A01AB">
        <w:rPr>
          <w:rFonts w:ascii="Calibri" w:hAnsi="Calibri" w:cs="Calibri"/>
          <w:lang w:val="es-GT"/>
        </w:rPr>
        <w:t>clima, enfermedades, calidad de agua, derrumbes, inundacion</w:t>
      </w:r>
      <w:r w:rsidR="00301499">
        <w:rPr>
          <w:rFonts w:ascii="Calibri" w:hAnsi="Calibri" w:cs="Calibri"/>
          <w:lang w:val="es-GT"/>
        </w:rPr>
        <w:t>es, fertilidad del suelo, otros- y culturales -</w:t>
      </w:r>
      <w:r w:rsidRPr="001A01AB">
        <w:rPr>
          <w:rFonts w:ascii="Calibri" w:hAnsi="Calibri" w:cs="Calibri"/>
          <w:lang w:val="es-GT"/>
        </w:rPr>
        <w:t>recreativos y estéticos, espirituales y religiosos, conocimiento y educación, sentimiento de pertenencia</w:t>
      </w:r>
      <w:r w:rsidR="00301499">
        <w:rPr>
          <w:rFonts w:ascii="Calibri" w:hAnsi="Calibri" w:cs="Calibri"/>
          <w:lang w:val="es-GT"/>
        </w:rPr>
        <w:t>-</w:t>
      </w:r>
      <w:r w:rsidRPr="001A01AB">
        <w:rPr>
          <w:rFonts w:ascii="Calibri" w:hAnsi="Calibri" w:cs="Calibri"/>
          <w:lang w:val="es-GT"/>
        </w:rPr>
        <w:t xml:space="preserve"> (decisión sistémica).</w:t>
      </w:r>
    </w:p>
    <w:p w:rsidR="00E31B19" w:rsidRPr="001A01AB" w:rsidRDefault="00E31B19" w:rsidP="006B0A31">
      <w:pPr>
        <w:numPr>
          <w:ilvl w:val="0"/>
          <w:numId w:val="31"/>
        </w:numPr>
        <w:spacing w:after="60"/>
        <w:jc w:val="both"/>
        <w:rPr>
          <w:rFonts w:ascii="Calibri" w:hAnsi="Calibri" w:cs="Calibri"/>
          <w:lang w:val="es-GT"/>
        </w:rPr>
      </w:pPr>
      <w:r w:rsidRPr="001A01AB">
        <w:rPr>
          <w:rFonts w:ascii="Calibri" w:hAnsi="Calibri" w:cs="Calibri"/>
          <w:lang w:val="es-GT"/>
        </w:rPr>
        <w:t>Se deben preferir inversiones con menor intensidad en el uso de materiales y energía.</w:t>
      </w:r>
    </w:p>
    <w:p w:rsidR="00E31B19" w:rsidRPr="001A01AB" w:rsidRDefault="00301499" w:rsidP="006B0A31">
      <w:pPr>
        <w:numPr>
          <w:ilvl w:val="0"/>
          <w:numId w:val="31"/>
        </w:numPr>
        <w:jc w:val="both"/>
        <w:rPr>
          <w:rFonts w:ascii="Calibri" w:hAnsi="Calibri" w:cs="Calibri"/>
          <w:lang w:val="es-GT"/>
        </w:rPr>
      </w:pPr>
      <w:r>
        <w:rPr>
          <w:rFonts w:ascii="Calibri" w:hAnsi="Calibri" w:cs="Calibri"/>
          <w:lang w:val="es-GT"/>
        </w:rPr>
        <w:t>P</w:t>
      </w:r>
      <w:r w:rsidR="00E31B19" w:rsidRPr="001A01AB">
        <w:rPr>
          <w:rFonts w:ascii="Calibri" w:hAnsi="Calibri" w:cs="Calibri"/>
          <w:lang w:val="es-GT"/>
        </w:rPr>
        <w:t>recautoriedad ante la incertidumbre de los impactos ambientales derivados de las potenciales intervenciones.</w:t>
      </w:r>
    </w:p>
    <w:p w:rsidR="00E31B19" w:rsidRPr="001A01AB" w:rsidRDefault="00E31B19" w:rsidP="00E31B19">
      <w:pPr>
        <w:jc w:val="both"/>
        <w:rPr>
          <w:rFonts w:ascii="Calibri" w:hAnsi="Calibri" w:cs="Calibri"/>
          <w:lang w:val="es-GT"/>
        </w:rPr>
      </w:pPr>
    </w:p>
    <w:p w:rsidR="00E31B19" w:rsidRPr="001A01AB" w:rsidRDefault="00E31B19" w:rsidP="004E2482">
      <w:pPr>
        <w:pStyle w:val="Prrafodelista"/>
        <w:numPr>
          <w:ilvl w:val="1"/>
          <w:numId w:val="55"/>
        </w:numPr>
        <w:autoSpaceDE w:val="0"/>
        <w:autoSpaceDN w:val="0"/>
        <w:adjustRightInd w:val="0"/>
        <w:spacing w:after="120" w:line="264" w:lineRule="auto"/>
        <w:ind w:left="720" w:hanging="720"/>
        <w:jc w:val="both"/>
        <w:outlineLvl w:val="1"/>
        <w:rPr>
          <w:rFonts w:cs="Calibri"/>
          <w:b/>
          <w:color w:val="365F91"/>
          <w:sz w:val="28"/>
          <w:lang w:eastAsia="es-GT"/>
        </w:rPr>
      </w:pPr>
      <w:bookmarkStart w:id="193" w:name="_Toc340065177"/>
      <w:bookmarkStart w:id="194" w:name="_Toc340065269"/>
      <w:bookmarkStart w:id="195" w:name="_Toc340565862"/>
      <w:bookmarkStart w:id="196" w:name="_Toc347841312"/>
      <w:r w:rsidRPr="001A01AB">
        <w:rPr>
          <w:rFonts w:cs="Calibri"/>
          <w:b/>
          <w:color w:val="365F91"/>
          <w:sz w:val="28"/>
          <w:lang w:eastAsia="es-GT"/>
        </w:rPr>
        <w:t>Los criterios operativos propuestos son:</w:t>
      </w:r>
      <w:bookmarkEnd w:id="193"/>
      <w:bookmarkEnd w:id="194"/>
      <w:bookmarkEnd w:id="195"/>
      <w:bookmarkEnd w:id="196"/>
    </w:p>
    <w:p w:rsidR="00E31B19" w:rsidRPr="001A01AB" w:rsidRDefault="00E31B19" w:rsidP="00E31B19">
      <w:pPr>
        <w:jc w:val="both"/>
        <w:rPr>
          <w:rFonts w:ascii="Calibri" w:hAnsi="Calibri" w:cs="Calibri"/>
          <w:lang w:val="es-GT"/>
        </w:rPr>
      </w:pPr>
    </w:p>
    <w:p w:rsidR="00E31B19" w:rsidRPr="001A01AB" w:rsidRDefault="00E31B19" w:rsidP="004E2482">
      <w:pPr>
        <w:pStyle w:val="Prrafodelista"/>
        <w:numPr>
          <w:ilvl w:val="2"/>
          <w:numId w:val="55"/>
        </w:numPr>
        <w:spacing w:after="120"/>
        <w:jc w:val="both"/>
        <w:rPr>
          <w:rFonts w:cs="Calibri"/>
          <w:b/>
          <w:i/>
          <w:color w:val="365F91"/>
          <w:sz w:val="24"/>
          <w:szCs w:val="24"/>
        </w:rPr>
      </w:pPr>
      <w:r w:rsidRPr="001A01AB">
        <w:rPr>
          <w:rFonts w:cs="Calibri"/>
          <w:b/>
          <w:i/>
          <w:color w:val="365F91"/>
          <w:sz w:val="24"/>
          <w:szCs w:val="24"/>
        </w:rPr>
        <w:t>Áreas protegidas, de reserva y bosques naturales</w:t>
      </w:r>
    </w:p>
    <w:p w:rsidR="00E31B19" w:rsidRPr="001A01AB" w:rsidRDefault="00E31B19" w:rsidP="00E31B19">
      <w:pPr>
        <w:jc w:val="both"/>
        <w:rPr>
          <w:rFonts w:ascii="Calibri" w:hAnsi="Calibri" w:cs="Calibri"/>
          <w:lang w:val="es-GT"/>
        </w:rPr>
      </w:pPr>
    </w:p>
    <w:p w:rsidR="00E31B19" w:rsidRPr="001A01AB" w:rsidRDefault="00E31B19" w:rsidP="006B0A31">
      <w:pPr>
        <w:numPr>
          <w:ilvl w:val="0"/>
          <w:numId w:val="31"/>
        </w:numPr>
        <w:spacing w:after="40"/>
        <w:jc w:val="both"/>
        <w:rPr>
          <w:rFonts w:ascii="Calibri" w:hAnsi="Calibri" w:cs="Calibri"/>
          <w:lang w:val="es-GT"/>
        </w:rPr>
      </w:pPr>
      <w:r w:rsidRPr="001A01AB">
        <w:rPr>
          <w:rFonts w:ascii="Calibri" w:hAnsi="Calibri" w:cs="Calibri"/>
          <w:lang w:val="es-GT"/>
        </w:rPr>
        <w:t>Las inversiones deben respetar la condición de protección absoluta establecida para las zonas núcleo, parques nacionales, reservas biológicas, así como las zonas intangibles del resto de categorías de manejo que conforman el Sistema Guatemalteco de Áreas Protegidas (SIGAP). La presencia actual de actividades incompatibles en estas zonas no debe constituirse en justificación para ampliarlas.</w:t>
      </w:r>
    </w:p>
    <w:p w:rsidR="00E31B19" w:rsidRPr="001A01AB" w:rsidRDefault="00E31B19" w:rsidP="006B0A31">
      <w:pPr>
        <w:numPr>
          <w:ilvl w:val="0"/>
          <w:numId w:val="31"/>
        </w:numPr>
        <w:spacing w:after="40"/>
        <w:jc w:val="both"/>
        <w:rPr>
          <w:rFonts w:ascii="Calibri" w:hAnsi="Calibri" w:cs="Calibri"/>
          <w:lang w:val="es-GT"/>
        </w:rPr>
      </w:pPr>
      <w:r w:rsidRPr="001A01AB">
        <w:rPr>
          <w:rFonts w:ascii="Calibri" w:hAnsi="Calibri" w:cs="Calibri"/>
          <w:lang w:val="es-GT"/>
        </w:rPr>
        <w:t xml:space="preserve">La superficie de áreas protegidas en las otras categorías de manejo, y que complementan el SIGAP, también debe ser respetada conforme su condición de “territorio de uso no común” </w:t>
      </w:r>
      <w:r w:rsidRPr="001A01AB">
        <w:rPr>
          <w:rFonts w:ascii="Calibri" w:hAnsi="Calibri" w:cs="Calibri"/>
          <w:lang w:val="es-GT"/>
        </w:rPr>
        <w:lastRenderedPageBreak/>
        <w:t>y, por lo tanto, deberá ser objeto de las regulaciones especiales emanadas de la Ley de Áreas Protegidas y los respectivos planes maestros vigentes.</w:t>
      </w:r>
    </w:p>
    <w:p w:rsidR="00E31B19" w:rsidRPr="001A01AB" w:rsidRDefault="00E31B19" w:rsidP="006B0A31">
      <w:pPr>
        <w:numPr>
          <w:ilvl w:val="0"/>
          <w:numId w:val="31"/>
        </w:numPr>
        <w:jc w:val="both"/>
        <w:rPr>
          <w:rFonts w:ascii="Calibri" w:hAnsi="Calibri" w:cs="Calibri"/>
          <w:lang w:val="es-GT"/>
        </w:rPr>
      </w:pPr>
      <w:r w:rsidRPr="001A01AB">
        <w:rPr>
          <w:rFonts w:ascii="Calibri" w:hAnsi="Calibri" w:cs="Calibri"/>
          <w:lang w:val="es-GT"/>
        </w:rPr>
        <w:t>Fuera del SIGAP, la permanencia de bosques naturales también debería ser prioritaria. El cambio de uso sólo debería considerarse bajo circunstancias excepcionales, en superficies pequeñas y localizadas, y bajo el compromiso de reposición, al menos, en extensión equivalente. Bajo ninguna circunstancia deberían eliminarse bosques naturales en zonas de recarga hídrica y en territorios cuya pendiente es superior al 45%. También debe vedarse la utilización de bosques de manglares, nubosos, de especies endémicas y en peligro de extinción, y de propiedad comunal y municipal. Estos criterios tienen sustento en la Ley Forestal, pero deben destacarse y fortalecerse apropiadamente.</w:t>
      </w:r>
    </w:p>
    <w:p w:rsidR="00E31B19" w:rsidRPr="001A01AB" w:rsidRDefault="00E31B19" w:rsidP="00E31B19">
      <w:pPr>
        <w:ind w:left="360"/>
        <w:jc w:val="both"/>
        <w:rPr>
          <w:rFonts w:ascii="Calibri" w:hAnsi="Calibri" w:cs="Calibri"/>
          <w:lang w:val="es-GT"/>
        </w:rPr>
      </w:pPr>
    </w:p>
    <w:p w:rsidR="00E31B19" w:rsidRPr="001A01AB" w:rsidRDefault="00E31B19" w:rsidP="004E2482">
      <w:pPr>
        <w:pStyle w:val="Prrafodelista"/>
        <w:numPr>
          <w:ilvl w:val="2"/>
          <w:numId w:val="55"/>
        </w:numPr>
        <w:spacing w:after="120"/>
        <w:jc w:val="both"/>
        <w:rPr>
          <w:rFonts w:cs="Calibri"/>
          <w:b/>
          <w:i/>
          <w:color w:val="365F91"/>
          <w:sz w:val="24"/>
          <w:szCs w:val="24"/>
        </w:rPr>
      </w:pPr>
      <w:r w:rsidRPr="001A01AB">
        <w:rPr>
          <w:rFonts w:cs="Calibri"/>
          <w:b/>
          <w:i/>
          <w:color w:val="365F91"/>
          <w:sz w:val="24"/>
          <w:szCs w:val="24"/>
        </w:rPr>
        <w:t>Gestión ambiental (identificación, evaluación y monitoreo de impactos de las intervenciones del FIDA en Guatemala)</w:t>
      </w:r>
    </w:p>
    <w:p w:rsidR="00E31B19" w:rsidRPr="001A01AB" w:rsidRDefault="00E31B19" w:rsidP="00E31B19">
      <w:pPr>
        <w:pStyle w:val="Default"/>
        <w:ind w:left="360"/>
        <w:jc w:val="both"/>
        <w:rPr>
          <w:rFonts w:ascii="Calibri" w:hAnsi="Calibri" w:cs="Calibri"/>
          <w:color w:val="auto"/>
          <w:lang w:val="es-GT"/>
        </w:rPr>
      </w:pPr>
    </w:p>
    <w:p w:rsidR="00E31B19" w:rsidRPr="001A01AB"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color w:val="auto"/>
          <w:lang w:val="es-GT"/>
        </w:rPr>
        <w:t>FIDA necesita fortalecer el sistema de gestión ambiental que utiliza para identificar, evaluar y monitorear los impactos de las intervenciones específicas de desarrollo rural que fomenta, incorporando un esquema de criterios e indicadores de sostenibilidad ambiental. Esto permitirá evaluar, de forma previa, la pertinencia de dichas intervenciones desde una perspectiva de sostenibilidad socio-ambiental, así como el diseño, implementación y monitoreo de acciones de mitigación de dichos impactos.</w:t>
      </w:r>
    </w:p>
    <w:p w:rsidR="00E31B19" w:rsidRPr="001A01AB" w:rsidRDefault="00E31B19" w:rsidP="00E7258A">
      <w:pPr>
        <w:pStyle w:val="Default"/>
        <w:numPr>
          <w:ilvl w:val="0"/>
          <w:numId w:val="4"/>
        </w:numPr>
        <w:jc w:val="both"/>
        <w:rPr>
          <w:rFonts w:ascii="Calibri" w:hAnsi="Calibri" w:cs="Calibri"/>
          <w:color w:val="auto"/>
          <w:lang w:val="es-GT"/>
        </w:rPr>
      </w:pPr>
      <w:r w:rsidRPr="001A01AB">
        <w:rPr>
          <w:rFonts w:ascii="Calibri" w:hAnsi="Calibri" w:cs="Calibri"/>
          <w:color w:val="auto"/>
          <w:lang w:val="es-GT"/>
        </w:rPr>
        <w:t>FIDA d</w:t>
      </w:r>
      <w:r w:rsidR="00301499">
        <w:rPr>
          <w:rFonts w:ascii="Calibri" w:hAnsi="Calibri" w:cs="Calibri"/>
          <w:color w:val="auto"/>
          <w:lang w:val="es-GT"/>
        </w:rPr>
        <w:t>ebe fomentar y fortalecer el diá</w:t>
      </w:r>
      <w:r w:rsidRPr="001A01AB">
        <w:rPr>
          <w:rFonts w:ascii="Calibri" w:hAnsi="Calibri" w:cs="Calibri"/>
          <w:color w:val="auto"/>
          <w:lang w:val="es-GT"/>
        </w:rPr>
        <w:t>logo sectorial y las sinergias con las autoridades ambientales nacionales y sus estrategias, para que más allá de un mero proceso de trámite, se les involucre en la priorización, planificación y ejecución de componentes y acciones específicas.</w:t>
      </w:r>
    </w:p>
    <w:p w:rsidR="00E31B19" w:rsidRPr="001A01AB" w:rsidRDefault="00E31B19" w:rsidP="00E31B19">
      <w:pPr>
        <w:pStyle w:val="Default"/>
        <w:ind w:left="360"/>
        <w:jc w:val="both"/>
        <w:rPr>
          <w:rFonts w:ascii="Calibri" w:hAnsi="Calibri" w:cs="Calibri"/>
          <w:color w:val="auto"/>
          <w:lang w:val="es-GT"/>
        </w:rPr>
      </w:pPr>
    </w:p>
    <w:p w:rsidR="00E31B19" w:rsidRPr="001A01AB" w:rsidRDefault="00E31B19" w:rsidP="004E2482">
      <w:pPr>
        <w:pStyle w:val="Prrafodelista"/>
        <w:numPr>
          <w:ilvl w:val="2"/>
          <w:numId w:val="55"/>
        </w:numPr>
        <w:spacing w:after="120"/>
        <w:jc w:val="both"/>
        <w:rPr>
          <w:rFonts w:cs="Calibri"/>
          <w:b/>
          <w:i/>
          <w:color w:val="365F91"/>
          <w:sz w:val="24"/>
          <w:szCs w:val="24"/>
        </w:rPr>
      </w:pPr>
      <w:r w:rsidRPr="001A01AB">
        <w:rPr>
          <w:rFonts w:cs="Calibri"/>
          <w:b/>
          <w:i/>
          <w:color w:val="365F91"/>
          <w:sz w:val="24"/>
          <w:szCs w:val="24"/>
        </w:rPr>
        <w:t xml:space="preserve">Recursos </w:t>
      </w:r>
      <w:r w:rsidR="003C58E3" w:rsidRPr="001A01AB">
        <w:rPr>
          <w:rFonts w:cs="Calibri"/>
          <w:b/>
          <w:i/>
          <w:color w:val="365F91"/>
          <w:sz w:val="24"/>
          <w:szCs w:val="24"/>
        </w:rPr>
        <w:t>naturales estratégicos (agua, suelo y bosque)</w:t>
      </w:r>
    </w:p>
    <w:p w:rsidR="00E31B19" w:rsidRPr="001A01AB" w:rsidRDefault="00E31B19" w:rsidP="00E31B19">
      <w:pPr>
        <w:pStyle w:val="Default"/>
        <w:ind w:left="360"/>
        <w:jc w:val="both"/>
        <w:rPr>
          <w:rFonts w:ascii="Calibri" w:hAnsi="Calibri" w:cs="Calibri"/>
          <w:color w:val="auto"/>
          <w:lang w:val="es-GT"/>
        </w:rPr>
      </w:pPr>
    </w:p>
    <w:p w:rsidR="00E31B19" w:rsidRPr="001A01AB" w:rsidRDefault="00301499" w:rsidP="00E7258A">
      <w:pPr>
        <w:pStyle w:val="Default"/>
        <w:numPr>
          <w:ilvl w:val="0"/>
          <w:numId w:val="4"/>
        </w:numPr>
        <w:spacing w:after="60"/>
        <w:jc w:val="both"/>
        <w:rPr>
          <w:rFonts w:ascii="Calibri" w:hAnsi="Calibri" w:cs="Calibri"/>
          <w:color w:val="auto"/>
          <w:lang w:val="es-GT"/>
        </w:rPr>
      </w:pPr>
      <w:r>
        <w:rPr>
          <w:rFonts w:ascii="Calibri" w:hAnsi="Calibri" w:cs="Calibri"/>
          <w:color w:val="auto"/>
          <w:lang w:val="es-GT"/>
        </w:rPr>
        <w:t>U</w:t>
      </w:r>
      <w:r w:rsidRPr="001A01AB">
        <w:rPr>
          <w:rFonts w:ascii="Calibri" w:hAnsi="Calibri" w:cs="Calibri"/>
          <w:color w:val="auto"/>
          <w:lang w:val="es-GT"/>
        </w:rPr>
        <w:t xml:space="preserve">na opción </w:t>
      </w:r>
      <w:r>
        <w:rPr>
          <w:rFonts w:ascii="Calibri" w:hAnsi="Calibri" w:cs="Calibri"/>
          <w:color w:val="auto"/>
          <w:lang w:val="es-GT"/>
        </w:rPr>
        <w:t>p</w:t>
      </w:r>
      <w:r w:rsidR="00E31B19" w:rsidRPr="001A01AB">
        <w:rPr>
          <w:rFonts w:ascii="Calibri" w:hAnsi="Calibri" w:cs="Calibri"/>
          <w:color w:val="auto"/>
          <w:lang w:val="es-GT"/>
        </w:rPr>
        <w:t>ara reducir la deforestación consiste en fomentar el manejo forestal sostenible de pequeños y medianos remanentes forestales, como actividad económica generadora de ingreso y</w:t>
      </w:r>
      <w:r w:rsidR="00141A70">
        <w:rPr>
          <w:rFonts w:ascii="Calibri" w:hAnsi="Calibri" w:cs="Calibri"/>
          <w:color w:val="auto"/>
          <w:lang w:val="es-GT"/>
        </w:rPr>
        <w:t xml:space="preserve"> </w:t>
      </w:r>
      <w:r w:rsidR="00E31B19" w:rsidRPr="001A01AB">
        <w:rPr>
          <w:rFonts w:ascii="Calibri" w:hAnsi="Calibri" w:cs="Calibri"/>
          <w:color w:val="auto"/>
          <w:lang w:val="es-GT"/>
        </w:rPr>
        <w:t>amigable con el ambiente. Para ello, se pueden crear mecanismos de incentivos enfocados en pequeños productores excedentarios y grupos comunitarios.</w:t>
      </w:r>
      <w:r w:rsidR="00141A70">
        <w:rPr>
          <w:rFonts w:ascii="Calibri" w:hAnsi="Calibri" w:cs="Calibri"/>
          <w:color w:val="auto"/>
          <w:lang w:val="es-GT"/>
        </w:rPr>
        <w:t xml:space="preserve"> </w:t>
      </w:r>
      <w:r w:rsidR="00E31B19" w:rsidRPr="001A01AB">
        <w:rPr>
          <w:rFonts w:ascii="Calibri" w:hAnsi="Calibri" w:cs="Calibri"/>
          <w:color w:val="auto"/>
          <w:lang w:val="es-GT"/>
        </w:rPr>
        <w:t>En el impulso a esta actividad, FIDA debe vigilar y garantizar que las prácticas de manejo forestal sostenible sean aplicadas adecuadamente, para evitar el riesgo de promover la degradación ambiental (por ejemplo: conversión de bosques natur</w:t>
      </w:r>
      <w:r w:rsidR="00A61AA9">
        <w:rPr>
          <w:rFonts w:ascii="Calibri" w:hAnsi="Calibri" w:cs="Calibri"/>
          <w:color w:val="auto"/>
          <w:lang w:val="es-GT"/>
        </w:rPr>
        <w:t>ales en plantaciones forestales y</w:t>
      </w:r>
      <w:r w:rsidR="00E31B19" w:rsidRPr="001A01AB">
        <w:rPr>
          <w:rFonts w:ascii="Calibri" w:hAnsi="Calibri" w:cs="Calibri"/>
          <w:color w:val="auto"/>
          <w:lang w:val="es-GT"/>
        </w:rPr>
        <w:t xml:space="preserve"> erosión de los suelos en áreas de alta pendiente). También debe ponerse especial atención en la adecuada socialización de estas actividades, para reducir el riesgo de aparecimiento de conflictos sociales asociados al aprovechamiento forestal.</w:t>
      </w:r>
    </w:p>
    <w:p w:rsidR="00E31B19" w:rsidRPr="001A01AB"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color w:val="auto"/>
          <w:lang w:val="es-GT"/>
        </w:rPr>
        <w:t>El establecimiento de plantaciones forestales es una opción para reducir la deforestación y al mismo tiempo, generar ingreso a través de la oferta de productos forestales a la sociedad. De forma similar, representan una opción para recuperar áreas degradadas. Al promover esta activ</w:t>
      </w:r>
      <w:r w:rsidR="00A61AA9">
        <w:rPr>
          <w:rFonts w:ascii="Calibri" w:hAnsi="Calibri" w:cs="Calibri"/>
          <w:color w:val="auto"/>
          <w:lang w:val="es-GT"/>
        </w:rPr>
        <w:t xml:space="preserve">idad, FIDA debe considerar: i) </w:t>
      </w:r>
      <w:r w:rsidR="00A73511">
        <w:rPr>
          <w:rFonts w:ascii="Calibri" w:hAnsi="Calibri" w:cs="Calibri"/>
          <w:color w:val="auto"/>
          <w:lang w:val="es-GT"/>
        </w:rPr>
        <w:t>p</w:t>
      </w:r>
      <w:r w:rsidRPr="001A01AB">
        <w:rPr>
          <w:rFonts w:ascii="Calibri" w:hAnsi="Calibri" w:cs="Calibri"/>
          <w:color w:val="auto"/>
          <w:lang w:val="es-GT"/>
        </w:rPr>
        <w:t xml:space="preserve">referir la utilización de especies nativas, principalmente en las cercanías de las áreas protegidas, corredores biológicas y zonas en </w:t>
      </w:r>
      <w:r w:rsidRPr="001A01AB">
        <w:rPr>
          <w:rFonts w:ascii="Calibri" w:hAnsi="Calibri" w:cs="Calibri"/>
          <w:color w:val="auto"/>
          <w:lang w:val="es-GT"/>
        </w:rPr>
        <w:lastRenderedPageBreak/>
        <w:t>recuperación</w:t>
      </w:r>
      <w:r w:rsidR="00A61AA9">
        <w:rPr>
          <w:rFonts w:ascii="Calibri" w:hAnsi="Calibri" w:cs="Calibri"/>
          <w:color w:val="auto"/>
          <w:lang w:val="es-GT"/>
        </w:rPr>
        <w:t>;</w:t>
      </w:r>
      <w:r w:rsidR="00A73511">
        <w:rPr>
          <w:rFonts w:ascii="Calibri" w:hAnsi="Calibri" w:cs="Calibri"/>
          <w:color w:val="auto"/>
          <w:lang w:val="es-GT"/>
        </w:rPr>
        <w:t xml:space="preserve"> ii) e</w:t>
      </w:r>
      <w:r w:rsidRPr="001A01AB">
        <w:rPr>
          <w:rFonts w:ascii="Calibri" w:hAnsi="Calibri" w:cs="Calibri"/>
          <w:color w:val="auto"/>
          <w:lang w:val="es-GT"/>
        </w:rPr>
        <w:t xml:space="preserve">vitar el establecimiento de grandes extensiones de plantaciones puras (monocultivo forestal) para </w:t>
      </w:r>
      <w:r w:rsidR="00A61AA9" w:rsidRPr="001A01AB">
        <w:rPr>
          <w:rFonts w:ascii="Calibri" w:hAnsi="Calibri" w:cs="Calibri"/>
          <w:color w:val="auto"/>
          <w:lang w:val="es-GT"/>
        </w:rPr>
        <w:t>impedir</w:t>
      </w:r>
      <w:r w:rsidRPr="001A01AB">
        <w:rPr>
          <w:rFonts w:ascii="Calibri" w:hAnsi="Calibri" w:cs="Calibri"/>
          <w:color w:val="auto"/>
          <w:lang w:val="es-GT"/>
        </w:rPr>
        <w:t xml:space="preserve"> posibles brotes epid</w:t>
      </w:r>
      <w:r w:rsidR="00A61AA9">
        <w:rPr>
          <w:rFonts w:ascii="Calibri" w:hAnsi="Calibri" w:cs="Calibri"/>
          <w:color w:val="auto"/>
          <w:lang w:val="es-GT"/>
        </w:rPr>
        <w:t xml:space="preserve">émicos de plagas y enfermedades; iii) </w:t>
      </w:r>
      <w:r w:rsidR="00A73511">
        <w:rPr>
          <w:rFonts w:ascii="Calibri" w:hAnsi="Calibri" w:cs="Calibri"/>
          <w:color w:val="auto"/>
          <w:lang w:val="es-GT"/>
        </w:rPr>
        <w:t>n</w:t>
      </w:r>
      <w:r w:rsidRPr="001A01AB">
        <w:rPr>
          <w:rFonts w:ascii="Calibri" w:hAnsi="Calibri" w:cs="Calibri"/>
          <w:color w:val="auto"/>
          <w:lang w:val="es-GT"/>
        </w:rPr>
        <w:t>o promover la sustitución de bosques naturales por plantaciones forestales puras, princi</w:t>
      </w:r>
      <w:r w:rsidR="00A61AA9">
        <w:rPr>
          <w:rFonts w:ascii="Calibri" w:hAnsi="Calibri" w:cs="Calibri"/>
          <w:color w:val="auto"/>
          <w:lang w:val="es-GT"/>
        </w:rPr>
        <w:t xml:space="preserve">palmente de especies exóticas; y iv) </w:t>
      </w:r>
      <w:r w:rsidR="00A73511">
        <w:rPr>
          <w:rFonts w:ascii="Calibri" w:hAnsi="Calibri" w:cs="Calibri"/>
          <w:color w:val="auto"/>
          <w:lang w:val="es-GT"/>
        </w:rPr>
        <w:t>p</w:t>
      </w:r>
      <w:r w:rsidRPr="001A01AB">
        <w:rPr>
          <w:rFonts w:ascii="Calibri" w:hAnsi="Calibri" w:cs="Calibri"/>
          <w:color w:val="auto"/>
          <w:lang w:val="es-GT"/>
        </w:rPr>
        <w:t>riorizar el establecimiento de bosques energéticos individuales o comunales para contribuir con el abastecimiento de leña para los hogares y reducir presión sobre los bosques.</w:t>
      </w:r>
    </w:p>
    <w:p w:rsidR="00E31B19" w:rsidRPr="001A01AB"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color w:val="auto"/>
          <w:lang w:val="es-GT"/>
        </w:rPr>
        <w:t>Una opción tradicionalmente utilizada para promover una mejor eficiencia energética en el uso de la leña, son las estufas ahorradoras. La experiencia de algunos proyectos en Guatemala ha demostrado que la incompatibilidad entre algunas de estas soluciones con las necesidades y características culturales de las poblaciones ha provocado que las mismas no sean utilizadas, con la consecuente inefectividad de estas inversiones. FIDA debe considerar que</w:t>
      </w:r>
      <w:r w:rsidR="00A61AA9">
        <w:rPr>
          <w:rFonts w:ascii="Calibri" w:hAnsi="Calibri" w:cs="Calibri"/>
          <w:color w:val="auto"/>
          <w:lang w:val="es-GT"/>
        </w:rPr>
        <w:t>,</w:t>
      </w:r>
      <w:r w:rsidRPr="001A01AB">
        <w:rPr>
          <w:rFonts w:ascii="Calibri" w:hAnsi="Calibri" w:cs="Calibri"/>
          <w:color w:val="auto"/>
          <w:lang w:val="es-GT"/>
        </w:rPr>
        <w:t xml:space="preserve"> previo a implementar una iniciativa de este tipo, se debe evaluar la aceptación social y cultural de las soluciones propuestas, seleccionando aquellas que sean susceptibles de ser adoptadas por las poblaciones beneficiarias. </w:t>
      </w:r>
    </w:p>
    <w:p w:rsidR="00E31B19" w:rsidRPr="001A01AB"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lang w:val="es-GT"/>
        </w:rPr>
        <w:t xml:space="preserve">Una opción para contribuir a garantizar condiciones ambientales mínimas para el mantenimiento del ciclo hidrológico, especialmente en lo referente a cobertura boscosa en zonas de importancia hidrológica, consiste en fomentar la reforestación/restauración de las tierras forestales de importancia para captación y regulación hídrica y la protección de fuentes de agua. En el impulso de estas actividades, FIDA debe tener en cuenta las </w:t>
      </w:r>
      <w:r w:rsidR="00A61AA9">
        <w:rPr>
          <w:rFonts w:ascii="Calibri" w:hAnsi="Calibri" w:cs="Calibri"/>
          <w:lang w:val="es-GT"/>
        </w:rPr>
        <w:t xml:space="preserve">siguientes consideraciones: i) </w:t>
      </w:r>
      <w:r w:rsidR="00A73511">
        <w:rPr>
          <w:rFonts w:ascii="Calibri" w:hAnsi="Calibri" w:cs="Calibri"/>
          <w:lang w:val="es-GT"/>
        </w:rPr>
        <w:t>l</w:t>
      </w:r>
      <w:r w:rsidRPr="001A01AB">
        <w:rPr>
          <w:rFonts w:ascii="Calibri" w:hAnsi="Calibri" w:cs="Calibri"/>
          <w:lang w:val="es-GT"/>
        </w:rPr>
        <w:t>a tenencia/propiedad de las tierras en las que se implementen actividades de reforestación/restauración forestal es un elemento crítico par</w:t>
      </w:r>
      <w:r w:rsidR="00A61AA9">
        <w:rPr>
          <w:rFonts w:ascii="Calibri" w:hAnsi="Calibri" w:cs="Calibri"/>
          <w:lang w:val="es-GT"/>
        </w:rPr>
        <w:t xml:space="preserve">a el éxito de estas iniciativas; ii) </w:t>
      </w:r>
      <w:r w:rsidR="00A73511">
        <w:rPr>
          <w:rFonts w:ascii="Calibri" w:hAnsi="Calibri" w:cs="Calibri"/>
          <w:lang w:val="es-GT"/>
        </w:rPr>
        <w:t>l</w:t>
      </w:r>
      <w:r w:rsidRPr="001A01AB">
        <w:rPr>
          <w:rFonts w:ascii="Calibri" w:hAnsi="Calibri" w:cs="Calibri"/>
          <w:lang w:val="es-GT"/>
        </w:rPr>
        <w:t>as tierras de propiedad municipal o comu</w:t>
      </w:r>
      <w:r w:rsidR="00A61AA9">
        <w:rPr>
          <w:rFonts w:ascii="Calibri" w:hAnsi="Calibri" w:cs="Calibri"/>
          <w:lang w:val="es-GT"/>
        </w:rPr>
        <w:t>nitaria pueden ser prioritarias; y</w:t>
      </w:r>
      <w:r w:rsidRPr="001A01AB">
        <w:rPr>
          <w:rFonts w:ascii="Calibri" w:hAnsi="Calibri" w:cs="Calibri"/>
          <w:lang w:val="es-GT"/>
        </w:rPr>
        <w:t xml:space="preserve"> iii) la socialización adecuada de estas iniciativas es fundamental para evitar la aparición de conflictos.</w:t>
      </w:r>
    </w:p>
    <w:p w:rsidR="00E31B19" w:rsidRPr="001A01AB"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lang w:val="es-GT"/>
        </w:rPr>
        <w:t>Para contribuir a reducir la contaminación del agua,</w:t>
      </w:r>
      <w:r w:rsidR="00141A70">
        <w:rPr>
          <w:rFonts w:ascii="Calibri" w:hAnsi="Calibri" w:cs="Calibri"/>
          <w:lang w:val="es-GT"/>
        </w:rPr>
        <w:t xml:space="preserve"> </w:t>
      </w:r>
      <w:r w:rsidRPr="001A01AB">
        <w:rPr>
          <w:rFonts w:ascii="Calibri" w:hAnsi="Calibri" w:cs="Calibri"/>
          <w:lang w:val="es-GT"/>
        </w:rPr>
        <w:t>una opción estratégica dentro del contexto de la gestión integrada de recursos hídricos consiste en realizar inversiones en infraestructura para el tratamiento de aguas servidas provenientes de lugares poblados y de procesos productivos.</w:t>
      </w:r>
      <w:r w:rsidR="00141A70">
        <w:rPr>
          <w:rFonts w:ascii="Calibri" w:hAnsi="Calibri" w:cs="Calibri"/>
          <w:lang w:val="es-GT"/>
        </w:rPr>
        <w:t xml:space="preserve"> </w:t>
      </w:r>
      <w:r w:rsidRPr="001A01AB">
        <w:rPr>
          <w:rFonts w:ascii="Calibri" w:hAnsi="Calibri" w:cs="Calibri"/>
          <w:lang w:val="es-GT"/>
        </w:rPr>
        <w:t>En esta misma línea, FIDA debe impulsar</w:t>
      </w:r>
      <w:r w:rsidRPr="001A01AB">
        <w:rPr>
          <w:rFonts w:ascii="Calibri" w:hAnsi="Calibri" w:cs="Calibri"/>
          <w:color w:val="auto"/>
          <w:lang w:val="es-GT"/>
        </w:rPr>
        <w:t xml:space="preserve"> la adopción de buenas prácticas ambientales en la producción agrícola, a través de capacitación, asistencia técnica y extensionismo rural, </w:t>
      </w:r>
      <w:r w:rsidR="00A61AA9">
        <w:rPr>
          <w:rFonts w:ascii="Calibri" w:hAnsi="Calibri" w:cs="Calibri"/>
          <w:color w:val="auto"/>
          <w:lang w:val="es-GT"/>
        </w:rPr>
        <w:t>con enfoque</w:t>
      </w:r>
      <w:r w:rsidRPr="001A01AB">
        <w:rPr>
          <w:rFonts w:ascii="Calibri" w:hAnsi="Calibri" w:cs="Calibri"/>
          <w:color w:val="auto"/>
          <w:lang w:val="es-GT"/>
        </w:rPr>
        <w:t xml:space="preserve"> en pequeños productores excendentarios, individuales y agrupados. </w:t>
      </w:r>
    </w:p>
    <w:p w:rsidR="00E31B19" w:rsidRPr="00A73511"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color w:val="auto"/>
          <w:lang w:val="es-GT"/>
        </w:rPr>
        <w:t>Aun cuando el balance hídrico nacional es excedentario, la cantidad y estacionali</w:t>
      </w:r>
      <w:r w:rsidR="00A73511">
        <w:rPr>
          <w:rFonts w:ascii="Calibri" w:hAnsi="Calibri" w:cs="Calibri"/>
          <w:color w:val="auto"/>
          <w:lang w:val="es-GT"/>
        </w:rPr>
        <w:t>dad de la precipitación provoca</w:t>
      </w:r>
      <w:r w:rsidRPr="001A01AB">
        <w:rPr>
          <w:rFonts w:ascii="Calibri" w:hAnsi="Calibri" w:cs="Calibri"/>
          <w:color w:val="auto"/>
          <w:lang w:val="es-GT"/>
        </w:rPr>
        <w:t xml:space="preserve"> </w:t>
      </w:r>
      <w:r w:rsidR="00A73511">
        <w:rPr>
          <w:rFonts w:ascii="Calibri" w:hAnsi="Calibri" w:cs="Calibri"/>
          <w:color w:val="auto"/>
          <w:lang w:val="es-GT"/>
        </w:rPr>
        <w:t>la existencia de</w:t>
      </w:r>
      <w:r w:rsidRPr="001A01AB">
        <w:rPr>
          <w:rFonts w:ascii="Calibri" w:hAnsi="Calibri" w:cs="Calibri"/>
          <w:color w:val="auto"/>
          <w:lang w:val="es-GT"/>
        </w:rPr>
        <w:t xml:space="preserve"> regiones deficitarias, como el caso del denominado </w:t>
      </w:r>
      <w:r w:rsidRPr="00A73511">
        <w:rPr>
          <w:rFonts w:ascii="Calibri" w:hAnsi="Calibri" w:cs="Calibri"/>
          <w:i/>
          <w:color w:val="auto"/>
          <w:lang w:val="es-GT"/>
        </w:rPr>
        <w:t>corredor seco</w:t>
      </w:r>
      <w:r w:rsidRPr="001A01AB">
        <w:rPr>
          <w:rFonts w:ascii="Calibri" w:hAnsi="Calibri" w:cs="Calibri"/>
          <w:color w:val="auto"/>
          <w:lang w:val="es-GT"/>
        </w:rPr>
        <w:t>, así como algunas regiones del altiplano. Esta condición resalta la necesidad de generar información sobre la demanda y disponibilidad de agua a nivel local, con el propósito de ordenar el uso del recurso.</w:t>
      </w:r>
      <w:r w:rsidR="00141A70">
        <w:rPr>
          <w:rFonts w:ascii="Calibri" w:hAnsi="Calibri" w:cs="Calibri"/>
          <w:color w:val="auto"/>
          <w:lang w:val="es-GT"/>
        </w:rPr>
        <w:t xml:space="preserve"> </w:t>
      </w:r>
      <w:r w:rsidRPr="001A01AB">
        <w:rPr>
          <w:rFonts w:ascii="Calibri" w:hAnsi="Calibri" w:cs="Calibri"/>
          <w:color w:val="auto"/>
          <w:lang w:val="es-GT"/>
        </w:rPr>
        <w:t>En este contexto</w:t>
      </w:r>
      <w:r w:rsidR="00A73511">
        <w:rPr>
          <w:rFonts w:ascii="Calibri" w:hAnsi="Calibri" w:cs="Calibri"/>
          <w:color w:val="auto"/>
          <w:lang w:val="es-GT"/>
        </w:rPr>
        <w:t>,</w:t>
      </w:r>
      <w:r w:rsidRPr="001A01AB">
        <w:rPr>
          <w:rFonts w:ascii="Calibri" w:hAnsi="Calibri" w:cs="Calibri"/>
          <w:lang w:val="es-GT"/>
        </w:rPr>
        <w:t xml:space="preserve"> como requisito previo a cualquier inversión social o productiva que involucre el uso de recursos hídricos, debe realizarse un balance hídrico que revele la relación entre la oferta y la demanda hídrica de dicho territorio. En caso de déficit hídrico, las nuevas inversiones deberán procurar </w:t>
      </w:r>
      <w:r w:rsidRPr="001A01AB">
        <w:rPr>
          <w:rFonts w:ascii="Calibri" w:hAnsi="Calibri" w:cs="Calibri"/>
          <w:color w:val="auto"/>
          <w:lang w:val="es-GT"/>
        </w:rPr>
        <w:t xml:space="preserve">su abastecimiento de manera alterna, </w:t>
      </w:r>
      <w:r w:rsidRPr="001A01AB">
        <w:rPr>
          <w:rFonts w:ascii="Calibri" w:hAnsi="Calibri" w:cs="Calibri"/>
          <w:lang w:val="es-GT"/>
        </w:rPr>
        <w:t xml:space="preserve">para no acentuar el déficit. En caso de superávit hídrico, las nuevas actividades productivas deberían garantizar su propio acopio, almacenamiento y </w:t>
      </w:r>
      <w:r w:rsidRPr="00A73511">
        <w:rPr>
          <w:rFonts w:ascii="Calibri" w:hAnsi="Calibri" w:cs="Calibri"/>
          <w:lang w:val="es-GT"/>
        </w:rPr>
        <w:t xml:space="preserve">conducción sin competir con, y poner en riesgo, las necesidades </w:t>
      </w:r>
      <w:r w:rsidRPr="00A73511">
        <w:rPr>
          <w:rFonts w:ascii="Calibri" w:hAnsi="Calibri" w:cs="Calibri"/>
          <w:color w:val="auto"/>
          <w:lang w:val="es-GT"/>
        </w:rPr>
        <w:t>locales.</w:t>
      </w:r>
    </w:p>
    <w:p w:rsidR="00A73511" w:rsidRDefault="00A73511" w:rsidP="00E7258A">
      <w:pPr>
        <w:pStyle w:val="Default"/>
        <w:numPr>
          <w:ilvl w:val="0"/>
          <w:numId w:val="4"/>
        </w:numPr>
        <w:spacing w:after="60"/>
        <w:jc w:val="both"/>
        <w:rPr>
          <w:rFonts w:ascii="Calibri" w:hAnsi="Calibri" w:cs="Calibri"/>
          <w:color w:val="auto"/>
          <w:lang w:val="es-GT"/>
        </w:rPr>
      </w:pPr>
      <w:r>
        <w:rPr>
          <w:rFonts w:ascii="Calibri" w:hAnsi="Calibri" w:cs="Calibri"/>
          <w:color w:val="auto"/>
          <w:lang w:val="es-GT"/>
        </w:rPr>
        <w:lastRenderedPageBreak/>
        <w:t xml:space="preserve">En el plano </w:t>
      </w:r>
      <w:r w:rsidRPr="00A73511">
        <w:rPr>
          <w:rFonts w:ascii="Calibri" w:hAnsi="Calibri" w:cs="Calibri"/>
          <w:color w:val="auto"/>
          <w:lang w:val="es-GT"/>
        </w:rPr>
        <w:t>institucional relacionado con el agua, en los últimos años se han logrado avances con la elaboración del Plan Sectorial Multianual de Ambiente y Agua y la aprobación de la Política Nacional del Agua y su estrategia. El FIDA tiene el potencial de</w:t>
      </w:r>
      <w:r w:rsidRPr="001A01AB">
        <w:rPr>
          <w:rFonts w:ascii="Calibri" w:hAnsi="Calibri" w:cs="Calibri"/>
          <w:color w:val="auto"/>
          <w:lang w:val="es-GT"/>
        </w:rPr>
        <w:t xml:space="preserve"> aprovechar su ventaja comparativa en la promoción y acompañamiento del di</w:t>
      </w:r>
      <w:r>
        <w:rPr>
          <w:rFonts w:ascii="Calibri" w:hAnsi="Calibri" w:cs="Calibri"/>
          <w:color w:val="auto"/>
          <w:lang w:val="es-GT"/>
        </w:rPr>
        <w:t>á</w:t>
      </w:r>
      <w:r w:rsidRPr="001A01AB">
        <w:rPr>
          <w:rFonts w:ascii="Calibri" w:hAnsi="Calibri" w:cs="Calibri"/>
          <w:color w:val="auto"/>
          <w:lang w:val="es-GT"/>
        </w:rPr>
        <w:t>logo sectorial y de políticas en este contexto, contribuyendo con el diseño e implementación de mecanismos e instrumentos que promuevan aspectos fundamentales como</w:t>
      </w:r>
      <w:r w:rsidRPr="00A73511">
        <w:rPr>
          <w:rFonts w:ascii="Calibri" w:hAnsi="Calibri" w:cs="Calibri"/>
          <w:color w:val="auto"/>
          <w:lang w:val="es-GT"/>
        </w:rPr>
        <w:t xml:space="preserve">: i) priorización de los usos del agua, ii) fortalecimiento de la capacidad institucional para planificar y regular el recurso, iii) aumentar la eficiencia del uso y reducir la contaminación del agua, iv) construcción de acuerdos sociales y sectoriales que fortalezcan la gobernabilidad del recurso. </w:t>
      </w:r>
      <w:r>
        <w:rPr>
          <w:rFonts w:ascii="Calibri" w:hAnsi="Calibri" w:cs="Calibri"/>
          <w:color w:val="auto"/>
          <w:lang w:val="es-GT"/>
        </w:rPr>
        <w:t>Todo ello</w:t>
      </w:r>
      <w:r w:rsidRPr="00A73511">
        <w:rPr>
          <w:rFonts w:ascii="Calibri" w:hAnsi="Calibri" w:cs="Calibri"/>
          <w:color w:val="auto"/>
          <w:lang w:val="es-GT"/>
        </w:rPr>
        <w:t xml:space="preserve"> contribuiría a garantizar un acceso justo, responsable y equitativo a este recurso vital. Dentro de este contexto, FIDA debe tomar en cuenta que, históricamente, el tema de</w:t>
      </w:r>
      <w:r>
        <w:rPr>
          <w:rFonts w:ascii="Calibri" w:hAnsi="Calibri" w:cs="Calibri"/>
          <w:color w:val="auto"/>
          <w:lang w:val="es-GT"/>
        </w:rPr>
        <w:t xml:space="preserve">l agua ha estado asociado a </w:t>
      </w:r>
      <w:r w:rsidRPr="00A73511">
        <w:rPr>
          <w:rFonts w:ascii="Calibri" w:hAnsi="Calibri" w:cs="Calibri"/>
          <w:color w:val="auto"/>
          <w:lang w:val="es-GT"/>
        </w:rPr>
        <w:t xml:space="preserve">conflictos por su uso y acceso, contribuyendo a la polarización entre sectores de la sociedad. </w:t>
      </w:r>
      <w:r>
        <w:rPr>
          <w:rFonts w:ascii="Calibri" w:hAnsi="Calibri" w:cs="Calibri"/>
          <w:color w:val="auto"/>
          <w:lang w:val="es-GT"/>
        </w:rPr>
        <w:t>Un proceso de diá</w:t>
      </w:r>
      <w:r w:rsidRPr="00A73511">
        <w:rPr>
          <w:rFonts w:ascii="Calibri" w:hAnsi="Calibri" w:cs="Calibri"/>
          <w:color w:val="auto"/>
          <w:lang w:val="es-GT"/>
        </w:rPr>
        <w:t>logo inadecuado o sin la participación de todos los sectores involucrados, tiene el potencial de acentuar la conflictividad.</w:t>
      </w:r>
    </w:p>
    <w:p w:rsidR="00E31B19" w:rsidRPr="001A01AB"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color w:val="auto"/>
          <w:lang w:val="es-GT"/>
        </w:rPr>
        <w:t xml:space="preserve">La conservación de suelos es una tarea que tradicionalmente ha sido poco atendida en Guatemala, aun cuando aproximadamente el 15% del territorio nacional se encuentra en condiciones de sobreuso. El gobierno de Guatemala, a través del MAGA, ha implementado recientemente un programa piloto de incentivos </w:t>
      </w:r>
      <w:r w:rsidR="00A73511">
        <w:rPr>
          <w:rFonts w:ascii="Calibri" w:hAnsi="Calibri" w:cs="Calibri"/>
          <w:color w:val="auto"/>
          <w:lang w:val="es-GT"/>
        </w:rPr>
        <w:t>par</w:t>
      </w:r>
      <w:r w:rsidRPr="001A01AB">
        <w:rPr>
          <w:rFonts w:ascii="Calibri" w:hAnsi="Calibri" w:cs="Calibri"/>
          <w:color w:val="auto"/>
          <w:lang w:val="es-GT"/>
        </w:rPr>
        <w:t>a la conservación de suelos; sin embargo este programa no cuenta con financiamiento adecuado, por lo que se prevé que su impacto será mínimo. En este contexto, FIDA debería adoptar las siguientes consideraciones: i) establecer la regla de que todas las actividades productivas agropecuarias que promueva, deben incorporar un componente de conservación de suelos, de acuerdo con la naturaleza de la actividad productiva y con las condiciones particulares del sitio, ii) en el caso específico de los sistemas de riego y mini-riego que se p</w:t>
      </w:r>
      <w:r w:rsidR="003C58E3">
        <w:rPr>
          <w:rFonts w:ascii="Calibri" w:hAnsi="Calibri" w:cs="Calibri"/>
          <w:color w:val="auto"/>
          <w:lang w:val="es-GT"/>
        </w:rPr>
        <w:t>romuevan, esta norma debe ser aún má</w:t>
      </w:r>
      <w:r w:rsidRPr="001A01AB">
        <w:rPr>
          <w:rFonts w:ascii="Calibri" w:hAnsi="Calibri" w:cs="Calibri"/>
          <w:color w:val="auto"/>
          <w:lang w:val="es-GT"/>
        </w:rPr>
        <w:t>s enfática, debido a que las tierras bajo tierra están sometidas a un régimen de aprovechamiento altamente intensivo.</w:t>
      </w:r>
    </w:p>
    <w:p w:rsidR="00E31B19" w:rsidRPr="001A01AB" w:rsidRDefault="00E31B19" w:rsidP="00E7258A">
      <w:pPr>
        <w:pStyle w:val="Default"/>
        <w:numPr>
          <w:ilvl w:val="0"/>
          <w:numId w:val="4"/>
        </w:numPr>
        <w:jc w:val="both"/>
        <w:rPr>
          <w:rFonts w:ascii="Calibri" w:hAnsi="Calibri" w:cs="Calibri"/>
          <w:color w:val="auto"/>
          <w:lang w:val="es-GT"/>
        </w:rPr>
      </w:pPr>
      <w:r w:rsidRPr="001A01AB">
        <w:rPr>
          <w:rFonts w:ascii="Calibri" w:hAnsi="Calibri" w:cs="Calibri"/>
          <w:color w:val="auto"/>
          <w:lang w:val="es-GT"/>
        </w:rPr>
        <w:t xml:space="preserve">Dada la gran extensión de tierras de aptitud preferentemente forestal actualmente dedicadas a usos agropecuarios (sobreuso), así como </w:t>
      </w:r>
      <w:r w:rsidR="00A73511">
        <w:rPr>
          <w:rFonts w:ascii="Calibri" w:hAnsi="Calibri" w:cs="Calibri"/>
          <w:color w:val="auto"/>
          <w:lang w:val="es-GT"/>
        </w:rPr>
        <w:t xml:space="preserve">a </w:t>
      </w:r>
      <w:r w:rsidRPr="001A01AB">
        <w:rPr>
          <w:rFonts w:ascii="Calibri" w:hAnsi="Calibri" w:cs="Calibri"/>
          <w:color w:val="auto"/>
          <w:lang w:val="es-GT"/>
        </w:rPr>
        <w:t>los altos costos de las opciones de conservación de suelo, los sistemas agroforestales son considerados como una opción viable para reducir la degradación de las tierras, al mismo tiempo de tener el potencial de generar ingresos complementarios en el mediano plazo para los pequeños productores agropecuarios. En el impulso de la adopción de sistemas agroforestales, FIDA debe tomar en cuenta las siguientes consideraciones:</w:t>
      </w:r>
      <w:r w:rsidR="00141A70">
        <w:rPr>
          <w:rFonts w:ascii="Calibri" w:hAnsi="Calibri" w:cs="Calibri"/>
          <w:color w:val="auto"/>
          <w:lang w:val="es-GT"/>
        </w:rPr>
        <w:t xml:space="preserve"> </w:t>
      </w:r>
      <w:r w:rsidRPr="001A01AB">
        <w:rPr>
          <w:rFonts w:ascii="Calibri" w:hAnsi="Calibri" w:cs="Calibri"/>
          <w:color w:val="auto"/>
          <w:lang w:val="es-GT"/>
        </w:rPr>
        <w:t>i) debido a la estructura de costos y al periodo de retorno de estos sistemas productivos, los pequeños productores requerirán apoyo en la forma de acompañamiento y asistencia técni</w:t>
      </w:r>
      <w:r w:rsidR="00A73511">
        <w:rPr>
          <w:rFonts w:ascii="Calibri" w:hAnsi="Calibri" w:cs="Calibri"/>
          <w:color w:val="auto"/>
          <w:lang w:val="es-GT"/>
        </w:rPr>
        <w:t>ca, capacitación, extensionismo e</w:t>
      </w:r>
      <w:r w:rsidRPr="001A01AB">
        <w:rPr>
          <w:rFonts w:ascii="Calibri" w:hAnsi="Calibri" w:cs="Calibri"/>
          <w:color w:val="auto"/>
          <w:lang w:val="es-GT"/>
        </w:rPr>
        <w:t xml:space="preserve"> insumos mínimos, como incentivo inicial para promover la adopción de estos sistemas,</w:t>
      </w:r>
      <w:r w:rsidR="00A73511">
        <w:rPr>
          <w:rFonts w:ascii="Calibri" w:hAnsi="Calibri" w:cs="Calibri"/>
          <w:color w:val="auto"/>
          <w:lang w:val="es-GT"/>
        </w:rPr>
        <w:t xml:space="preserve"> y</w:t>
      </w:r>
      <w:r w:rsidRPr="001A01AB">
        <w:rPr>
          <w:rFonts w:ascii="Calibri" w:hAnsi="Calibri" w:cs="Calibri"/>
          <w:color w:val="auto"/>
          <w:lang w:val="es-GT"/>
        </w:rPr>
        <w:t xml:space="preserve"> ii) la adopción de sistemas agroforestales debe ser promovida únicamente en tierras desprovistas de cobertura forestal (primaria o secundaria), evitando la sustitución de bosques por agricultura. </w:t>
      </w:r>
    </w:p>
    <w:p w:rsidR="00E31B19" w:rsidRPr="001A01AB" w:rsidRDefault="00E31B19" w:rsidP="00E31B19">
      <w:pPr>
        <w:pStyle w:val="Default"/>
        <w:jc w:val="both"/>
        <w:rPr>
          <w:rFonts w:ascii="Calibri" w:hAnsi="Calibri" w:cs="Calibri"/>
          <w:color w:val="auto"/>
          <w:lang w:val="es-GT"/>
        </w:rPr>
      </w:pPr>
    </w:p>
    <w:p w:rsidR="00484591" w:rsidRPr="001A01AB" w:rsidRDefault="00484591" w:rsidP="00E31B19">
      <w:pPr>
        <w:pStyle w:val="Default"/>
        <w:jc w:val="both"/>
        <w:rPr>
          <w:rFonts w:ascii="Calibri" w:hAnsi="Calibri" w:cs="Calibri"/>
          <w:color w:val="auto"/>
          <w:lang w:val="es-GT"/>
        </w:rPr>
      </w:pPr>
    </w:p>
    <w:p w:rsidR="00484591" w:rsidRPr="001A01AB" w:rsidRDefault="00484591" w:rsidP="00E31B19">
      <w:pPr>
        <w:pStyle w:val="Default"/>
        <w:jc w:val="both"/>
        <w:rPr>
          <w:rFonts w:ascii="Calibri" w:hAnsi="Calibri" w:cs="Calibri"/>
          <w:color w:val="auto"/>
          <w:lang w:val="es-GT"/>
        </w:rPr>
      </w:pPr>
    </w:p>
    <w:p w:rsidR="00E31B19" w:rsidRPr="001A01AB" w:rsidRDefault="00E31B19" w:rsidP="004E2482">
      <w:pPr>
        <w:pStyle w:val="Prrafodelista"/>
        <w:numPr>
          <w:ilvl w:val="2"/>
          <w:numId w:val="55"/>
        </w:numPr>
        <w:spacing w:after="120"/>
        <w:jc w:val="both"/>
        <w:rPr>
          <w:rFonts w:cs="Calibri"/>
          <w:b/>
          <w:i/>
          <w:color w:val="365F91"/>
          <w:sz w:val="24"/>
          <w:szCs w:val="24"/>
        </w:rPr>
      </w:pPr>
      <w:r w:rsidRPr="001A01AB">
        <w:rPr>
          <w:rFonts w:cs="Calibri"/>
          <w:b/>
          <w:i/>
          <w:color w:val="365F91"/>
          <w:sz w:val="24"/>
          <w:szCs w:val="24"/>
        </w:rPr>
        <w:lastRenderedPageBreak/>
        <w:t>Productividad rural campesina</w:t>
      </w:r>
    </w:p>
    <w:p w:rsidR="00E31B19" w:rsidRPr="001A01AB"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color w:val="auto"/>
          <w:lang w:val="es-GT"/>
        </w:rPr>
        <w:t>Existe evidencia de una alta correlación entre el estado y densidad de la red vial en zonas de producción agrícola y la ocurrencia de escenarios dinámicos de actividad económica agrícola y no agrícola. Esto confirma la pertinencia de d</w:t>
      </w:r>
      <w:r w:rsidR="00E40FB0">
        <w:rPr>
          <w:rFonts w:ascii="Calibri" w:hAnsi="Calibri" w:cs="Calibri"/>
          <w:color w:val="auto"/>
          <w:lang w:val="es-GT"/>
        </w:rPr>
        <w:t>iseñar programas de inversión para</w:t>
      </w:r>
      <w:r w:rsidRPr="001A01AB">
        <w:rPr>
          <w:rFonts w:ascii="Calibri" w:hAnsi="Calibri" w:cs="Calibri"/>
          <w:color w:val="auto"/>
          <w:lang w:val="es-GT"/>
        </w:rPr>
        <w:t xml:space="preserve"> infraestructura en atención a los atributos territoriales que puedan originar patrones de crecimiento económico que contribuyan a alcanzar metas de desarrollo rural. FIDA tiene numerosos antecedentes de inversión en introducción y rehabilitación de caminos rurales.</w:t>
      </w:r>
      <w:r w:rsidR="00141A70">
        <w:rPr>
          <w:rFonts w:ascii="Calibri" w:hAnsi="Calibri" w:cs="Calibri"/>
          <w:color w:val="auto"/>
          <w:lang w:val="es-GT"/>
        </w:rPr>
        <w:t xml:space="preserve"> </w:t>
      </w:r>
      <w:r w:rsidRPr="001A01AB">
        <w:rPr>
          <w:rFonts w:ascii="Calibri" w:hAnsi="Calibri" w:cs="Calibri"/>
          <w:color w:val="auto"/>
          <w:lang w:val="es-GT"/>
        </w:rPr>
        <w:t>En la planificación de futuras inversiones en este rubro, FIDA debe tomar en cuenta las siguientes consideraciones: i) dado que l</w:t>
      </w:r>
      <w:r w:rsidRPr="001A01AB">
        <w:rPr>
          <w:rFonts w:ascii="Calibri" w:hAnsi="Calibri" w:cs="Calibri"/>
          <w:lang w:val="es-GT"/>
        </w:rPr>
        <w:t xml:space="preserve">os caminos han demostrado ser históricamente un agente asociado con la deforestación, al facilitar el acceso a áreas forestales, el diseño de nuevos caminos que puedan afectar áreas protegidas, zonas de reserva, tierras forestales de captación y regulación hídrica, debe ser evaluado mediante la elaboración de un Estudio de Impacto Ambiental, en cumplimiento con la normativa ambiental vigente, </w:t>
      </w:r>
      <w:r w:rsidR="000323DD">
        <w:rPr>
          <w:rFonts w:ascii="Calibri" w:hAnsi="Calibri" w:cs="Calibri"/>
          <w:lang w:val="es-GT"/>
        </w:rPr>
        <w:t xml:space="preserve">y </w:t>
      </w:r>
      <w:r w:rsidRPr="001A01AB">
        <w:rPr>
          <w:rFonts w:ascii="Calibri" w:hAnsi="Calibri" w:cs="Calibri"/>
          <w:lang w:val="es-GT"/>
        </w:rPr>
        <w:t>ii) dado que l</w:t>
      </w:r>
      <w:r w:rsidRPr="001A01AB">
        <w:rPr>
          <w:rFonts w:ascii="Calibri" w:hAnsi="Calibri" w:cs="Calibri"/>
          <w:color w:val="auto"/>
          <w:lang w:val="es-GT"/>
        </w:rPr>
        <w:t>a introducción de caminos rurales tiene el potencial de generar</w:t>
      </w:r>
      <w:r w:rsidR="000323DD">
        <w:rPr>
          <w:rFonts w:ascii="Calibri" w:hAnsi="Calibri" w:cs="Calibri"/>
          <w:color w:val="auto"/>
          <w:lang w:val="es-GT"/>
        </w:rPr>
        <w:t xml:space="preserve"> deslizamientos, erosión de </w:t>
      </w:r>
      <w:r w:rsidRPr="001A01AB">
        <w:rPr>
          <w:rFonts w:ascii="Calibri" w:hAnsi="Calibri" w:cs="Calibri"/>
          <w:color w:val="auto"/>
          <w:lang w:val="es-GT"/>
        </w:rPr>
        <w:t xml:space="preserve">suelos y asolvamiento de ríos y cuerpos de agua, principalmente en terrenos de topografía escarpada, el diseño de estas obras debe tomar en consideración las acciones de mitigación necesarias para reducir estos impactos potenciales. </w:t>
      </w:r>
    </w:p>
    <w:p w:rsidR="00E31B19" w:rsidRPr="001A01AB"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color w:val="auto"/>
          <w:lang w:val="es-GT"/>
        </w:rPr>
        <w:t>El riego ha sido identificado como una de las opciones más importantes para aumentar la productividad agrícola como</w:t>
      </w:r>
      <w:r w:rsidR="0086302C">
        <w:rPr>
          <w:rFonts w:ascii="Calibri" w:hAnsi="Calibri" w:cs="Calibri"/>
          <w:color w:val="auto"/>
          <w:lang w:val="es-GT"/>
        </w:rPr>
        <w:t xml:space="preserve"> estrategia de desarrollo rural, y es</w:t>
      </w:r>
      <w:r w:rsidRPr="001A01AB">
        <w:rPr>
          <w:rFonts w:ascii="Calibri" w:hAnsi="Calibri" w:cs="Calibri"/>
          <w:color w:val="auto"/>
          <w:lang w:val="es-GT"/>
        </w:rPr>
        <w:t xml:space="preserve"> una infraestructura altamente demandada por los pequeños y medianos productores, prácticamente en todo el territorio nacional. En la promoción de estas inversiones productivas, FIDA debe tomar en cuenta las s</w:t>
      </w:r>
      <w:r w:rsidR="0086302C">
        <w:rPr>
          <w:rFonts w:ascii="Calibri" w:hAnsi="Calibri" w:cs="Calibri"/>
          <w:color w:val="auto"/>
          <w:lang w:val="es-GT"/>
        </w:rPr>
        <w:t>iguientes consideraciones socio</w:t>
      </w:r>
      <w:r w:rsidRPr="001A01AB">
        <w:rPr>
          <w:rFonts w:ascii="Calibri" w:hAnsi="Calibri" w:cs="Calibri"/>
          <w:color w:val="auto"/>
          <w:lang w:val="es-GT"/>
        </w:rPr>
        <w:t>ambientales: i) el diseño de un sistema de riego debe basarse en el balance hídrico actual y proyectado de la fuente de agua correspondiente, considerando que los sistemas de riego aumentan la demanda existente de agua, al igual que el crecimiento de la población</w:t>
      </w:r>
      <w:r w:rsidR="0086302C">
        <w:rPr>
          <w:rFonts w:ascii="Calibri" w:hAnsi="Calibri" w:cs="Calibri"/>
          <w:color w:val="auto"/>
          <w:lang w:val="es-GT"/>
        </w:rPr>
        <w:t>,</w:t>
      </w:r>
      <w:r w:rsidRPr="001A01AB">
        <w:rPr>
          <w:rFonts w:ascii="Calibri" w:hAnsi="Calibri" w:cs="Calibri"/>
          <w:color w:val="auto"/>
          <w:lang w:val="es-GT"/>
        </w:rPr>
        <w:t xml:space="preserve"> y que se debe garantizar el caudal ecológico de la fuente;</w:t>
      </w:r>
      <w:r w:rsidR="00141A70">
        <w:rPr>
          <w:rFonts w:ascii="Calibri" w:hAnsi="Calibri" w:cs="Calibri"/>
          <w:color w:val="auto"/>
          <w:lang w:val="es-GT"/>
        </w:rPr>
        <w:t xml:space="preserve"> </w:t>
      </w:r>
      <w:r w:rsidRPr="001A01AB">
        <w:rPr>
          <w:rFonts w:ascii="Calibri" w:hAnsi="Calibri" w:cs="Calibri"/>
          <w:color w:val="auto"/>
          <w:lang w:val="es-GT"/>
        </w:rPr>
        <w:t xml:space="preserve">ii) las tierras bajo riego son sometidas a </w:t>
      </w:r>
      <w:r w:rsidR="007C3972" w:rsidRPr="001A01AB">
        <w:rPr>
          <w:rFonts w:ascii="Calibri" w:hAnsi="Calibri" w:cs="Calibri"/>
          <w:color w:val="auto"/>
          <w:lang w:val="es-GT"/>
        </w:rPr>
        <w:t>regímenes</w:t>
      </w:r>
      <w:r w:rsidRPr="001A01AB">
        <w:rPr>
          <w:rFonts w:ascii="Calibri" w:hAnsi="Calibri" w:cs="Calibri"/>
          <w:color w:val="auto"/>
          <w:lang w:val="es-GT"/>
        </w:rPr>
        <w:t xml:space="preserve"> de alta intensidad de uso, por lo que se debe considerar la implementación de </w:t>
      </w:r>
      <w:r w:rsidR="007C3972" w:rsidRPr="001A01AB">
        <w:rPr>
          <w:rFonts w:ascii="Calibri" w:hAnsi="Calibri" w:cs="Calibri"/>
          <w:color w:val="auto"/>
          <w:lang w:val="es-GT"/>
        </w:rPr>
        <w:t>prácticas</w:t>
      </w:r>
      <w:r w:rsidRPr="001A01AB">
        <w:rPr>
          <w:rFonts w:ascii="Calibri" w:hAnsi="Calibri" w:cs="Calibri"/>
          <w:color w:val="auto"/>
          <w:lang w:val="es-GT"/>
        </w:rPr>
        <w:t xml:space="preserve"> de conservación de suelos para reducir el riesgo de degradación de las tierras; </w:t>
      </w:r>
      <w:r w:rsidR="0086302C">
        <w:rPr>
          <w:rFonts w:ascii="Calibri" w:hAnsi="Calibri" w:cs="Calibri"/>
          <w:color w:val="auto"/>
          <w:lang w:val="es-GT"/>
        </w:rPr>
        <w:t xml:space="preserve">y </w:t>
      </w:r>
      <w:r w:rsidRPr="001A01AB">
        <w:rPr>
          <w:rFonts w:ascii="Calibri" w:hAnsi="Calibri" w:cs="Calibri"/>
          <w:color w:val="auto"/>
          <w:lang w:val="es-GT"/>
        </w:rPr>
        <w:t>iii) para reducir la posibilidad de ocurrencia de conflictos locales asociados a la implementación de sistemas de riego, debe evaluarse previamente la aceptación social, el respeto de derechos existentes y la equidad de los beneficios a nivel comunitario. Es</w:t>
      </w:r>
      <w:r w:rsidR="000323DD">
        <w:rPr>
          <w:rFonts w:ascii="Calibri" w:hAnsi="Calibri" w:cs="Calibri"/>
          <w:color w:val="auto"/>
          <w:lang w:val="es-GT"/>
        </w:rPr>
        <w:t xml:space="preserve">to requiere </w:t>
      </w:r>
      <w:r w:rsidR="0086302C">
        <w:rPr>
          <w:rFonts w:ascii="Calibri" w:hAnsi="Calibri" w:cs="Calibri"/>
          <w:color w:val="auto"/>
          <w:lang w:val="es-GT"/>
        </w:rPr>
        <w:t xml:space="preserve">de </w:t>
      </w:r>
      <w:r w:rsidR="000323DD">
        <w:rPr>
          <w:rFonts w:ascii="Calibri" w:hAnsi="Calibri" w:cs="Calibri"/>
          <w:color w:val="auto"/>
          <w:lang w:val="es-GT"/>
        </w:rPr>
        <w:t>la promoción del diá</w:t>
      </w:r>
      <w:r w:rsidRPr="001A01AB">
        <w:rPr>
          <w:rFonts w:ascii="Calibri" w:hAnsi="Calibri" w:cs="Calibri"/>
          <w:color w:val="auto"/>
          <w:lang w:val="es-GT"/>
        </w:rPr>
        <w:t>logo comunitario, incluyendo a todos los actores involucrados.</w:t>
      </w:r>
    </w:p>
    <w:p w:rsidR="00E31B19" w:rsidRPr="001A01AB"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color w:val="auto"/>
          <w:lang w:val="es-GT"/>
        </w:rPr>
        <w:t>La realización de inversiones en otras infraestructuras productivas</w:t>
      </w:r>
      <w:r w:rsidR="0086302C">
        <w:rPr>
          <w:rFonts w:ascii="Calibri" w:hAnsi="Calibri" w:cs="Calibri"/>
          <w:color w:val="auto"/>
          <w:lang w:val="es-GT"/>
        </w:rPr>
        <w:t>,</w:t>
      </w:r>
      <w:r w:rsidRPr="001A01AB">
        <w:rPr>
          <w:rFonts w:ascii="Calibri" w:hAnsi="Calibri" w:cs="Calibri"/>
          <w:color w:val="auto"/>
          <w:lang w:val="es-GT"/>
        </w:rPr>
        <w:t xml:space="preserve"> como centros de acopio y pequeñas plantas de proceso primario</w:t>
      </w:r>
      <w:r w:rsidR="0086302C">
        <w:rPr>
          <w:rFonts w:ascii="Calibri" w:hAnsi="Calibri" w:cs="Calibri"/>
          <w:color w:val="auto"/>
          <w:lang w:val="es-GT"/>
        </w:rPr>
        <w:t>,</w:t>
      </w:r>
      <w:r w:rsidRPr="001A01AB">
        <w:rPr>
          <w:rFonts w:ascii="Calibri" w:hAnsi="Calibri" w:cs="Calibri"/>
          <w:color w:val="auto"/>
          <w:lang w:val="es-GT"/>
        </w:rPr>
        <w:t xml:space="preserve"> es una opción para aumentar la productividad agrícola y propiciar el suministro de bienes a los mercados. En el impulso de estas inversiones, FIDA debe tomar en cuenta las siguientes consideraciones: i) la generación de residuos sólidos y líquidos es una característica inherente a estas infraestructuras, que de no tratarse adecuadamente pueden causar la contaminación del agua y de los </w:t>
      </w:r>
      <w:r w:rsidR="0086302C">
        <w:rPr>
          <w:rFonts w:ascii="Calibri" w:hAnsi="Calibri" w:cs="Calibri"/>
          <w:color w:val="auto"/>
          <w:lang w:val="es-GT"/>
        </w:rPr>
        <w:t>suelos en las zonas periféricas. P</w:t>
      </w:r>
      <w:r w:rsidRPr="001A01AB">
        <w:rPr>
          <w:rFonts w:ascii="Calibri" w:hAnsi="Calibri" w:cs="Calibri"/>
          <w:color w:val="auto"/>
          <w:lang w:val="es-GT"/>
        </w:rPr>
        <w:t xml:space="preserve">or </w:t>
      </w:r>
      <w:r w:rsidR="0086302C">
        <w:rPr>
          <w:rFonts w:ascii="Calibri" w:hAnsi="Calibri" w:cs="Calibri"/>
          <w:color w:val="auto"/>
          <w:lang w:val="es-GT"/>
        </w:rPr>
        <w:t>ello,</w:t>
      </w:r>
      <w:r w:rsidRPr="001A01AB">
        <w:rPr>
          <w:rFonts w:ascii="Calibri" w:hAnsi="Calibri" w:cs="Calibri"/>
          <w:color w:val="auto"/>
          <w:lang w:val="es-GT"/>
        </w:rPr>
        <w:t xml:space="preserve"> el diseño de estas infraestructuras se debe incluir la construcción de obras para el tratamiento y manejo de los residuos producidos, con criterios que dependerán de la naturaleza y escala de cada proyecto; ii) se debe garantizar la adopción de buenas prácticas ambientales y de manufactura, como parte de las normas de operación de los procesos aso</w:t>
      </w:r>
      <w:r w:rsidR="0086302C">
        <w:rPr>
          <w:rFonts w:ascii="Calibri" w:hAnsi="Calibri" w:cs="Calibri"/>
          <w:color w:val="auto"/>
          <w:lang w:val="es-GT"/>
        </w:rPr>
        <w:t>ciados a estas infraestructuras.</w:t>
      </w:r>
      <w:r w:rsidRPr="001A01AB">
        <w:rPr>
          <w:rFonts w:ascii="Calibri" w:hAnsi="Calibri" w:cs="Calibri"/>
          <w:color w:val="auto"/>
          <w:lang w:val="es-GT"/>
        </w:rPr>
        <w:t xml:space="preserve"> </w:t>
      </w:r>
    </w:p>
    <w:p w:rsidR="00A47F8B" w:rsidRDefault="00E31B19" w:rsidP="00E7258A">
      <w:pPr>
        <w:pStyle w:val="Default"/>
        <w:numPr>
          <w:ilvl w:val="0"/>
          <w:numId w:val="4"/>
        </w:numPr>
        <w:spacing w:after="60"/>
        <w:jc w:val="both"/>
        <w:rPr>
          <w:rFonts w:ascii="Calibri" w:hAnsi="Calibri" w:cs="Calibri"/>
          <w:color w:val="auto"/>
          <w:lang w:val="es-GT"/>
        </w:rPr>
      </w:pPr>
      <w:r w:rsidRPr="001A01AB">
        <w:rPr>
          <w:rFonts w:ascii="Calibri" w:hAnsi="Calibri" w:cs="Calibri"/>
          <w:color w:val="auto"/>
          <w:lang w:val="es-GT"/>
        </w:rPr>
        <w:lastRenderedPageBreak/>
        <w:t>Los encadenamientos productivos agrí</w:t>
      </w:r>
      <w:r w:rsidR="0086302C">
        <w:rPr>
          <w:rFonts w:ascii="Calibri" w:hAnsi="Calibri" w:cs="Calibri"/>
          <w:color w:val="auto"/>
          <w:lang w:val="es-GT"/>
        </w:rPr>
        <w:t>colas son una opción que ha</w:t>
      </w:r>
      <w:r w:rsidRPr="001A01AB">
        <w:rPr>
          <w:rFonts w:ascii="Calibri" w:hAnsi="Calibri" w:cs="Calibri"/>
          <w:color w:val="auto"/>
          <w:lang w:val="es-GT"/>
        </w:rPr>
        <w:t xml:space="preserve"> demostrado tener potencial para mejorar las condiciones de ingreso/empleo de pequeños y medianos productores. Genera</w:t>
      </w:r>
      <w:r w:rsidR="0086302C">
        <w:rPr>
          <w:rFonts w:ascii="Calibri" w:hAnsi="Calibri" w:cs="Calibri"/>
          <w:color w:val="auto"/>
          <w:lang w:val="es-GT"/>
        </w:rPr>
        <w:t>lmente, los encadenamientos están</w:t>
      </w:r>
      <w:r w:rsidRPr="001A01AB">
        <w:rPr>
          <w:rFonts w:ascii="Calibri" w:hAnsi="Calibri" w:cs="Calibri"/>
          <w:color w:val="auto"/>
          <w:lang w:val="es-GT"/>
        </w:rPr>
        <w:t xml:space="preserve"> asociados con la promoción de cultivos de exportación, lo que usualmente requiere de la utilización de paquetes tecnológicos que incluyen el uso de agroquímicos.</w:t>
      </w:r>
      <w:r w:rsidR="00141A70">
        <w:rPr>
          <w:rFonts w:ascii="Calibri" w:hAnsi="Calibri" w:cs="Calibri"/>
          <w:color w:val="auto"/>
          <w:lang w:val="es-GT"/>
        </w:rPr>
        <w:t xml:space="preserve"> </w:t>
      </w:r>
      <w:r w:rsidRPr="001A01AB">
        <w:rPr>
          <w:rFonts w:ascii="Calibri" w:hAnsi="Calibri" w:cs="Calibri"/>
          <w:color w:val="auto"/>
          <w:lang w:val="es-GT"/>
        </w:rPr>
        <w:t>El mal empleo de estos productos conlleva riesgos como: i) riesgos al personal involucrado en el manej</w:t>
      </w:r>
      <w:r w:rsidR="0086302C">
        <w:rPr>
          <w:rFonts w:ascii="Calibri" w:hAnsi="Calibri" w:cs="Calibri"/>
          <w:color w:val="auto"/>
          <w:lang w:val="es-GT"/>
        </w:rPr>
        <w:t>o y aplicación de los productos;</w:t>
      </w:r>
      <w:r w:rsidRPr="001A01AB">
        <w:rPr>
          <w:rFonts w:ascii="Calibri" w:hAnsi="Calibri" w:cs="Calibri"/>
          <w:color w:val="auto"/>
          <w:lang w:val="es-GT"/>
        </w:rPr>
        <w:t xml:space="preserve"> ii) residuos en las cosechas que exceden los límites permisibles, con el consiguiente riesgo a los consumidores de los productos; iii) la posible contaminación del agua y de los suelos</w:t>
      </w:r>
      <w:r w:rsidR="00141A70">
        <w:rPr>
          <w:rFonts w:ascii="Calibri" w:hAnsi="Calibri" w:cs="Calibri"/>
          <w:color w:val="auto"/>
          <w:lang w:val="es-GT"/>
        </w:rPr>
        <w:t xml:space="preserve"> </w:t>
      </w:r>
      <w:r w:rsidRPr="001A01AB">
        <w:rPr>
          <w:rFonts w:ascii="Calibri" w:hAnsi="Calibri" w:cs="Calibri"/>
          <w:color w:val="auto"/>
          <w:lang w:val="es-GT"/>
        </w:rPr>
        <w:t>derivada del uso de agroquímicos.</w:t>
      </w:r>
      <w:r w:rsidR="00141A70">
        <w:rPr>
          <w:rFonts w:ascii="Calibri" w:hAnsi="Calibri" w:cs="Calibri"/>
          <w:color w:val="auto"/>
          <w:lang w:val="es-GT"/>
        </w:rPr>
        <w:t xml:space="preserve"> </w:t>
      </w:r>
    </w:p>
    <w:p w:rsidR="00E31B19" w:rsidRPr="001A01AB" w:rsidRDefault="00E31B19" w:rsidP="00A47F8B">
      <w:pPr>
        <w:pStyle w:val="Default"/>
        <w:spacing w:after="60"/>
        <w:ind w:left="360"/>
        <w:jc w:val="both"/>
        <w:rPr>
          <w:rFonts w:ascii="Calibri" w:hAnsi="Calibri" w:cs="Calibri"/>
          <w:color w:val="auto"/>
          <w:lang w:val="es-GT"/>
        </w:rPr>
      </w:pPr>
      <w:r w:rsidRPr="001A01AB">
        <w:rPr>
          <w:rFonts w:ascii="Calibri" w:hAnsi="Calibri" w:cs="Calibri"/>
          <w:color w:val="auto"/>
          <w:lang w:val="es-GT"/>
        </w:rPr>
        <w:t xml:space="preserve">Para reducir el riesgo de producir impactos negativos sobre la salud y el ambiente, FIDA debe promover la implementación de las siguientes medidas: i) garantizar la adopción de buenas prácticas agrícolas; ii) fomentar la producción agrícola </w:t>
      </w:r>
      <w:r w:rsidR="00A47F8B">
        <w:rPr>
          <w:rFonts w:ascii="Calibri" w:hAnsi="Calibri" w:cs="Calibri"/>
          <w:color w:val="auto"/>
          <w:lang w:val="es-GT"/>
        </w:rPr>
        <w:t>de baja demanda de agroquímicos; y</w:t>
      </w:r>
      <w:r w:rsidRPr="001A01AB">
        <w:rPr>
          <w:rFonts w:ascii="Calibri" w:hAnsi="Calibri" w:cs="Calibri"/>
          <w:color w:val="auto"/>
          <w:lang w:val="es-GT"/>
        </w:rPr>
        <w:t xml:space="preserve"> iii) promover el uso de esquemas de certificación amigables con el ambiente, como una forma de diversificar y ampliar el acceso a mercados de alto valor, así como el cumplimiento de protocolos de producción ambientalmente sostenible.</w:t>
      </w:r>
    </w:p>
    <w:p w:rsidR="00016E8A" w:rsidRPr="001A01AB" w:rsidRDefault="00016E8A" w:rsidP="00E7258A">
      <w:pPr>
        <w:pStyle w:val="Default"/>
        <w:numPr>
          <w:ilvl w:val="0"/>
          <w:numId w:val="4"/>
        </w:numPr>
        <w:spacing w:after="60"/>
        <w:jc w:val="both"/>
        <w:rPr>
          <w:rFonts w:ascii="Calibri" w:hAnsi="Calibri" w:cs="Calibri"/>
          <w:color w:val="auto"/>
          <w:lang w:val="es-GT"/>
        </w:rPr>
      </w:pPr>
      <w:r w:rsidRPr="001A01AB">
        <w:rPr>
          <w:rFonts w:ascii="Calibri" w:hAnsi="Calibri" w:cs="Calibri"/>
          <w:color w:val="auto"/>
          <w:lang w:val="es-GT"/>
        </w:rPr>
        <w:t xml:space="preserve">Las </w:t>
      </w:r>
      <w:r w:rsidRPr="001A01AB">
        <w:rPr>
          <w:rFonts w:ascii="Calibri" w:hAnsi="Calibri" w:cs="Calibri"/>
          <w:lang w:val="es-GT"/>
        </w:rPr>
        <w:t>acciones de asistencia técnica y extensión agrícola dirigida a los pequeños y medianos productores agrícolas fueron disminuidas desde los años 1990. A partir de esta fecha, se ha hecho evidente la necesidad de favorecer y mejorar la capacidad de los productores agropecuarios del país. Recientemente</w:t>
      </w:r>
      <w:r w:rsidR="00A47F8B">
        <w:rPr>
          <w:rFonts w:ascii="Calibri" w:hAnsi="Calibri" w:cs="Calibri"/>
          <w:lang w:val="es-GT"/>
        </w:rPr>
        <w:t>, el MAGA lanzó</w:t>
      </w:r>
      <w:r w:rsidRPr="001A01AB">
        <w:rPr>
          <w:rFonts w:ascii="Calibri" w:hAnsi="Calibri" w:cs="Calibri"/>
          <w:lang w:val="es-GT"/>
        </w:rPr>
        <w:t xml:space="preserve"> el Programa de Extensión Agrícola, cuyo objetivo es contribuir a mejorar esta debilidad. Aunque el lanzamiento es reciente, la capacidad de atender a la población demandante es aun limitada. FIDA debe considerar que en todas las ac</w:t>
      </w:r>
      <w:r w:rsidR="00A47F8B">
        <w:rPr>
          <w:rFonts w:ascii="Calibri" w:hAnsi="Calibri" w:cs="Calibri"/>
          <w:lang w:val="es-GT"/>
        </w:rPr>
        <w:t>tividades</w:t>
      </w:r>
      <w:r w:rsidRPr="001A01AB">
        <w:rPr>
          <w:rFonts w:ascii="Calibri" w:hAnsi="Calibri" w:cs="Calibri"/>
          <w:lang w:val="es-GT"/>
        </w:rPr>
        <w:t xml:space="preserve"> que promueva, debe incorporar acciones de asistencia técnica y extensión agrícola dirigida</w:t>
      </w:r>
      <w:r w:rsidR="00A47F8B">
        <w:rPr>
          <w:rFonts w:ascii="Calibri" w:hAnsi="Calibri" w:cs="Calibri"/>
          <w:lang w:val="es-GT"/>
        </w:rPr>
        <w:t>s</w:t>
      </w:r>
      <w:r w:rsidRPr="001A01AB">
        <w:rPr>
          <w:rFonts w:ascii="Calibri" w:hAnsi="Calibri" w:cs="Calibri"/>
          <w:lang w:val="es-GT"/>
        </w:rPr>
        <w:t xml:space="preserve"> a mejorar los conocimientos y la capacidad productiva de los pequeños productores rurales, principalmente de paquetes y prácticas de manejo adaptadas a las nuevas condiciones climáticas. Estas acciones deben considerar: i) promover capacitación bajo esquemas </w:t>
      </w:r>
      <w:r w:rsidR="00A47F8B">
        <w:rPr>
          <w:rFonts w:ascii="Calibri" w:hAnsi="Calibri" w:cs="Calibri"/>
          <w:lang w:val="es-GT"/>
        </w:rPr>
        <w:t xml:space="preserve">de </w:t>
      </w:r>
      <w:r w:rsidRPr="001A01AB">
        <w:rPr>
          <w:rFonts w:ascii="Calibri" w:hAnsi="Calibri" w:cs="Calibri"/>
          <w:lang w:val="es-GT"/>
        </w:rPr>
        <w:t>“aprender haciendo”</w:t>
      </w:r>
      <w:r w:rsidR="00A47F8B">
        <w:rPr>
          <w:rFonts w:ascii="Calibri" w:hAnsi="Calibri" w:cs="Calibri"/>
          <w:lang w:val="es-GT"/>
        </w:rPr>
        <w:t>,</w:t>
      </w:r>
      <w:r w:rsidRPr="001A01AB">
        <w:rPr>
          <w:rFonts w:ascii="Calibri" w:hAnsi="Calibri" w:cs="Calibri"/>
          <w:lang w:val="es-GT"/>
        </w:rPr>
        <w:t xml:space="preserve"> que garantice la plena transmisión de conocimientos a los productores; ii) establecer parcelas demostrativas a nivel local, que sirvan de ejemplo y de mecanismo de transmisión de nuevos paquetes tecnológicos a las comunidades; </w:t>
      </w:r>
      <w:r w:rsidR="00A47F8B">
        <w:rPr>
          <w:rFonts w:ascii="Calibri" w:hAnsi="Calibri" w:cs="Calibri"/>
          <w:lang w:val="es-GT"/>
        </w:rPr>
        <w:t xml:space="preserve">y </w:t>
      </w:r>
      <w:r w:rsidRPr="001A01AB">
        <w:rPr>
          <w:rFonts w:ascii="Calibri" w:hAnsi="Calibri" w:cs="Calibri"/>
          <w:lang w:val="es-GT"/>
        </w:rPr>
        <w:t>iii) establecer mecanismos de capacitación básica, adaptadas a las condiciones de los productores, preferentemente en los idiomas locales.</w:t>
      </w:r>
    </w:p>
    <w:p w:rsidR="00E31B19" w:rsidRPr="001A01AB" w:rsidRDefault="00E31B19" w:rsidP="00E31B19">
      <w:pPr>
        <w:jc w:val="both"/>
        <w:rPr>
          <w:rFonts w:ascii="Calibri" w:hAnsi="Calibri" w:cs="Calibri"/>
          <w:lang w:val="es-GT"/>
        </w:rPr>
      </w:pPr>
    </w:p>
    <w:p w:rsidR="00E31B19" w:rsidRPr="001A01AB" w:rsidRDefault="00E31B19" w:rsidP="004E2482">
      <w:pPr>
        <w:pStyle w:val="Prrafodelista"/>
        <w:numPr>
          <w:ilvl w:val="2"/>
          <w:numId w:val="55"/>
        </w:numPr>
        <w:spacing w:after="120"/>
        <w:jc w:val="both"/>
        <w:rPr>
          <w:rFonts w:cs="Calibri"/>
          <w:b/>
          <w:i/>
          <w:color w:val="365F91"/>
          <w:sz w:val="24"/>
          <w:szCs w:val="24"/>
        </w:rPr>
      </w:pPr>
      <w:r w:rsidRPr="001A01AB">
        <w:rPr>
          <w:rFonts w:cs="Calibri"/>
          <w:b/>
          <w:i/>
          <w:color w:val="365F91"/>
          <w:sz w:val="24"/>
          <w:szCs w:val="24"/>
        </w:rPr>
        <w:t>Vulnerabilidad sistémica y cambio climático</w:t>
      </w:r>
    </w:p>
    <w:p w:rsidR="00E31B19" w:rsidRPr="001A01AB" w:rsidRDefault="00E31B19" w:rsidP="00E31B19">
      <w:pPr>
        <w:jc w:val="both"/>
        <w:rPr>
          <w:rFonts w:ascii="Calibri" w:hAnsi="Calibri" w:cs="Calibri"/>
          <w:lang w:val="es-GT"/>
        </w:rPr>
      </w:pPr>
    </w:p>
    <w:p w:rsidR="00E31B19" w:rsidRPr="001A01AB" w:rsidRDefault="00E31B19" w:rsidP="00E31B19">
      <w:pPr>
        <w:jc w:val="both"/>
        <w:rPr>
          <w:rFonts w:ascii="Calibri" w:hAnsi="Calibri" w:cs="Calibri"/>
          <w:lang w:val="es-GT"/>
        </w:rPr>
      </w:pPr>
      <w:r w:rsidRPr="001A01AB">
        <w:rPr>
          <w:rFonts w:ascii="Calibri" w:hAnsi="Calibri" w:cs="Calibri"/>
          <w:lang w:val="es-GT"/>
        </w:rPr>
        <w:t>La reducción de la vulnerabilidad sistémica es un tema transversal al desarrollo rural integral y se en</w:t>
      </w:r>
      <w:r w:rsidR="00A47F8B">
        <w:rPr>
          <w:rFonts w:ascii="Calibri" w:hAnsi="Calibri" w:cs="Calibri"/>
          <w:lang w:val="es-GT"/>
        </w:rPr>
        <w:t>cuentra directamente relacionada</w:t>
      </w:r>
      <w:r w:rsidRPr="001A01AB">
        <w:rPr>
          <w:rFonts w:ascii="Calibri" w:hAnsi="Calibri" w:cs="Calibri"/>
          <w:lang w:val="es-GT"/>
        </w:rPr>
        <w:t xml:space="preserve"> con el concepto de las reservas ambientales como base para manejar la vulnerabilidad nacional.</w:t>
      </w:r>
      <w:r w:rsidR="00141A70">
        <w:rPr>
          <w:rFonts w:ascii="Calibri" w:hAnsi="Calibri" w:cs="Calibri"/>
          <w:lang w:val="es-GT"/>
        </w:rPr>
        <w:t xml:space="preserve"> </w:t>
      </w:r>
      <w:r w:rsidRPr="001A01AB">
        <w:rPr>
          <w:rFonts w:ascii="Calibri" w:hAnsi="Calibri" w:cs="Calibri"/>
          <w:lang w:val="es-GT"/>
        </w:rPr>
        <w:t xml:space="preserve">En este sentido, la mayor parte de las directrices de sostenibilidad propuestas en los párrafos anteriores, representan, a su vez, una contribución a la </w:t>
      </w:r>
      <w:r w:rsidR="00A47F8B">
        <w:rPr>
          <w:rFonts w:ascii="Calibri" w:hAnsi="Calibri" w:cs="Calibri"/>
          <w:lang w:val="es-GT"/>
        </w:rPr>
        <w:t>disminución</w:t>
      </w:r>
      <w:r w:rsidRPr="001A01AB">
        <w:rPr>
          <w:rFonts w:ascii="Calibri" w:hAnsi="Calibri" w:cs="Calibri"/>
          <w:lang w:val="es-GT"/>
        </w:rPr>
        <w:t xml:space="preserve"> de las distintas dimensiones o componentes de la vulnerabilidad sistémica: natural, social, económica e institucional. </w:t>
      </w:r>
      <w:r w:rsidR="00A47F8B">
        <w:rPr>
          <w:rFonts w:ascii="Calibri" w:hAnsi="Calibri" w:cs="Calibri"/>
          <w:lang w:val="es-GT"/>
        </w:rPr>
        <w:t xml:space="preserve"> </w:t>
      </w:r>
    </w:p>
    <w:p w:rsidR="00E31B19" w:rsidRPr="001A01AB" w:rsidRDefault="00E31B19" w:rsidP="00E31B19">
      <w:pPr>
        <w:jc w:val="both"/>
        <w:rPr>
          <w:rFonts w:ascii="Calibri" w:hAnsi="Calibri" w:cs="Calibri"/>
          <w:lang w:val="es-GT"/>
        </w:rPr>
      </w:pPr>
    </w:p>
    <w:p w:rsidR="00E31B19" w:rsidRPr="001A01AB" w:rsidRDefault="00E31B19" w:rsidP="00E31B19">
      <w:pPr>
        <w:jc w:val="both"/>
        <w:rPr>
          <w:rFonts w:ascii="Calibri" w:hAnsi="Calibri" w:cs="Calibri"/>
          <w:lang w:val="es-GT"/>
        </w:rPr>
      </w:pPr>
      <w:r w:rsidRPr="001A01AB">
        <w:rPr>
          <w:rFonts w:ascii="Calibri" w:hAnsi="Calibri" w:cs="Calibri"/>
          <w:lang w:val="es-GT"/>
        </w:rPr>
        <w:t xml:space="preserve">No obstante, </w:t>
      </w:r>
      <w:r w:rsidR="00A47F8B" w:rsidRPr="001A01AB">
        <w:rPr>
          <w:rFonts w:ascii="Calibri" w:hAnsi="Calibri" w:cs="Calibri"/>
          <w:lang w:val="es-GT"/>
        </w:rPr>
        <w:t xml:space="preserve">a continuación </w:t>
      </w:r>
      <w:r w:rsidRPr="001A01AB">
        <w:rPr>
          <w:rFonts w:ascii="Calibri" w:hAnsi="Calibri" w:cs="Calibri"/>
          <w:lang w:val="es-GT"/>
        </w:rPr>
        <w:t xml:space="preserve">se propone el abordaje de ciertos temas que se consideran clave </w:t>
      </w:r>
      <w:r w:rsidR="00A47F8B">
        <w:rPr>
          <w:rFonts w:ascii="Calibri" w:hAnsi="Calibri" w:cs="Calibri"/>
          <w:lang w:val="es-GT"/>
        </w:rPr>
        <w:t>para</w:t>
      </w:r>
      <w:r w:rsidRPr="001A01AB">
        <w:rPr>
          <w:rFonts w:ascii="Calibri" w:hAnsi="Calibri" w:cs="Calibri"/>
          <w:lang w:val="es-GT"/>
        </w:rPr>
        <w:t xml:space="preserve"> la reducción de la vulnerabilidad, con enfoque de sostenibilidad en el marco del desarrollo </w:t>
      </w:r>
      <w:r w:rsidR="00A47F8B">
        <w:rPr>
          <w:rFonts w:ascii="Calibri" w:hAnsi="Calibri" w:cs="Calibri"/>
          <w:lang w:val="es-GT"/>
        </w:rPr>
        <w:lastRenderedPageBreak/>
        <w:t>rural. Con ello se espera</w:t>
      </w:r>
      <w:r w:rsidRPr="001A01AB">
        <w:rPr>
          <w:rFonts w:ascii="Calibri" w:hAnsi="Calibri" w:cs="Calibri"/>
          <w:lang w:val="es-GT"/>
        </w:rPr>
        <w:t xml:space="preserve"> contribuir a reducir los riesgos relacionados con los cambios en el clima global que generan eventos adversos como las inundaciones, sequías y heladas, que pueden traducirse en crisis alimentarias debido a la disminución de la producción agrícola y el agotamiento de las reservas de alimentos en los hogares rurales.</w:t>
      </w:r>
    </w:p>
    <w:p w:rsidR="00E31B19" w:rsidRPr="001A01AB" w:rsidRDefault="00E31B19" w:rsidP="00E31B19">
      <w:pPr>
        <w:jc w:val="both"/>
        <w:rPr>
          <w:rFonts w:ascii="Calibri" w:hAnsi="Calibri" w:cs="Calibri"/>
          <w:lang w:val="es-GT"/>
        </w:rPr>
      </w:pPr>
    </w:p>
    <w:p w:rsidR="00E31B19" w:rsidRPr="001A01AB" w:rsidRDefault="00E31B19" w:rsidP="00E7258A">
      <w:pPr>
        <w:pStyle w:val="Default"/>
        <w:numPr>
          <w:ilvl w:val="0"/>
          <w:numId w:val="4"/>
        </w:numPr>
        <w:jc w:val="both"/>
        <w:rPr>
          <w:rFonts w:ascii="Calibri" w:hAnsi="Calibri" w:cs="Calibri"/>
          <w:color w:val="auto"/>
          <w:lang w:val="es-GT"/>
        </w:rPr>
      </w:pPr>
      <w:r w:rsidRPr="001A01AB">
        <w:rPr>
          <w:rFonts w:ascii="Calibri" w:hAnsi="Calibri" w:cs="Calibri"/>
          <w:color w:val="auto"/>
          <w:lang w:val="es-GT"/>
        </w:rPr>
        <w:t>Los sistemas de alerta temprana enfocados en la reducción de las pérdidas humanas y materiales y en aumentar la resiliencia de los sistemas de producción y los medios de vida rurales son considerados como una opción viable para reducir la vulnerabilidad sistémica. Los sistemas de alerta temprana dependen, en buena medida, de la disponibilidad de información climática, a escala local y en tiempo real.</w:t>
      </w:r>
      <w:r w:rsidR="00141A70">
        <w:rPr>
          <w:rFonts w:ascii="Calibri" w:hAnsi="Calibri" w:cs="Calibri"/>
          <w:color w:val="auto"/>
          <w:lang w:val="es-GT"/>
        </w:rPr>
        <w:t xml:space="preserve"> </w:t>
      </w:r>
      <w:r w:rsidRPr="001A01AB">
        <w:rPr>
          <w:rFonts w:ascii="Calibri" w:hAnsi="Calibri" w:cs="Calibri"/>
          <w:color w:val="auto"/>
          <w:lang w:val="es-GT"/>
        </w:rPr>
        <w:t xml:space="preserve">En Guatemala, la generación de información </w:t>
      </w:r>
      <w:r w:rsidR="008E0AD5">
        <w:rPr>
          <w:rFonts w:ascii="Calibri" w:hAnsi="Calibri" w:cs="Calibri"/>
          <w:color w:val="auto"/>
          <w:lang w:val="es-GT"/>
        </w:rPr>
        <w:t>sobre</w:t>
      </w:r>
      <w:r w:rsidRPr="001A01AB">
        <w:rPr>
          <w:rFonts w:ascii="Calibri" w:hAnsi="Calibri" w:cs="Calibri"/>
          <w:color w:val="auto"/>
          <w:lang w:val="es-GT"/>
        </w:rPr>
        <w:t xml:space="preserve"> monitoreo climático, abordada principalmente por entidades de gobi</w:t>
      </w:r>
      <w:r w:rsidR="008E0AD5">
        <w:rPr>
          <w:rFonts w:ascii="Calibri" w:hAnsi="Calibri" w:cs="Calibri"/>
          <w:color w:val="auto"/>
          <w:lang w:val="es-GT"/>
        </w:rPr>
        <w:t>erno</w:t>
      </w:r>
      <w:r w:rsidRPr="001A01AB">
        <w:rPr>
          <w:rFonts w:ascii="Calibri" w:hAnsi="Calibri" w:cs="Calibri"/>
          <w:color w:val="auto"/>
          <w:lang w:val="es-GT"/>
        </w:rPr>
        <w:t xml:space="preserve"> y de los sectores privado y académico</w:t>
      </w:r>
      <w:r w:rsidR="008E0AD5">
        <w:rPr>
          <w:rFonts w:ascii="Calibri" w:hAnsi="Calibri" w:cs="Calibri"/>
          <w:color w:val="auto"/>
          <w:lang w:val="es-GT"/>
        </w:rPr>
        <w:t>,</w:t>
      </w:r>
      <w:r w:rsidRPr="001A01AB">
        <w:rPr>
          <w:rFonts w:ascii="Calibri" w:hAnsi="Calibri" w:cs="Calibri"/>
          <w:color w:val="auto"/>
          <w:lang w:val="es-GT"/>
        </w:rPr>
        <w:t xml:space="preserve"> es aun sumamente escasa. </w:t>
      </w:r>
      <w:r w:rsidR="008E0AD5">
        <w:rPr>
          <w:rFonts w:ascii="Calibri" w:hAnsi="Calibri" w:cs="Calibri"/>
          <w:color w:val="auto"/>
          <w:lang w:val="es-GT"/>
        </w:rPr>
        <w:t>Esto</w:t>
      </w:r>
      <w:r w:rsidRPr="001A01AB">
        <w:rPr>
          <w:rFonts w:ascii="Calibri" w:hAnsi="Calibri" w:cs="Calibri"/>
          <w:color w:val="auto"/>
          <w:lang w:val="es-GT"/>
        </w:rPr>
        <w:t xml:space="preserve"> limita significativamente la capacidad de implementar sistemas de alerta temprana </w:t>
      </w:r>
      <w:r w:rsidR="008E0AD5">
        <w:rPr>
          <w:rFonts w:ascii="Calibri" w:hAnsi="Calibri" w:cs="Calibri"/>
          <w:color w:val="auto"/>
          <w:lang w:val="es-GT"/>
        </w:rPr>
        <w:t>ante</w:t>
      </w:r>
      <w:r w:rsidRPr="001A01AB">
        <w:rPr>
          <w:rFonts w:ascii="Calibri" w:hAnsi="Calibri" w:cs="Calibri"/>
          <w:color w:val="auto"/>
          <w:lang w:val="es-GT"/>
        </w:rPr>
        <w:t xml:space="preserve"> eventos climáticos extremos</w:t>
      </w:r>
      <w:r w:rsidR="008E0AD5">
        <w:rPr>
          <w:rFonts w:ascii="Calibri" w:hAnsi="Calibri" w:cs="Calibri"/>
          <w:color w:val="auto"/>
          <w:lang w:val="es-GT"/>
        </w:rPr>
        <w:t xml:space="preserve"> o</w:t>
      </w:r>
      <w:r w:rsidRPr="001A01AB">
        <w:rPr>
          <w:rFonts w:ascii="Calibri" w:hAnsi="Calibri" w:cs="Calibri"/>
          <w:color w:val="auto"/>
          <w:lang w:val="es-GT"/>
        </w:rPr>
        <w:t xml:space="preserve"> </w:t>
      </w:r>
      <w:r w:rsidR="008E0AD5">
        <w:rPr>
          <w:rFonts w:ascii="Calibri" w:hAnsi="Calibri" w:cs="Calibri"/>
          <w:color w:val="auto"/>
          <w:lang w:val="es-GT"/>
        </w:rPr>
        <w:t xml:space="preserve">de </w:t>
      </w:r>
      <w:r w:rsidRPr="001A01AB">
        <w:rPr>
          <w:rFonts w:ascii="Calibri" w:hAnsi="Calibri" w:cs="Calibri"/>
          <w:color w:val="auto"/>
          <w:lang w:val="es-GT"/>
        </w:rPr>
        <w:t xml:space="preserve">inseguridad alimentaria, basados principalmente en el pronóstico de cosechas a nivel local. En este contexto, FIDA podría implementar una iniciativa para impulsar la generación de información </w:t>
      </w:r>
      <w:r w:rsidR="008E0AD5">
        <w:rPr>
          <w:rFonts w:ascii="Calibri" w:hAnsi="Calibri" w:cs="Calibri"/>
          <w:color w:val="auto"/>
          <w:lang w:val="es-GT"/>
        </w:rPr>
        <w:t>sobre</w:t>
      </w:r>
      <w:r w:rsidRPr="001A01AB">
        <w:rPr>
          <w:rFonts w:ascii="Calibri" w:hAnsi="Calibri" w:cs="Calibri"/>
          <w:color w:val="auto"/>
          <w:lang w:val="es-GT"/>
        </w:rPr>
        <w:t xml:space="preserve"> monitoreo climático a nivel local, que permita generar, a largo plazo y en tiempo real, datos específicos </w:t>
      </w:r>
      <w:r w:rsidR="008E0AD5">
        <w:rPr>
          <w:rFonts w:ascii="Calibri" w:hAnsi="Calibri" w:cs="Calibri"/>
          <w:color w:val="auto"/>
          <w:lang w:val="es-GT"/>
        </w:rPr>
        <w:t>sobre</w:t>
      </w:r>
      <w:r w:rsidRPr="001A01AB">
        <w:rPr>
          <w:rFonts w:ascii="Calibri" w:hAnsi="Calibri" w:cs="Calibri"/>
          <w:color w:val="auto"/>
          <w:lang w:val="es-GT"/>
        </w:rPr>
        <w:t xml:space="preserve"> monitoreo climático, que constituyan la base para la implementación de los referidos sistemas de alerta temprana a niveles local y municipal.</w:t>
      </w:r>
    </w:p>
    <w:p w:rsidR="00E31B19" w:rsidRPr="001A01AB" w:rsidRDefault="00E31B19" w:rsidP="00E31B19">
      <w:pPr>
        <w:pStyle w:val="Default"/>
        <w:ind w:left="360"/>
        <w:jc w:val="both"/>
        <w:rPr>
          <w:rFonts w:ascii="Calibri" w:hAnsi="Calibri" w:cs="Calibri"/>
          <w:color w:val="auto"/>
          <w:lang w:val="es-GT"/>
        </w:rPr>
      </w:pPr>
    </w:p>
    <w:p w:rsidR="00E31B19" w:rsidRPr="001A01AB" w:rsidRDefault="00E31B19" w:rsidP="00E7258A">
      <w:pPr>
        <w:pStyle w:val="Default"/>
        <w:numPr>
          <w:ilvl w:val="0"/>
          <w:numId w:val="4"/>
        </w:numPr>
        <w:jc w:val="both"/>
        <w:rPr>
          <w:rFonts w:ascii="Calibri" w:hAnsi="Calibri" w:cs="Calibri"/>
          <w:color w:val="auto"/>
          <w:lang w:val="es-GT"/>
        </w:rPr>
      </w:pPr>
      <w:r w:rsidRPr="001A01AB">
        <w:rPr>
          <w:rFonts w:ascii="Calibri" w:hAnsi="Calibri" w:cs="Calibri"/>
          <w:color w:val="auto"/>
          <w:lang w:val="es-GT"/>
        </w:rPr>
        <w:t>La gestión de riesgo a nivel local es un tema poco abordado en Guatemala.</w:t>
      </w:r>
      <w:r w:rsidR="00141A70">
        <w:rPr>
          <w:rFonts w:ascii="Calibri" w:hAnsi="Calibri" w:cs="Calibri"/>
          <w:color w:val="auto"/>
          <w:lang w:val="es-GT"/>
        </w:rPr>
        <w:t xml:space="preserve"> </w:t>
      </w:r>
      <w:r w:rsidRPr="001A01AB">
        <w:rPr>
          <w:rFonts w:ascii="Calibri" w:hAnsi="Calibri" w:cs="Calibri"/>
          <w:color w:val="auto"/>
          <w:lang w:val="es-GT"/>
        </w:rPr>
        <w:t>L</w:t>
      </w:r>
      <w:r w:rsidR="00324FAA">
        <w:rPr>
          <w:rFonts w:ascii="Calibri" w:hAnsi="Calibri" w:cs="Calibri"/>
          <w:color w:val="auto"/>
          <w:lang w:val="es-GT"/>
        </w:rPr>
        <w:t xml:space="preserve">os </w:t>
      </w:r>
      <w:r w:rsidRPr="001A01AB">
        <w:rPr>
          <w:rFonts w:ascii="Calibri" w:hAnsi="Calibri" w:cs="Calibri"/>
          <w:color w:val="auto"/>
          <w:lang w:val="es-GT"/>
        </w:rPr>
        <w:t>planes de gestión de riesgo a nivel local son una herramienta utilizada globalmente para reducir los riesgos específicos que enfrenta un sistema</w:t>
      </w:r>
      <w:r w:rsidR="00324FAA">
        <w:rPr>
          <w:rFonts w:ascii="Calibri" w:hAnsi="Calibri" w:cs="Calibri"/>
          <w:color w:val="auto"/>
          <w:lang w:val="es-GT"/>
        </w:rPr>
        <w:t xml:space="preserve">; y se </w:t>
      </w:r>
      <w:r w:rsidRPr="001A01AB">
        <w:rPr>
          <w:rFonts w:ascii="Calibri" w:hAnsi="Calibri" w:cs="Calibri"/>
          <w:color w:val="auto"/>
          <w:lang w:val="es-GT"/>
        </w:rPr>
        <w:t xml:space="preserve">basan en la caracterización local y específica de los componentes del riesgo: las amenazas existentes y las condiciones de vulnerabilidad. Esta caracterización local, permite a su vez, la identificación de acciones de mitigación de riesgo específicas para el sistema en cuestión, haciendo que este instrumento sea </w:t>
      </w:r>
      <w:r w:rsidR="007C3972" w:rsidRPr="001A01AB">
        <w:rPr>
          <w:rFonts w:ascii="Calibri" w:hAnsi="Calibri" w:cs="Calibri"/>
          <w:color w:val="auto"/>
          <w:lang w:val="es-GT"/>
        </w:rPr>
        <w:t>más</w:t>
      </w:r>
      <w:r w:rsidRPr="001A01AB">
        <w:rPr>
          <w:rFonts w:ascii="Calibri" w:hAnsi="Calibri" w:cs="Calibri"/>
          <w:color w:val="auto"/>
          <w:lang w:val="es-GT"/>
        </w:rPr>
        <w:t xml:space="preserve"> efectivo que los planes a nivel regional o nacional, que tienden a ser demasiado generales. Dentro de este marco, se considera que un aporte importante que FIDA podría implementar para la reducción de la vulnerabilidad, y por ende, del riesgo, consiste en la formulación de planes locales de gestión de riesgo. Estos planes deberían ser implementado</w:t>
      </w:r>
      <w:r w:rsidR="00324FAA">
        <w:rPr>
          <w:rFonts w:ascii="Calibri" w:hAnsi="Calibri" w:cs="Calibri"/>
          <w:color w:val="auto"/>
          <w:lang w:val="es-GT"/>
        </w:rPr>
        <w:t>s</w:t>
      </w:r>
      <w:r w:rsidRPr="001A01AB">
        <w:rPr>
          <w:rFonts w:ascii="Calibri" w:hAnsi="Calibri" w:cs="Calibri"/>
          <w:color w:val="auto"/>
          <w:lang w:val="es-GT"/>
        </w:rPr>
        <w:t xml:space="preserve"> con los grupos de productores beneficia</w:t>
      </w:r>
      <w:r w:rsidR="00324FAA">
        <w:rPr>
          <w:rFonts w:ascii="Calibri" w:hAnsi="Calibri" w:cs="Calibri"/>
          <w:color w:val="auto"/>
          <w:lang w:val="es-GT"/>
        </w:rPr>
        <w:t>d</w:t>
      </w:r>
      <w:r w:rsidRPr="001A01AB">
        <w:rPr>
          <w:rFonts w:ascii="Calibri" w:hAnsi="Calibri" w:cs="Calibri"/>
          <w:color w:val="auto"/>
          <w:lang w:val="es-GT"/>
        </w:rPr>
        <w:t xml:space="preserve">os </w:t>
      </w:r>
      <w:r w:rsidR="00324FAA">
        <w:rPr>
          <w:rFonts w:ascii="Calibri" w:hAnsi="Calibri" w:cs="Calibri"/>
          <w:color w:val="auto"/>
          <w:lang w:val="es-GT"/>
        </w:rPr>
        <w:t xml:space="preserve">por </w:t>
      </w:r>
      <w:r w:rsidRPr="001A01AB">
        <w:rPr>
          <w:rFonts w:ascii="Calibri" w:hAnsi="Calibri" w:cs="Calibri"/>
          <w:color w:val="auto"/>
          <w:lang w:val="es-GT"/>
        </w:rPr>
        <w:t>los programas de FIDA.</w:t>
      </w:r>
      <w:r w:rsidR="00141A70">
        <w:rPr>
          <w:rFonts w:ascii="Calibri" w:hAnsi="Calibri" w:cs="Calibri"/>
          <w:color w:val="auto"/>
          <w:lang w:val="es-GT"/>
        </w:rPr>
        <w:t xml:space="preserve"> </w:t>
      </w:r>
      <w:r w:rsidRPr="001A01AB">
        <w:rPr>
          <w:rFonts w:ascii="Calibri" w:hAnsi="Calibri" w:cs="Calibri"/>
          <w:color w:val="auto"/>
          <w:lang w:val="es-GT"/>
        </w:rPr>
        <w:t>En la formulación de estos planes se debe considerar con especial énfasis, las amenazas y las condiciones de vulnerabilidad de los sistemas productivos y los medios de vida de estos grupos, como base para la identificación de medidas viables para la reducción de su vulnerabilidad y consecuente riesgo.</w:t>
      </w:r>
    </w:p>
    <w:p w:rsidR="00E31B19" w:rsidRPr="001A01AB" w:rsidRDefault="00E31B19" w:rsidP="00E31B19">
      <w:pPr>
        <w:spacing w:after="120"/>
        <w:ind w:left="360"/>
        <w:jc w:val="both"/>
        <w:rPr>
          <w:rFonts w:ascii="Calibri" w:hAnsi="Calibri" w:cs="Calibri"/>
          <w:lang w:val="es-GT"/>
        </w:rPr>
      </w:pPr>
    </w:p>
    <w:p w:rsidR="00E31B19" w:rsidRPr="001A01AB" w:rsidRDefault="00E31B19" w:rsidP="004E2482">
      <w:pPr>
        <w:pStyle w:val="Prrafodelista"/>
        <w:numPr>
          <w:ilvl w:val="0"/>
          <w:numId w:val="55"/>
        </w:numPr>
        <w:pBdr>
          <w:bottom w:val="single" w:sz="12" w:space="1" w:color="365F91"/>
        </w:pBdr>
        <w:autoSpaceDE w:val="0"/>
        <w:autoSpaceDN w:val="0"/>
        <w:adjustRightInd w:val="0"/>
        <w:spacing w:after="120" w:line="264" w:lineRule="auto"/>
        <w:ind w:left="720" w:hanging="720"/>
        <w:jc w:val="both"/>
        <w:outlineLvl w:val="0"/>
        <w:rPr>
          <w:rFonts w:cs="Calibri"/>
          <w:b/>
          <w:color w:val="365F91"/>
          <w:sz w:val="36"/>
          <w:lang w:eastAsia="es-GT"/>
        </w:rPr>
      </w:pPr>
      <w:r w:rsidRPr="001A01AB">
        <w:rPr>
          <w:rFonts w:cs="Calibri"/>
        </w:rPr>
        <w:br w:type="page"/>
      </w:r>
      <w:bookmarkStart w:id="197" w:name="_Toc347841313"/>
      <w:r w:rsidR="003C58E3">
        <w:rPr>
          <w:rFonts w:cs="Calibri"/>
          <w:b/>
          <w:color w:val="365F91"/>
          <w:sz w:val="36"/>
          <w:lang w:eastAsia="es-GT"/>
        </w:rPr>
        <w:lastRenderedPageBreak/>
        <w:t>Referencias bibliográficas</w:t>
      </w:r>
      <w:bookmarkEnd w:id="197"/>
    </w:p>
    <w:p w:rsidR="00E31B19" w:rsidRPr="001A01AB" w:rsidRDefault="00E31B19" w:rsidP="00E31B19">
      <w:pPr>
        <w:jc w:val="both"/>
        <w:rPr>
          <w:rFonts w:ascii="Calibri" w:hAnsi="Calibri" w:cs="Calibri"/>
          <w:lang w:val="es-GT"/>
        </w:rPr>
      </w:pPr>
    </w:p>
    <w:p w:rsidR="006361C5" w:rsidRDefault="006361C5" w:rsidP="00E55C79">
      <w:pPr>
        <w:spacing w:after="200"/>
        <w:jc w:val="both"/>
        <w:rPr>
          <w:rFonts w:ascii="Calibri" w:hAnsi="Calibri" w:cs="Calibri"/>
          <w:lang w:val="es-GT" w:eastAsia="es-GT"/>
        </w:rPr>
      </w:pPr>
      <w:r w:rsidRPr="006361C5">
        <w:rPr>
          <w:rFonts w:ascii="Calibri" w:hAnsi="Calibri" w:cs="Calibri"/>
          <w:lang w:val="es-GT" w:eastAsia="es-GT"/>
        </w:rPr>
        <w:t xml:space="preserve">Aguilar, E., Peterson, T., Ramírez, P., Frutos, R., Retana, J., Solera, M. et al. </w:t>
      </w:r>
      <w:r w:rsidRPr="006361C5">
        <w:rPr>
          <w:rFonts w:ascii="Calibri" w:hAnsi="Calibri" w:cs="Calibri"/>
          <w:lang w:eastAsia="es-GT"/>
        </w:rPr>
        <w:t xml:space="preserve">(2005). Changes in precipitation and temperature extrems in Central America and northern South America, 1961-2003. </w:t>
      </w:r>
      <w:r w:rsidRPr="00B47FF7">
        <w:rPr>
          <w:rFonts w:ascii="Calibri" w:hAnsi="Calibri" w:cs="Calibri"/>
          <w:i/>
          <w:lang w:val="es-GT" w:eastAsia="es-GT"/>
        </w:rPr>
        <w:t>Journal of Geophysical Research D23107</w:t>
      </w:r>
      <w:r w:rsidRPr="006361C5">
        <w:rPr>
          <w:rFonts w:ascii="Calibri" w:hAnsi="Calibri" w:cs="Calibri"/>
          <w:lang w:val="es-GT" w:eastAsia="es-GT"/>
        </w:rPr>
        <w:t xml:space="preserve"> (110), 1-10.</w:t>
      </w:r>
    </w:p>
    <w:p w:rsidR="00F620DB" w:rsidRDefault="00F620DB" w:rsidP="00F620DB">
      <w:pPr>
        <w:spacing w:after="200"/>
        <w:jc w:val="both"/>
        <w:rPr>
          <w:rFonts w:ascii="Calibri" w:hAnsi="Calibri" w:cs="Calibri"/>
          <w:lang w:val="es-GT" w:eastAsia="es-GT"/>
        </w:rPr>
      </w:pPr>
      <w:r w:rsidRPr="005B64A5">
        <w:rPr>
          <w:rFonts w:ascii="Calibri" w:hAnsi="Calibri" w:cs="Calibri"/>
          <w:lang w:val="es-GT" w:eastAsia="es-GT"/>
        </w:rPr>
        <w:t xml:space="preserve">AMPI (Autoridad para el Manejo y Desarrollo Sostenible de la Cuenca del lago Petén Itzá). (2008). </w:t>
      </w:r>
      <w:r w:rsidRPr="005B64A5">
        <w:rPr>
          <w:rFonts w:ascii="Calibri" w:hAnsi="Calibri" w:cs="Calibri"/>
          <w:i/>
          <w:lang w:val="es-GT" w:eastAsia="es-GT"/>
        </w:rPr>
        <w:t>Informe de labores.</w:t>
      </w:r>
      <w:r w:rsidRPr="005B64A5">
        <w:rPr>
          <w:rFonts w:ascii="Calibri" w:hAnsi="Calibri" w:cs="Calibri"/>
          <w:lang w:val="es-GT" w:eastAsia="es-GT"/>
        </w:rPr>
        <w:t xml:space="preserve"> Recuperado el 20 de mayo de 2011, de: http://www.marn.gob.gt/documentos/AMPI/AMPIInforme2008Abr.pdf</w:t>
      </w:r>
    </w:p>
    <w:p w:rsidR="005B64A5" w:rsidRDefault="005B64A5" w:rsidP="00E55C79">
      <w:pPr>
        <w:spacing w:after="200"/>
        <w:jc w:val="both"/>
        <w:rPr>
          <w:rFonts w:ascii="Calibri" w:hAnsi="Calibri" w:cs="Calibri"/>
          <w:lang w:val="es-GT" w:eastAsia="es-GT"/>
        </w:rPr>
      </w:pPr>
      <w:r w:rsidRPr="005B64A5">
        <w:rPr>
          <w:rFonts w:ascii="Calibri" w:hAnsi="Calibri" w:cs="Calibri"/>
          <w:lang w:val="es-GT" w:eastAsia="es-GT"/>
        </w:rPr>
        <w:t xml:space="preserve">AMSA (Autoridad para el Manejo Sustentable de la Cuenca y del Lago de Amatitlán). (s.f.). </w:t>
      </w:r>
      <w:r w:rsidRPr="005B64A5">
        <w:rPr>
          <w:rFonts w:ascii="Calibri" w:hAnsi="Calibri" w:cs="Calibri"/>
          <w:i/>
          <w:lang w:val="es-GT" w:eastAsia="es-GT"/>
        </w:rPr>
        <w:t>Situación de los lagos en Guatemala, tema de Foro en la USAC.</w:t>
      </w:r>
      <w:r w:rsidRPr="005B64A5">
        <w:rPr>
          <w:rFonts w:ascii="Calibri" w:hAnsi="Calibri" w:cs="Calibri"/>
          <w:lang w:val="es-GT" w:eastAsia="es-GT"/>
        </w:rPr>
        <w:t xml:space="preserve"> Recuperado den noviembre de 2011, de: </w:t>
      </w:r>
      <w:hyperlink r:id="rId52" w:history="1">
        <w:r w:rsidRPr="009B1223">
          <w:rPr>
            <w:rStyle w:val="Hipervnculo"/>
            <w:rFonts w:ascii="Calibri" w:hAnsi="Calibri" w:cs="Calibri"/>
            <w:lang w:val="es-GT" w:eastAsia="es-GT"/>
          </w:rPr>
          <w:t>http://amsa.gob.gt/blog/?p=1633</w:t>
        </w:r>
      </w:hyperlink>
    </w:p>
    <w:p w:rsidR="00E55C79" w:rsidRPr="001A01AB" w:rsidRDefault="00E55C79" w:rsidP="00E55C79">
      <w:pPr>
        <w:spacing w:after="200"/>
        <w:jc w:val="both"/>
        <w:rPr>
          <w:rFonts w:ascii="Calibri" w:hAnsi="Calibri" w:cs="Calibri"/>
          <w:lang w:val="es-GT"/>
        </w:rPr>
      </w:pPr>
      <w:r w:rsidRPr="001A01AB">
        <w:rPr>
          <w:rFonts w:ascii="Calibri" w:hAnsi="Calibri" w:cs="Calibri"/>
          <w:lang w:val="es-GT" w:eastAsia="es-GT"/>
        </w:rPr>
        <w:t>ASOCUCH (</w:t>
      </w:r>
      <w:r w:rsidRPr="001A01AB">
        <w:rPr>
          <w:rFonts w:ascii="Calibri" w:hAnsi="Calibri" w:cs="Calibri"/>
          <w:bCs/>
          <w:lang w:val="es-GT"/>
        </w:rPr>
        <w:t>Asociación de Organizaciones de los Cuchumatanes)</w:t>
      </w:r>
      <w:r w:rsidRPr="001A01AB">
        <w:rPr>
          <w:rFonts w:ascii="Calibri" w:hAnsi="Calibri" w:cs="Calibri"/>
          <w:lang w:val="es-GT" w:eastAsia="es-GT"/>
        </w:rPr>
        <w:t xml:space="preserve">. (2009). </w:t>
      </w:r>
      <w:r w:rsidRPr="001A01AB">
        <w:rPr>
          <w:rFonts w:ascii="Calibri" w:hAnsi="Calibri" w:cs="Calibri"/>
          <w:i/>
          <w:lang w:val="es-GT"/>
        </w:rPr>
        <w:t>Determinación de la línea base del Proyecto Agroforestal Comunitario Sostenible para la Reducción de Emisiones por Deforestación y Degradación en Centroamérica” REDD – PASCA de las Microcuencas Quisil, San Francisco, Magdalena y Pepajau</w:t>
      </w:r>
      <w:r w:rsidRPr="001A01AB">
        <w:rPr>
          <w:rFonts w:ascii="Calibri" w:hAnsi="Calibri" w:cs="Calibri"/>
          <w:lang w:val="es-GT"/>
        </w:rPr>
        <w:t>.</w:t>
      </w:r>
      <w:r w:rsidR="00BB51BC">
        <w:rPr>
          <w:rFonts w:ascii="Calibri" w:hAnsi="Calibri" w:cs="Calibri"/>
          <w:lang w:val="es-GT"/>
        </w:rPr>
        <w:t xml:space="preserve"> Guatemala: A</w:t>
      </w:r>
      <w:r w:rsidRPr="001A01AB">
        <w:rPr>
          <w:rFonts w:ascii="Calibri" w:hAnsi="Calibri" w:cs="Calibri"/>
          <w:lang w:val="es-GT"/>
        </w:rPr>
        <w:t>utor.</w:t>
      </w:r>
    </w:p>
    <w:p w:rsidR="005B64A5" w:rsidRDefault="005B64A5" w:rsidP="005B64A5">
      <w:pPr>
        <w:autoSpaceDE w:val="0"/>
        <w:autoSpaceDN w:val="0"/>
        <w:adjustRightInd w:val="0"/>
        <w:spacing w:after="200"/>
        <w:jc w:val="both"/>
        <w:rPr>
          <w:rFonts w:ascii="Calibri" w:hAnsi="Calibri" w:cs="Calibri"/>
          <w:lang w:val="es-GT" w:eastAsia="es-GT"/>
        </w:rPr>
      </w:pPr>
      <w:r w:rsidRPr="005B64A5">
        <w:rPr>
          <w:rFonts w:ascii="Calibri" w:hAnsi="Calibri" w:cs="Calibri"/>
          <w:lang w:val="es-GT" w:eastAsia="es-GT"/>
        </w:rPr>
        <w:t xml:space="preserve">BANGUAT y IARNA-URL (Banco de Guatemala e Instituto de Agricultura, Recursos Naturales y Ambiente de la Universidad Rafael Landívar). (2009a). </w:t>
      </w:r>
      <w:r w:rsidRPr="005B64A5">
        <w:rPr>
          <w:rFonts w:ascii="Calibri" w:hAnsi="Calibri" w:cs="Calibri"/>
          <w:i/>
          <w:lang w:val="es-GT" w:eastAsia="es-GT"/>
        </w:rPr>
        <w:t>Cuenta Integrada del Bosque. Sistema de Contabilidad Ambiental y Económica Integrada de Guatemala</w:t>
      </w:r>
      <w:r w:rsidRPr="005B64A5">
        <w:rPr>
          <w:rFonts w:ascii="Calibri" w:hAnsi="Calibri" w:cs="Calibri"/>
          <w:lang w:val="es-GT" w:eastAsia="es-GT"/>
        </w:rPr>
        <w:t xml:space="preserve"> (Serie divulgativa 7). Guatemala: Autor.</w:t>
      </w:r>
    </w:p>
    <w:p w:rsidR="005B64A5" w:rsidRDefault="005B64A5" w:rsidP="00E55C79">
      <w:pPr>
        <w:autoSpaceDE w:val="0"/>
        <w:autoSpaceDN w:val="0"/>
        <w:adjustRightInd w:val="0"/>
        <w:spacing w:after="200"/>
        <w:jc w:val="both"/>
        <w:rPr>
          <w:rFonts w:ascii="Calibri" w:hAnsi="Calibri" w:cs="Calibri"/>
          <w:lang w:val="es-GT" w:eastAsia="es-GT"/>
        </w:rPr>
      </w:pPr>
      <w:r w:rsidRPr="005B64A5">
        <w:rPr>
          <w:rFonts w:ascii="Calibri" w:hAnsi="Calibri" w:cs="Calibri"/>
          <w:lang w:val="es-GT" w:eastAsia="es-GT"/>
        </w:rPr>
        <w:t xml:space="preserve">BANGUAT y IARNA-URL (Banco de Guatemala e Instituto de Agricultura, Recursos Naturales y Ambiente de la Universidad Rafael Landívar). (2009b). </w:t>
      </w:r>
      <w:r w:rsidRPr="005B64A5">
        <w:rPr>
          <w:rFonts w:ascii="Calibri" w:hAnsi="Calibri" w:cs="Calibri"/>
          <w:i/>
          <w:lang w:val="es-GT" w:eastAsia="es-GT"/>
        </w:rPr>
        <w:t>Compendio de cuadros estadísticos del Sistema de Contabilidad Ambiental y Económica Integrada de Guatemala (SCAEI). Periodo 2005-2006</w:t>
      </w:r>
      <w:r w:rsidRPr="005B64A5">
        <w:rPr>
          <w:rFonts w:ascii="Calibri" w:hAnsi="Calibri" w:cs="Calibri"/>
          <w:lang w:val="es-GT" w:eastAsia="es-GT"/>
        </w:rPr>
        <w:t xml:space="preserve"> (Coediciones 24). Guatemala: Autor.</w:t>
      </w:r>
    </w:p>
    <w:p w:rsidR="005B64A5" w:rsidRDefault="005B64A5" w:rsidP="00E55C79">
      <w:pPr>
        <w:autoSpaceDE w:val="0"/>
        <w:autoSpaceDN w:val="0"/>
        <w:adjustRightInd w:val="0"/>
        <w:spacing w:after="200"/>
        <w:jc w:val="both"/>
        <w:rPr>
          <w:rFonts w:ascii="Calibri" w:hAnsi="Calibri" w:cs="Calibri"/>
          <w:lang w:val="es-GT" w:eastAsia="es-GT"/>
        </w:rPr>
      </w:pPr>
      <w:r w:rsidRPr="005B64A5">
        <w:rPr>
          <w:rFonts w:ascii="Calibri" w:hAnsi="Calibri" w:cs="Calibri"/>
          <w:lang w:val="es-GT" w:eastAsia="es-GT"/>
        </w:rPr>
        <w:t xml:space="preserve">Castañón, D. (2009). </w:t>
      </w:r>
      <w:r w:rsidRPr="005B64A5">
        <w:rPr>
          <w:rFonts w:ascii="Calibri" w:hAnsi="Calibri" w:cs="Calibri"/>
          <w:i/>
          <w:lang w:val="es-GT" w:eastAsia="es-GT"/>
        </w:rPr>
        <w:t xml:space="preserve">Balance de aguas y su importancia en la economía de la cuenca del Río Naranjo. </w:t>
      </w:r>
      <w:r w:rsidRPr="005B64A5">
        <w:rPr>
          <w:rFonts w:ascii="Calibri" w:hAnsi="Calibri" w:cs="Calibri"/>
          <w:lang w:val="es-GT" w:eastAsia="es-GT"/>
        </w:rPr>
        <w:t>Guatemala: Universidad de San Carlos de Guatemala (USAC).</w:t>
      </w:r>
    </w:p>
    <w:p w:rsidR="00E55C79" w:rsidRDefault="00E55C79" w:rsidP="00E55C79">
      <w:pPr>
        <w:autoSpaceDE w:val="0"/>
        <w:autoSpaceDN w:val="0"/>
        <w:adjustRightInd w:val="0"/>
        <w:spacing w:after="200"/>
        <w:jc w:val="both"/>
        <w:rPr>
          <w:rFonts w:ascii="Calibri" w:hAnsi="Calibri" w:cs="Calibri"/>
          <w:lang w:val="es-GT" w:eastAsia="es-GT"/>
        </w:rPr>
      </w:pPr>
      <w:r w:rsidRPr="001A01AB">
        <w:rPr>
          <w:rFonts w:ascii="Calibri" w:hAnsi="Calibri" w:cs="Calibri"/>
          <w:lang w:val="es-GT" w:eastAsia="es-GT"/>
        </w:rPr>
        <w:t xml:space="preserve">Centro Internacional de Investigaciones para el Desarrollo. (s.f.). </w:t>
      </w:r>
      <w:r w:rsidR="00BB51BC">
        <w:rPr>
          <w:rFonts w:ascii="Calibri" w:hAnsi="Calibri" w:cs="Calibri"/>
          <w:i/>
          <w:iCs/>
          <w:lang w:val="es-GT" w:eastAsia="es-GT"/>
        </w:rPr>
        <w:t>Sistema I</w:t>
      </w:r>
      <w:r w:rsidRPr="001A01AB">
        <w:rPr>
          <w:rFonts w:ascii="Calibri" w:hAnsi="Calibri" w:cs="Calibri"/>
          <w:i/>
          <w:iCs/>
          <w:lang w:val="es-GT" w:eastAsia="es-GT"/>
        </w:rPr>
        <w:t>ntegrado</w:t>
      </w:r>
      <w:r w:rsidR="00BB51BC">
        <w:rPr>
          <w:rFonts w:ascii="Calibri" w:hAnsi="Calibri" w:cs="Calibri"/>
          <w:i/>
          <w:iCs/>
          <w:lang w:val="es-GT" w:eastAsia="es-GT"/>
        </w:rPr>
        <w:t xml:space="preserve"> de Gestión Ambiental Municipal</w:t>
      </w:r>
      <w:r w:rsidRPr="001A01AB">
        <w:rPr>
          <w:rFonts w:ascii="Calibri" w:hAnsi="Calibri" w:cs="Calibri"/>
          <w:i/>
          <w:iCs/>
          <w:lang w:val="es-GT" w:eastAsia="es-GT"/>
        </w:rPr>
        <w:t xml:space="preserve"> para mitigación y prev</w:t>
      </w:r>
      <w:r w:rsidR="00BB51BC">
        <w:rPr>
          <w:rFonts w:ascii="Calibri" w:hAnsi="Calibri" w:cs="Calibri"/>
          <w:i/>
          <w:iCs/>
          <w:lang w:val="es-GT" w:eastAsia="es-GT"/>
        </w:rPr>
        <w:t>ención de riesgos ambientales. M</w:t>
      </w:r>
      <w:r w:rsidRPr="001A01AB">
        <w:rPr>
          <w:rFonts w:ascii="Calibri" w:hAnsi="Calibri" w:cs="Calibri"/>
          <w:i/>
          <w:iCs/>
          <w:lang w:val="es-GT" w:eastAsia="es-GT"/>
        </w:rPr>
        <w:t xml:space="preserve">anual de aplicación. </w:t>
      </w:r>
      <w:r w:rsidRPr="001A01AB">
        <w:rPr>
          <w:rFonts w:ascii="Calibri" w:hAnsi="Calibri" w:cs="Calibri"/>
          <w:lang w:val="es-GT" w:eastAsia="es-GT"/>
        </w:rPr>
        <w:t>Uruguay: Autor.</w:t>
      </w:r>
    </w:p>
    <w:p w:rsidR="005B64A5" w:rsidRPr="005B64A5" w:rsidRDefault="005B64A5" w:rsidP="005B64A5">
      <w:pPr>
        <w:autoSpaceDE w:val="0"/>
        <w:autoSpaceDN w:val="0"/>
        <w:adjustRightInd w:val="0"/>
        <w:spacing w:after="200"/>
        <w:jc w:val="both"/>
        <w:rPr>
          <w:rFonts w:ascii="Calibri" w:hAnsi="Calibri" w:cs="Calibri"/>
          <w:lang w:val="es-GT" w:eastAsia="es-GT"/>
        </w:rPr>
      </w:pPr>
      <w:r w:rsidRPr="005B64A5">
        <w:rPr>
          <w:rFonts w:ascii="Calibri" w:hAnsi="Calibri" w:cs="Calibri"/>
          <w:lang w:val="es-GT" w:eastAsia="es-GT"/>
        </w:rPr>
        <w:t xml:space="preserve">CEPAL (Comisión Económica para América Latina y el Caribe). (2009). </w:t>
      </w:r>
      <w:r w:rsidRPr="005B64A5">
        <w:rPr>
          <w:rFonts w:ascii="Calibri" w:hAnsi="Calibri" w:cs="Calibri"/>
          <w:i/>
          <w:lang w:val="es-GT" w:eastAsia="es-GT"/>
        </w:rPr>
        <w:t xml:space="preserve">Estudio de factibilidad. Economía del cambio climático en Centroamérica. </w:t>
      </w:r>
      <w:r w:rsidRPr="005B64A5">
        <w:rPr>
          <w:rFonts w:ascii="Calibri" w:hAnsi="Calibri" w:cs="Calibri"/>
          <w:lang w:val="es-GT" w:eastAsia="es-GT"/>
        </w:rPr>
        <w:t>México: Autor.</w:t>
      </w:r>
    </w:p>
    <w:p w:rsidR="005B64A5" w:rsidRDefault="005B64A5" w:rsidP="005B64A5">
      <w:pPr>
        <w:autoSpaceDE w:val="0"/>
        <w:autoSpaceDN w:val="0"/>
        <w:adjustRightInd w:val="0"/>
        <w:spacing w:after="200"/>
        <w:jc w:val="both"/>
        <w:rPr>
          <w:rFonts w:ascii="Calibri" w:hAnsi="Calibri" w:cs="Calibri"/>
          <w:lang w:val="es-GT" w:eastAsia="es-GT"/>
        </w:rPr>
      </w:pPr>
      <w:r w:rsidRPr="005B64A5">
        <w:rPr>
          <w:rFonts w:ascii="Calibri" w:hAnsi="Calibri" w:cs="Calibri"/>
          <w:lang w:val="es-GT" w:eastAsia="es-GT"/>
        </w:rPr>
        <w:t xml:space="preserve">CEPAL (Comisión Económica para América Latina y el Caribe). (2010). </w:t>
      </w:r>
      <w:r w:rsidRPr="005B64A5">
        <w:rPr>
          <w:rFonts w:ascii="Calibri" w:hAnsi="Calibri" w:cs="Calibri"/>
          <w:i/>
          <w:lang w:val="es-GT" w:eastAsia="es-GT"/>
        </w:rPr>
        <w:t xml:space="preserve">Istmo centroamericano: efectos del cambio climático sobre la agricultura. </w:t>
      </w:r>
      <w:r w:rsidRPr="005B64A5">
        <w:rPr>
          <w:rFonts w:ascii="Calibri" w:hAnsi="Calibri" w:cs="Calibri"/>
          <w:lang w:val="es-GT" w:eastAsia="es-GT"/>
        </w:rPr>
        <w:t>México: Autor.</w:t>
      </w:r>
    </w:p>
    <w:p w:rsidR="00E55C79" w:rsidRPr="001A01AB" w:rsidRDefault="00E55C79" w:rsidP="00E55C79">
      <w:pPr>
        <w:autoSpaceDE w:val="0"/>
        <w:autoSpaceDN w:val="0"/>
        <w:adjustRightInd w:val="0"/>
        <w:spacing w:after="200"/>
        <w:jc w:val="both"/>
        <w:rPr>
          <w:rFonts w:ascii="Calibri" w:hAnsi="Calibri" w:cs="Calibri"/>
          <w:lang w:val="es-GT" w:eastAsia="es-GT"/>
        </w:rPr>
      </w:pPr>
      <w:r w:rsidRPr="001A01AB">
        <w:rPr>
          <w:rFonts w:ascii="Calibri" w:hAnsi="Calibri" w:cs="Calibri"/>
          <w:lang w:val="es-GT" w:eastAsia="es-GT"/>
        </w:rPr>
        <w:t xml:space="preserve">CEPAL (Comisión Económica para América Latina y el Caribe). (2012). </w:t>
      </w:r>
      <w:r w:rsidRPr="001A01AB">
        <w:rPr>
          <w:rFonts w:ascii="Calibri" w:hAnsi="Calibri" w:cs="Calibri"/>
          <w:bCs/>
          <w:i/>
          <w:lang w:val="es-GT" w:eastAsia="es-GT"/>
        </w:rPr>
        <w:t>Resumen regional del impacto de la Depresión Tropical 12-E en Centroamérica. Cuantificación de daños y pérdidas sufridos por los países de la región en el mes de</w:t>
      </w:r>
      <w:r w:rsidR="00BB51BC">
        <w:rPr>
          <w:rFonts w:ascii="Calibri" w:hAnsi="Calibri" w:cs="Calibri"/>
          <w:bCs/>
          <w:i/>
          <w:lang w:val="es-GT" w:eastAsia="es-GT"/>
        </w:rPr>
        <w:t xml:space="preserve"> o</w:t>
      </w:r>
      <w:r w:rsidRPr="001A01AB">
        <w:rPr>
          <w:rFonts w:ascii="Calibri" w:hAnsi="Calibri" w:cs="Calibri"/>
          <w:bCs/>
          <w:i/>
          <w:lang w:val="es-GT" w:eastAsia="es-GT"/>
        </w:rPr>
        <w:t xml:space="preserve">ctubre de 2011. </w:t>
      </w:r>
      <w:r w:rsidRPr="001A01AB">
        <w:rPr>
          <w:rFonts w:ascii="Calibri" w:hAnsi="Calibri" w:cs="Calibri"/>
          <w:i/>
          <w:iCs/>
          <w:lang w:val="es-GT" w:eastAsia="es-GT"/>
        </w:rPr>
        <w:t>Algunas reflexiones sobre la nueva “normalidad” de los desastres</w:t>
      </w:r>
      <w:r w:rsidRPr="001A01AB">
        <w:rPr>
          <w:rFonts w:ascii="Calibri" w:hAnsi="Calibri" w:cs="Calibri"/>
          <w:iCs/>
          <w:lang w:val="es-GT" w:eastAsia="es-GT"/>
        </w:rPr>
        <w:t xml:space="preserve">. </w:t>
      </w:r>
      <w:r w:rsidR="00BB51BC">
        <w:rPr>
          <w:rFonts w:ascii="Calibri" w:hAnsi="Calibri" w:cs="Calibri"/>
          <w:lang w:val="es-GT" w:eastAsia="es-GT"/>
        </w:rPr>
        <w:t>México, D. F.: A</w:t>
      </w:r>
      <w:r w:rsidRPr="001A01AB">
        <w:rPr>
          <w:rFonts w:ascii="Calibri" w:hAnsi="Calibri" w:cs="Calibri"/>
          <w:lang w:val="es-GT" w:eastAsia="es-GT"/>
        </w:rPr>
        <w:t>utor.</w:t>
      </w:r>
    </w:p>
    <w:p w:rsidR="00E55C79" w:rsidRDefault="00E55C79" w:rsidP="00E55C79">
      <w:pPr>
        <w:spacing w:after="200"/>
        <w:jc w:val="both"/>
        <w:rPr>
          <w:rFonts w:ascii="Calibri" w:hAnsi="Calibri" w:cs="Calibri"/>
          <w:lang w:val="es-GT"/>
        </w:rPr>
      </w:pPr>
      <w:r w:rsidRPr="001A01AB">
        <w:rPr>
          <w:rFonts w:ascii="Calibri" w:hAnsi="Calibri" w:cs="Calibri"/>
          <w:lang w:val="es-GT"/>
        </w:rPr>
        <w:lastRenderedPageBreak/>
        <w:t xml:space="preserve">CNAP (Consejo Nacional para el Cumplimiento de los Acuerdos de Paz). (s.f.). </w:t>
      </w:r>
      <w:r w:rsidRPr="001A01AB">
        <w:rPr>
          <w:rFonts w:ascii="Calibri" w:hAnsi="Calibri" w:cs="Calibri"/>
          <w:i/>
          <w:lang w:val="es-GT"/>
        </w:rPr>
        <w:t>Los Acuerdos de Paz</w:t>
      </w:r>
      <w:r w:rsidR="00BB51BC">
        <w:rPr>
          <w:rFonts w:ascii="Calibri" w:hAnsi="Calibri" w:cs="Calibri"/>
          <w:lang w:val="es-GT"/>
        </w:rPr>
        <w:t>. Guatemala: Editorial</w:t>
      </w:r>
      <w:r w:rsidRPr="001A01AB">
        <w:rPr>
          <w:rFonts w:ascii="Calibri" w:hAnsi="Calibri" w:cs="Calibri"/>
          <w:lang w:val="es-GT"/>
        </w:rPr>
        <w:t xml:space="preserve"> Cholsamaj. </w:t>
      </w:r>
    </w:p>
    <w:p w:rsidR="00253520" w:rsidRDefault="00253520" w:rsidP="00E55C79">
      <w:pPr>
        <w:spacing w:after="200"/>
        <w:jc w:val="both"/>
        <w:rPr>
          <w:rFonts w:ascii="Calibri" w:hAnsi="Calibri" w:cs="Calibri"/>
          <w:lang w:val="es-GT" w:eastAsia="es-GT"/>
        </w:rPr>
      </w:pPr>
      <w:r w:rsidRPr="00253520">
        <w:rPr>
          <w:rFonts w:ascii="Calibri" w:hAnsi="Calibri" w:cs="Calibri"/>
          <w:lang w:val="es-GT" w:eastAsia="es-GT"/>
        </w:rPr>
        <w:t xml:space="preserve">CONAP (Consejo Nacional de Áreas Protegidas). (2008). </w:t>
      </w:r>
      <w:r w:rsidRPr="00253520">
        <w:rPr>
          <w:rFonts w:ascii="Calibri" w:hAnsi="Calibri" w:cs="Calibri"/>
          <w:i/>
          <w:lang w:val="es-GT" w:eastAsia="es-GT"/>
        </w:rPr>
        <w:t>Guatemala y su biodiversidad: un enfoque histórico, cultural, biológico y económico.</w:t>
      </w:r>
      <w:r w:rsidRPr="00253520">
        <w:rPr>
          <w:rFonts w:ascii="Calibri" w:hAnsi="Calibri" w:cs="Calibri"/>
          <w:lang w:val="es-GT" w:eastAsia="es-GT"/>
        </w:rPr>
        <w:t xml:space="preserve"> Guatemala: Autor.</w:t>
      </w:r>
    </w:p>
    <w:p w:rsidR="00E55C79" w:rsidRDefault="00E55C79" w:rsidP="00E55C79">
      <w:pPr>
        <w:spacing w:after="200"/>
        <w:jc w:val="both"/>
        <w:rPr>
          <w:rFonts w:ascii="Calibri" w:hAnsi="Calibri" w:cs="Calibri"/>
          <w:lang w:val="es-GT"/>
        </w:rPr>
      </w:pPr>
      <w:r w:rsidRPr="001A01AB">
        <w:rPr>
          <w:rFonts w:ascii="Calibri" w:hAnsi="Calibri" w:cs="Calibri"/>
          <w:lang w:val="es-GT" w:eastAsia="es-GT"/>
        </w:rPr>
        <w:t xml:space="preserve">CONAP (Consejo Nacional de Áreas Protegidas). (2012). </w:t>
      </w:r>
      <w:r w:rsidRPr="001A01AB">
        <w:rPr>
          <w:rFonts w:ascii="Calibri" w:hAnsi="Calibri" w:cs="Calibri"/>
          <w:i/>
          <w:lang w:val="es-GT"/>
        </w:rPr>
        <w:t xml:space="preserve">La </w:t>
      </w:r>
      <w:r w:rsidR="00BB51BC">
        <w:rPr>
          <w:rFonts w:ascii="Calibri" w:hAnsi="Calibri" w:cs="Calibri"/>
          <w:i/>
          <w:lang w:val="es-GT"/>
        </w:rPr>
        <w:t>m</w:t>
      </w:r>
      <w:r w:rsidRPr="001A01AB">
        <w:rPr>
          <w:rFonts w:ascii="Calibri" w:hAnsi="Calibri" w:cs="Calibri"/>
          <w:i/>
          <w:lang w:val="es-GT"/>
        </w:rPr>
        <w:t>egadiversidad de Guatemala</w:t>
      </w:r>
      <w:r w:rsidR="008C1EE0">
        <w:rPr>
          <w:rFonts w:ascii="Calibri" w:hAnsi="Calibri" w:cs="Calibri"/>
          <w:lang w:val="es-GT"/>
        </w:rPr>
        <w:t xml:space="preserve">. </w:t>
      </w:r>
      <w:r w:rsidR="00BB51BC">
        <w:rPr>
          <w:rFonts w:ascii="Calibri" w:hAnsi="Calibri" w:cs="Calibri"/>
          <w:lang w:val="es-GT"/>
        </w:rPr>
        <w:t>Recuperado de:</w:t>
      </w:r>
      <w:r w:rsidRPr="001A01AB">
        <w:rPr>
          <w:rFonts w:ascii="Calibri" w:hAnsi="Calibri" w:cs="Calibri"/>
          <w:lang w:val="es-GT"/>
        </w:rPr>
        <w:t xml:space="preserve"> </w:t>
      </w:r>
      <w:hyperlink r:id="rId53" w:history="1">
        <w:r w:rsidR="00253520" w:rsidRPr="009B1223">
          <w:rPr>
            <w:rStyle w:val="Hipervnculo"/>
            <w:rFonts w:ascii="Calibri" w:hAnsi="Calibri" w:cs="Calibri"/>
            <w:lang w:val="es-GT"/>
          </w:rPr>
          <w:t>http://www.conap.gob.gt/biodiversidad/guatemala-pais-megadiverso/la-megadiversidad-de-guatemala</w:t>
        </w:r>
      </w:hyperlink>
      <w:r w:rsidRPr="001A01AB">
        <w:rPr>
          <w:rFonts w:ascii="Calibri" w:hAnsi="Calibri" w:cs="Calibri"/>
          <w:lang w:val="es-GT"/>
        </w:rPr>
        <w:t>.</w:t>
      </w:r>
    </w:p>
    <w:p w:rsidR="00253520" w:rsidRDefault="00253520" w:rsidP="00E55C79">
      <w:pPr>
        <w:spacing w:after="200"/>
        <w:jc w:val="both"/>
        <w:rPr>
          <w:rFonts w:ascii="Calibri" w:hAnsi="Calibri" w:cs="Calibri"/>
          <w:lang w:val="es-GT"/>
        </w:rPr>
      </w:pPr>
      <w:r w:rsidRPr="00253520">
        <w:rPr>
          <w:rFonts w:ascii="Calibri" w:hAnsi="Calibri" w:cs="Calibri"/>
          <w:lang w:val="es-GT"/>
        </w:rPr>
        <w:t xml:space="preserve">CONAP y MARN (Consejo Nacional de Áreas Protegidas y Ministerio de Ambiente y Recursos Naturales). (2009). </w:t>
      </w:r>
      <w:r w:rsidRPr="00253520">
        <w:rPr>
          <w:rFonts w:ascii="Calibri" w:hAnsi="Calibri" w:cs="Calibri"/>
          <w:i/>
          <w:lang w:val="es-GT"/>
        </w:rPr>
        <w:t>Biodiversidad marina de Guatemala: análisis de vacíos y estrategias para su conservación.</w:t>
      </w:r>
      <w:r w:rsidRPr="00253520">
        <w:rPr>
          <w:rFonts w:ascii="Calibri" w:hAnsi="Calibri" w:cs="Calibri"/>
          <w:lang w:val="es-GT"/>
        </w:rPr>
        <w:t xml:space="preserve"> Guatemala: Autor.</w:t>
      </w:r>
    </w:p>
    <w:p w:rsidR="00253520" w:rsidRPr="001A01AB" w:rsidRDefault="00253520" w:rsidP="00E55C79">
      <w:pPr>
        <w:spacing w:after="200"/>
        <w:jc w:val="both"/>
        <w:rPr>
          <w:rFonts w:ascii="Calibri" w:hAnsi="Calibri" w:cs="Calibri"/>
          <w:lang w:val="es-GT" w:eastAsia="es-GT"/>
        </w:rPr>
      </w:pPr>
      <w:r w:rsidRPr="00253520">
        <w:rPr>
          <w:rFonts w:ascii="Calibri" w:hAnsi="Calibri" w:cs="Calibri"/>
          <w:lang w:val="es-GT" w:eastAsia="es-GT"/>
        </w:rPr>
        <w:t xml:space="preserve">CONAP, MARN y TNC (Consejo Nacional de Áreas Protegidas, Ministerio de Ambiente y Recursos Naturales y The Nature Conservancy). (2009). </w:t>
      </w:r>
      <w:r w:rsidRPr="00253520">
        <w:rPr>
          <w:rFonts w:ascii="Calibri" w:hAnsi="Calibri" w:cs="Calibri"/>
          <w:i/>
          <w:lang w:val="es-GT" w:eastAsia="es-GT"/>
        </w:rPr>
        <w:t>Biodiversidad marinad e Guatemala: análisis de vacíos y estrategias para su conservación</w:t>
      </w:r>
      <w:r w:rsidRPr="00253520">
        <w:rPr>
          <w:rFonts w:ascii="Calibri" w:hAnsi="Calibri" w:cs="Calibri"/>
          <w:lang w:val="es-GT" w:eastAsia="es-GT"/>
        </w:rPr>
        <w:t xml:space="preserve"> (documento técnico 69). Guatemala: Autor.</w:t>
      </w:r>
    </w:p>
    <w:p w:rsidR="00253520" w:rsidRDefault="00253520" w:rsidP="00E55C79">
      <w:pPr>
        <w:spacing w:after="200"/>
        <w:jc w:val="both"/>
        <w:rPr>
          <w:rFonts w:ascii="Calibri" w:hAnsi="Calibri" w:cs="Calibri"/>
          <w:lang w:val="es-GT" w:eastAsia="es-GT"/>
        </w:rPr>
      </w:pPr>
      <w:r w:rsidRPr="00253520">
        <w:rPr>
          <w:rFonts w:ascii="Calibri" w:hAnsi="Calibri" w:cs="Calibri"/>
          <w:lang w:val="es-GT" w:eastAsia="es-GT"/>
        </w:rPr>
        <w:t>Congreso de la República de Guatemala (2010, diciembre 17). Decreto 51-2010, Ley de In</w:t>
      </w:r>
      <w:r>
        <w:rPr>
          <w:rFonts w:ascii="Calibri" w:hAnsi="Calibri" w:cs="Calibri"/>
          <w:lang w:val="es-GT" w:eastAsia="es-GT"/>
        </w:rPr>
        <w:t xml:space="preserve">centivos Forestales No. 90. </w:t>
      </w:r>
      <w:r w:rsidRPr="00253520">
        <w:rPr>
          <w:rFonts w:ascii="Calibri" w:hAnsi="Calibri" w:cs="Calibri"/>
          <w:i/>
          <w:lang w:val="es-GT" w:eastAsia="es-GT"/>
        </w:rPr>
        <w:t>Diario de Centro América,</w:t>
      </w:r>
      <w:r w:rsidRPr="00253520">
        <w:rPr>
          <w:rFonts w:ascii="Calibri" w:hAnsi="Calibri" w:cs="Calibri"/>
          <w:lang w:val="es-GT" w:eastAsia="es-GT"/>
        </w:rPr>
        <w:t xml:space="preserve"> pp. 2-3.</w:t>
      </w:r>
    </w:p>
    <w:p w:rsidR="00E55C79" w:rsidRDefault="00E55C79" w:rsidP="00E55C79">
      <w:pPr>
        <w:spacing w:after="200"/>
        <w:jc w:val="both"/>
        <w:rPr>
          <w:rFonts w:ascii="Calibri" w:hAnsi="Calibri" w:cs="Calibri"/>
          <w:lang w:val="es-GT" w:eastAsia="es-GT"/>
        </w:rPr>
      </w:pPr>
      <w:r w:rsidRPr="001A01AB">
        <w:rPr>
          <w:rFonts w:ascii="Calibri" w:hAnsi="Calibri" w:cs="Calibri"/>
          <w:lang w:val="es-GT" w:eastAsia="es-GT"/>
        </w:rPr>
        <w:t xml:space="preserve">CPDRI (Comisión Presidencial para el Desarrollo Rural Integral). (2012). </w:t>
      </w:r>
      <w:r w:rsidR="00BB51BC">
        <w:rPr>
          <w:rFonts w:ascii="Calibri" w:hAnsi="Calibri" w:cs="Calibri"/>
          <w:i/>
          <w:lang w:val="es-GT" w:eastAsia="es-GT"/>
        </w:rPr>
        <w:t>Plan para activar y adecuar l</w:t>
      </w:r>
      <w:r w:rsidRPr="001A01AB">
        <w:rPr>
          <w:rFonts w:ascii="Calibri" w:hAnsi="Calibri" w:cs="Calibri"/>
          <w:i/>
          <w:lang w:val="es-GT" w:eastAsia="es-GT"/>
        </w:rPr>
        <w:t>a Política Nacional de Desarrollo Rural Integral</w:t>
      </w:r>
      <w:r w:rsidRPr="001A01AB">
        <w:rPr>
          <w:rFonts w:ascii="Calibri" w:hAnsi="Calibri" w:cs="Calibri"/>
          <w:lang w:val="es-GT" w:eastAsia="es-GT"/>
        </w:rPr>
        <w:t xml:space="preserve">. Guatemala: </w:t>
      </w:r>
      <w:r w:rsidR="00BB51BC">
        <w:rPr>
          <w:rFonts w:ascii="Calibri" w:hAnsi="Calibri" w:cs="Calibri"/>
          <w:lang w:val="es-GT" w:eastAsia="es-GT"/>
        </w:rPr>
        <w:t>A</w:t>
      </w:r>
      <w:r w:rsidRPr="001A01AB">
        <w:rPr>
          <w:rFonts w:ascii="Calibri" w:hAnsi="Calibri" w:cs="Calibri"/>
          <w:lang w:val="es-GT" w:eastAsia="es-GT"/>
        </w:rPr>
        <w:t>utor.</w:t>
      </w:r>
    </w:p>
    <w:p w:rsidR="005B64A5" w:rsidRDefault="005B64A5" w:rsidP="00E55C79">
      <w:pPr>
        <w:spacing w:after="200"/>
        <w:jc w:val="both"/>
        <w:rPr>
          <w:rFonts w:ascii="Calibri" w:hAnsi="Calibri" w:cs="Calibri"/>
          <w:lang w:val="es-GT" w:eastAsia="es-GT"/>
        </w:rPr>
      </w:pPr>
      <w:r w:rsidRPr="005B64A5">
        <w:rPr>
          <w:rFonts w:ascii="Calibri" w:hAnsi="Calibri" w:cs="Calibri"/>
          <w:lang w:val="es-GT" w:eastAsia="es-GT"/>
        </w:rPr>
        <w:t xml:space="preserve">El Periódico, Equipo de investigación (2009, diciembre 14). </w:t>
      </w:r>
      <w:r w:rsidRPr="005B64A5">
        <w:rPr>
          <w:rFonts w:ascii="Calibri" w:hAnsi="Calibri" w:cs="Calibri"/>
          <w:i/>
          <w:lang w:val="es-GT" w:eastAsia="es-GT"/>
        </w:rPr>
        <w:t>Agonizan los cuatro lagos más grandes de Guatemala.</w:t>
      </w:r>
      <w:r w:rsidRPr="005B64A5">
        <w:rPr>
          <w:rFonts w:ascii="Calibri" w:hAnsi="Calibri" w:cs="Calibri"/>
          <w:lang w:val="es-GT" w:eastAsia="es-GT"/>
        </w:rPr>
        <w:t xml:space="preserve"> Recuperado en noviembre de 2011, de: http://www.elperiodico.com.gt/es/20091214//128594</w:t>
      </w:r>
    </w:p>
    <w:p w:rsidR="005B64A5" w:rsidRDefault="005B64A5" w:rsidP="00E55C79">
      <w:pPr>
        <w:spacing w:after="200"/>
        <w:jc w:val="both"/>
        <w:rPr>
          <w:rFonts w:ascii="Calibri" w:hAnsi="Calibri" w:cs="Calibri"/>
          <w:lang w:val="es-GT" w:eastAsia="es-GT"/>
        </w:rPr>
      </w:pPr>
      <w:r w:rsidRPr="005B64A5">
        <w:rPr>
          <w:rFonts w:ascii="Calibri" w:hAnsi="Calibri" w:cs="Calibri"/>
          <w:lang w:val="es-GT" w:eastAsia="es-GT"/>
        </w:rPr>
        <w:t xml:space="preserve">Elías, S. (1994). Bosques comunales y municipales de Guatemala. </w:t>
      </w:r>
      <w:r w:rsidRPr="005B64A5">
        <w:rPr>
          <w:rFonts w:ascii="Calibri" w:hAnsi="Calibri" w:cs="Calibri"/>
          <w:i/>
          <w:lang w:val="es-GT" w:eastAsia="es-GT"/>
        </w:rPr>
        <w:t>Revista Tikalia.</w:t>
      </w:r>
      <w:r w:rsidRPr="005B64A5">
        <w:rPr>
          <w:rFonts w:ascii="Calibri" w:hAnsi="Calibri" w:cs="Calibri"/>
          <w:lang w:val="es-GT" w:eastAsia="es-GT"/>
        </w:rPr>
        <w:t xml:space="preserve"> Guatemala: Universidad de San Carlos de Guatemala, Facultad de Agronomía.</w:t>
      </w:r>
    </w:p>
    <w:p w:rsidR="00253520" w:rsidRDefault="00253520" w:rsidP="00E55C79">
      <w:pPr>
        <w:spacing w:after="200"/>
        <w:jc w:val="both"/>
        <w:rPr>
          <w:rFonts w:ascii="Calibri" w:hAnsi="Calibri" w:cs="Calibri"/>
          <w:lang w:val="es-GT" w:eastAsia="es-GT"/>
        </w:rPr>
      </w:pPr>
      <w:r w:rsidRPr="00253520">
        <w:rPr>
          <w:rFonts w:ascii="Calibri" w:hAnsi="Calibri" w:cs="Calibri"/>
          <w:lang w:val="es-GT" w:eastAsia="es-GT"/>
        </w:rPr>
        <w:t xml:space="preserve">FAO (Organización de las Naciones Unidas para la Agricultura y la Alimentación). (2005). </w:t>
      </w:r>
      <w:r w:rsidRPr="00253520">
        <w:rPr>
          <w:rFonts w:ascii="Calibri" w:hAnsi="Calibri" w:cs="Calibri"/>
          <w:i/>
          <w:lang w:val="es-GT" w:eastAsia="es-GT"/>
        </w:rPr>
        <w:t>Resumen informativo sobre la pesca por países.</w:t>
      </w:r>
      <w:r w:rsidRPr="00253520">
        <w:rPr>
          <w:rFonts w:ascii="Calibri" w:hAnsi="Calibri" w:cs="Calibri"/>
          <w:lang w:val="es-GT" w:eastAsia="es-GT"/>
        </w:rPr>
        <w:t xml:space="preserve"> Recuperado en febrero de 2009, de: </w:t>
      </w:r>
      <w:hyperlink r:id="rId54" w:history="1">
        <w:r w:rsidR="00B47FF7" w:rsidRPr="009B1223">
          <w:rPr>
            <w:rStyle w:val="Hipervnculo"/>
            <w:rFonts w:ascii="Calibri" w:hAnsi="Calibri" w:cs="Calibri"/>
            <w:lang w:val="es-GT" w:eastAsia="es-GT"/>
          </w:rPr>
          <w:t>http://www.fao.org/fi/fcp/es/GTM/</w:t>
        </w:r>
      </w:hyperlink>
    </w:p>
    <w:p w:rsidR="00B47FF7" w:rsidRDefault="00B47FF7" w:rsidP="00E55C79">
      <w:pPr>
        <w:spacing w:after="200"/>
        <w:jc w:val="both"/>
        <w:rPr>
          <w:rFonts w:ascii="Calibri" w:hAnsi="Calibri" w:cs="Calibri"/>
          <w:lang w:val="es-GT" w:eastAsia="es-GT"/>
        </w:rPr>
      </w:pPr>
      <w:r w:rsidRPr="00B47FF7">
        <w:rPr>
          <w:rFonts w:ascii="Calibri" w:hAnsi="Calibri" w:cs="Calibri"/>
          <w:lang w:eastAsia="es-GT"/>
        </w:rPr>
        <w:t xml:space="preserve">FAO (Food and Agriculture Organization). (2009). </w:t>
      </w:r>
      <w:r w:rsidRPr="00B47FF7">
        <w:rPr>
          <w:rFonts w:ascii="Calibri" w:hAnsi="Calibri" w:cs="Calibri"/>
          <w:i/>
          <w:lang w:eastAsia="es-GT"/>
        </w:rPr>
        <w:t>State of the world forest.</w:t>
      </w:r>
      <w:r w:rsidRPr="00B47FF7">
        <w:rPr>
          <w:rFonts w:ascii="Calibri" w:hAnsi="Calibri" w:cs="Calibri"/>
          <w:lang w:eastAsia="es-GT"/>
        </w:rPr>
        <w:t xml:space="preserve"> </w:t>
      </w:r>
      <w:r w:rsidRPr="00B47FF7">
        <w:rPr>
          <w:rFonts w:ascii="Calibri" w:hAnsi="Calibri" w:cs="Calibri"/>
          <w:lang w:val="es-GT" w:eastAsia="es-GT"/>
        </w:rPr>
        <w:t>Rome: Author.</w:t>
      </w:r>
    </w:p>
    <w:p w:rsidR="00F620DB" w:rsidRPr="001A01AB" w:rsidRDefault="00F620DB" w:rsidP="00F620DB">
      <w:pPr>
        <w:spacing w:after="200"/>
        <w:jc w:val="both"/>
        <w:rPr>
          <w:rFonts w:ascii="Calibri" w:hAnsi="Calibri" w:cs="Calibri"/>
          <w:lang w:val="es-GT" w:eastAsia="es-GT"/>
        </w:rPr>
      </w:pPr>
      <w:r w:rsidRPr="00253520">
        <w:rPr>
          <w:rFonts w:ascii="Calibri" w:hAnsi="Calibri" w:cs="Calibri"/>
          <w:lang w:val="es-GT" w:eastAsia="es-GT"/>
        </w:rPr>
        <w:t>FAO (Organización de las Naciones Unidas para la Agricultura y la Alimentación).</w:t>
      </w:r>
      <w:r>
        <w:rPr>
          <w:rFonts w:ascii="Calibri" w:hAnsi="Calibri" w:cs="Calibri"/>
          <w:lang w:val="es-GT" w:eastAsia="es-GT"/>
        </w:rPr>
        <w:t xml:space="preserve"> (2011). </w:t>
      </w:r>
      <w:r w:rsidRPr="0033045E">
        <w:rPr>
          <w:rFonts w:ascii="Calibri" w:hAnsi="Calibri" w:cs="Calibri"/>
          <w:highlight w:val="red"/>
          <w:lang w:val="es-GT" w:eastAsia="es-GT"/>
        </w:rPr>
        <w:t>Informe anual 2010, monitoreo de maíz y frijol</w:t>
      </w:r>
      <w:r>
        <w:rPr>
          <w:rFonts w:ascii="Calibri" w:hAnsi="Calibri" w:cs="Calibri"/>
          <w:lang w:val="es-GT" w:eastAsia="es-GT"/>
        </w:rPr>
        <w:t xml:space="preserve">. </w:t>
      </w:r>
      <w:r w:rsidRPr="00F620DB">
        <w:rPr>
          <w:rFonts w:ascii="Calibri" w:hAnsi="Calibri" w:cs="Calibri"/>
          <w:color w:val="FF0000"/>
          <w:lang w:val="es-GT" w:eastAsia="es-GT"/>
        </w:rPr>
        <w:t>Completar</w:t>
      </w:r>
      <w:r w:rsidR="0033045E">
        <w:rPr>
          <w:rFonts w:ascii="Calibri" w:hAnsi="Calibri" w:cs="Calibri"/>
          <w:color w:val="FF0000"/>
          <w:lang w:val="es-GT" w:eastAsia="es-GT"/>
        </w:rPr>
        <w:t xml:space="preserve"> bibliografía y ver si ese es el nombre del documento, pues sólo aparece así en el texto</w:t>
      </w:r>
    </w:p>
    <w:p w:rsidR="00E55C79" w:rsidRPr="001A01AB" w:rsidRDefault="00E55C79" w:rsidP="00E55C79">
      <w:pPr>
        <w:spacing w:after="200"/>
        <w:jc w:val="both"/>
        <w:rPr>
          <w:rFonts w:ascii="Calibri" w:hAnsi="Calibri" w:cs="Calibri"/>
          <w:lang w:val="es-GT" w:eastAsia="es-GT"/>
        </w:rPr>
      </w:pPr>
      <w:r w:rsidRPr="001A01AB">
        <w:rPr>
          <w:rFonts w:ascii="Calibri" w:hAnsi="Calibri" w:cs="Calibri"/>
          <w:lang w:val="es-GT" w:eastAsia="es-GT"/>
        </w:rPr>
        <w:t>FIDA (</w:t>
      </w:r>
      <w:r w:rsidRPr="001A01AB">
        <w:rPr>
          <w:rFonts w:ascii="Calibri" w:hAnsi="Calibri" w:cs="Calibri"/>
          <w:bCs/>
          <w:lang w:val="es-GT" w:eastAsia="es-GT"/>
        </w:rPr>
        <w:t xml:space="preserve">Fondo Internacional de Desarrollo Agrícola). (2003). </w:t>
      </w:r>
      <w:r w:rsidR="008C1EE0">
        <w:rPr>
          <w:rFonts w:ascii="Calibri" w:hAnsi="Calibri" w:cs="Calibri"/>
          <w:bCs/>
          <w:i/>
          <w:lang w:val="es-GT" w:eastAsia="es-GT"/>
        </w:rPr>
        <w:t>Repú</w:t>
      </w:r>
      <w:r w:rsidRPr="001A01AB">
        <w:rPr>
          <w:rFonts w:ascii="Calibri" w:hAnsi="Calibri" w:cs="Calibri"/>
          <w:bCs/>
          <w:i/>
          <w:lang w:val="es-GT" w:eastAsia="es-GT"/>
        </w:rPr>
        <w:t xml:space="preserve">blica de Guatemala. Documento sobre </w:t>
      </w:r>
      <w:r w:rsidR="00BB51BC" w:rsidRPr="001A01AB">
        <w:rPr>
          <w:rFonts w:ascii="Calibri" w:hAnsi="Calibri" w:cs="Calibri"/>
          <w:bCs/>
          <w:i/>
          <w:lang w:val="es-GT" w:eastAsia="es-GT"/>
        </w:rPr>
        <w:t xml:space="preserve">oportunidades estratégicas nacionales </w:t>
      </w:r>
      <w:r w:rsidRPr="001A01AB">
        <w:rPr>
          <w:rFonts w:ascii="Calibri" w:hAnsi="Calibri" w:cs="Calibri"/>
          <w:bCs/>
          <w:i/>
          <w:lang w:val="es-GT" w:eastAsia="es-GT"/>
        </w:rPr>
        <w:t>(</w:t>
      </w:r>
      <w:r w:rsidRPr="001A01AB">
        <w:rPr>
          <w:rFonts w:ascii="Calibri" w:hAnsi="Calibri" w:cs="Calibri"/>
          <w:i/>
          <w:lang w:val="es-GT" w:eastAsia="es-GT"/>
        </w:rPr>
        <w:t>COSOP-BR 2003-2007)</w:t>
      </w:r>
      <w:r w:rsidR="00BB51BC">
        <w:rPr>
          <w:rFonts w:ascii="Calibri" w:hAnsi="Calibri" w:cs="Calibri"/>
          <w:lang w:val="es-GT" w:eastAsia="es-GT"/>
        </w:rPr>
        <w:t>. Roma</w:t>
      </w:r>
      <w:r w:rsidRPr="001A01AB">
        <w:rPr>
          <w:rFonts w:ascii="Calibri" w:hAnsi="Calibri" w:cs="Calibri"/>
          <w:lang w:val="es-GT" w:eastAsia="es-GT"/>
        </w:rPr>
        <w:t xml:space="preserve">: </w:t>
      </w:r>
      <w:r w:rsidR="00BB51BC">
        <w:rPr>
          <w:rFonts w:ascii="Calibri" w:hAnsi="Calibri" w:cs="Calibri"/>
          <w:lang w:val="es-GT" w:eastAsia="es-GT"/>
        </w:rPr>
        <w:t>A</w:t>
      </w:r>
      <w:r w:rsidRPr="001A01AB">
        <w:rPr>
          <w:rFonts w:ascii="Calibri" w:hAnsi="Calibri" w:cs="Calibri"/>
          <w:lang w:val="es-GT" w:eastAsia="es-GT"/>
        </w:rPr>
        <w:t>utor.</w:t>
      </w:r>
    </w:p>
    <w:p w:rsidR="00E55C79" w:rsidRPr="001A01AB" w:rsidRDefault="00E55C79" w:rsidP="00E55C79">
      <w:pPr>
        <w:spacing w:after="200"/>
        <w:jc w:val="both"/>
        <w:rPr>
          <w:rFonts w:ascii="Calibri" w:hAnsi="Calibri" w:cs="Calibri"/>
          <w:lang w:val="es-GT" w:eastAsia="es-GT"/>
        </w:rPr>
      </w:pPr>
      <w:r w:rsidRPr="001A01AB">
        <w:rPr>
          <w:rFonts w:ascii="Calibri" w:hAnsi="Calibri" w:cs="Calibri"/>
          <w:lang w:val="es-GT" w:eastAsia="es-GT"/>
        </w:rPr>
        <w:t>FIDA (</w:t>
      </w:r>
      <w:r w:rsidRPr="001A01AB">
        <w:rPr>
          <w:rFonts w:ascii="Calibri" w:hAnsi="Calibri" w:cs="Calibri"/>
          <w:bCs/>
          <w:lang w:val="es-GT" w:eastAsia="es-GT"/>
        </w:rPr>
        <w:t xml:space="preserve">Fondo Internacional de Desarrollo Agrícola). (2008). </w:t>
      </w:r>
      <w:r w:rsidR="008C1EE0">
        <w:rPr>
          <w:rFonts w:ascii="Calibri" w:hAnsi="Calibri" w:cs="Calibri"/>
          <w:bCs/>
          <w:i/>
          <w:lang w:val="es-GT" w:eastAsia="es-GT"/>
        </w:rPr>
        <w:t>Repú</w:t>
      </w:r>
      <w:r w:rsidRPr="001A01AB">
        <w:rPr>
          <w:rFonts w:ascii="Calibri" w:hAnsi="Calibri" w:cs="Calibri"/>
          <w:bCs/>
          <w:i/>
          <w:lang w:val="es-GT" w:eastAsia="es-GT"/>
        </w:rPr>
        <w:t xml:space="preserve">blica de Guatemala. Documento sobre </w:t>
      </w:r>
      <w:r w:rsidR="00BB51BC" w:rsidRPr="001A01AB">
        <w:rPr>
          <w:rFonts w:ascii="Calibri" w:hAnsi="Calibri" w:cs="Calibri"/>
          <w:bCs/>
          <w:i/>
          <w:lang w:val="es-GT" w:eastAsia="es-GT"/>
        </w:rPr>
        <w:t xml:space="preserve">oportunidades estratégicas nacionales </w:t>
      </w:r>
      <w:r w:rsidRPr="001A01AB">
        <w:rPr>
          <w:rFonts w:ascii="Calibri" w:hAnsi="Calibri" w:cs="Calibri"/>
          <w:bCs/>
          <w:i/>
          <w:lang w:val="es-GT" w:eastAsia="es-GT"/>
        </w:rPr>
        <w:t>(</w:t>
      </w:r>
      <w:r w:rsidRPr="001A01AB">
        <w:rPr>
          <w:rFonts w:ascii="Calibri" w:hAnsi="Calibri" w:cs="Calibri"/>
          <w:i/>
          <w:lang w:val="es-GT" w:eastAsia="es-GT"/>
        </w:rPr>
        <w:t>COSOP-BR 2008-2012).</w:t>
      </w:r>
      <w:r w:rsidRPr="001A01AB">
        <w:rPr>
          <w:rFonts w:ascii="Calibri" w:hAnsi="Calibri" w:cs="Calibri"/>
          <w:lang w:val="es-GT" w:eastAsia="es-GT"/>
        </w:rPr>
        <w:t xml:space="preserve"> Roma: </w:t>
      </w:r>
      <w:r w:rsidR="00BB51BC">
        <w:rPr>
          <w:rFonts w:ascii="Calibri" w:hAnsi="Calibri" w:cs="Calibri"/>
          <w:lang w:val="es-GT" w:eastAsia="es-GT"/>
        </w:rPr>
        <w:t>A</w:t>
      </w:r>
      <w:r w:rsidRPr="001A01AB">
        <w:rPr>
          <w:rFonts w:ascii="Calibri" w:hAnsi="Calibri" w:cs="Calibri"/>
          <w:lang w:val="es-GT" w:eastAsia="es-GT"/>
        </w:rPr>
        <w:t>utor.</w:t>
      </w:r>
    </w:p>
    <w:p w:rsidR="00E55C79" w:rsidRPr="001A01AB" w:rsidRDefault="00E55C79" w:rsidP="00E55C79">
      <w:pPr>
        <w:spacing w:after="200"/>
        <w:jc w:val="both"/>
        <w:rPr>
          <w:rFonts w:ascii="Calibri" w:hAnsi="Calibri" w:cs="Calibri"/>
          <w:lang w:val="es-MX"/>
        </w:rPr>
      </w:pPr>
      <w:r w:rsidRPr="001A01AB">
        <w:rPr>
          <w:rFonts w:ascii="Calibri" w:hAnsi="Calibri" w:cs="Calibri"/>
          <w:lang w:val="es-MX"/>
        </w:rPr>
        <w:lastRenderedPageBreak/>
        <w:t>FUNDESA (Fundación para el Desarrollo de Guatemala). (2012</w:t>
      </w:r>
      <w:r w:rsidR="00BB51BC">
        <w:rPr>
          <w:rFonts w:ascii="Calibri" w:hAnsi="Calibri" w:cs="Calibri"/>
          <w:lang w:val="es-MX"/>
        </w:rPr>
        <w:t>, Abril</w:t>
      </w:r>
      <w:r w:rsidRPr="001A01AB">
        <w:rPr>
          <w:rFonts w:ascii="Calibri" w:hAnsi="Calibri" w:cs="Calibri"/>
          <w:lang w:val="es-MX"/>
        </w:rPr>
        <w:t xml:space="preserve">). </w:t>
      </w:r>
      <w:r w:rsidRPr="001A01AB">
        <w:rPr>
          <w:rFonts w:ascii="Calibri" w:hAnsi="Calibri" w:cs="Calibri"/>
          <w:i/>
          <w:lang w:val="es-MX"/>
        </w:rPr>
        <w:t xml:space="preserve">Boletín de </w:t>
      </w:r>
      <w:r w:rsidR="00BB51BC" w:rsidRPr="001A01AB">
        <w:rPr>
          <w:rFonts w:ascii="Calibri" w:hAnsi="Calibri" w:cs="Calibri"/>
          <w:i/>
          <w:lang w:val="es-MX"/>
        </w:rPr>
        <w:t xml:space="preserve">desarrollo de inversión social </w:t>
      </w:r>
      <w:r w:rsidRPr="001A01AB">
        <w:rPr>
          <w:rFonts w:ascii="Calibri" w:hAnsi="Calibri" w:cs="Calibri"/>
          <w:i/>
          <w:lang w:val="es-MX"/>
        </w:rPr>
        <w:t xml:space="preserve">en Guatemala: </w:t>
      </w:r>
      <w:r w:rsidR="00BB51BC" w:rsidRPr="001A01AB">
        <w:rPr>
          <w:rFonts w:ascii="Calibri" w:hAnsi="Calibri" w:cs="Calibri"/>
          <w:i/>
          <w:lang w:val="es-MX"/>
        </w:rPr>
        <w:t>educación, salud y agua potable</w:t>
      </w:r>
      <w:r w:rsidRPr="001A01AB">
        <w:rPr>
          <w:rFonts w:ascii="Calibri" w:hAnsi="Calibri" w:cs="Calibri"/>
          <w:lang w:val="es-MX"/>
        </w:rPr>
        <w:t>. Guatemala: Autor.</w:t>
      </w:r>
    </w:p>
    <w:p w:rsidR="00E55C79" w:rsidRPr="001A01AB" w:rsidRDefault="00E55C79" w:rsidP="00E55C79">
      <w:pPr>
        <w:spacing w:after="200"/>
        <w:jc w:val="both"/>
        <w:rPr>
          <w:rFonts w:ascii="Calibri" w:hAnsi="Calibri" w:cs="Calibri"/>
          <w:lang w:val="es-GT" w:eastAsia="es-GT"/>
        </w:rPr>
      </w:pPr>
      <w:r w:rsidRPr="001A01AB">
        <w:rPr>
          <w:rFonts w:ascii="Calibri" w:hAnsi="Calibri" w:cs="Calibri"/>
          <w:lang w:val="es-GT" w:eastAsia="es-GT"/>
        </w:rPr>
        <w:t xml:space="preserve">Gallopín, G. (2003). </w:t>
      </w:r>
      <w:r w:rsidRPr="001A01AB">
        <w:rPr>
          <w:rFonts w:ascii="Calibri" w:hAnsi="Calibri" w:cs="Calibri"/>
          <w:i/>
          <w:lang w:val="es-GT" w:eastAsia="es-GT"/>
        </w:rPr>
        <w:t>Sostenibilidad y desarrollo sostenible: un enfoque sistémico</w:t>
      </w:r>
      <w:r w:rsidRPr="001A01AB">
        <w:rPr>
          <w:rFonts w:ascii="Calibri" w:hAnsi="Calibri" w:cs="Calibri"/>
          <w:lang w:val="es-GT" w:eastAsia="es-GT"/>
        </w:rPr>
        <w:t xml:space="preserve"> (Serie Medio Ambiente y Desarrollo N</w:t>
      </w:r>
      <w:r w:rsidR="00BB51BC">
        <w:rPr>
          <w:rFonts w:ascii="Calibri" w:hAnsi="Calibri" w:cs="Calibri"/>
          <w:lang w:val="es-GT" w:eastAsia="es-GT"/>
        </w:rPr>
        <w:t>o.</w:t>
      </w:r>
      <w:r w:rsidRPr="001A01AB">
        <w:rPr>
          <w:rFonts w:ascii="Calibri" w:hAnsi="Calibri" w:cs="Calibri"/>
          <w:lang w:val="es-GT" w:eastAsia="es-GT"/>
        </w:rPr>
        <w:t xml:space="preserve"> 64). Santiago: Comisión Económica para América Latina y el Caribe (CEPAL), División de Desarrollo Sostenible y Asentamientos Humanos.</w:t>
      </w:r>
    </w:p>
    <w:p w:rsidR="005B64A5" w:rsidRDefault="005B64A5" w:rsidP="005B64A5">
      <w:pPr>
        <w:spacing w:after="200"/>
        <w:jc w:val="both"/>
        <w:rPr>
          <w:rFonts w:ascii="Calibri" w:hAnsi="Calibri" w:cs="Calibri"/>
          <w:lang w:val="es-GT" w:eastAsia="es-GT"/>
        </w:rPr>
      </w:pPr>
      <w:r w:rsidRPr="005B64A5">
        <w:rPr>
          <w:rFonts w:ascii="Calibri" w:hAnsi="Calibri" w:cs="Calibri"/>
          <w:lang w:val="es-GT" w:eastAsia="es-GT"/>
        </w:rPr>
        <w:t xml:space="preserve">Gálvez, J. (2011, marzo 25). Mucha agua, poca gestión. </w:t>
      </w:r>
      <w:r w:rsidRPr="005B64A5">
        <w:rPr>
          <w:rFonts w:ascii="Calibri" w:hAnsi="Calibri" w:cs="Calibri"/>
          <w:i/>
          <w:lang w:val="es-GT" w:eastAsia="es-GT"/>
        </w:rPr>
        <w:t>Plaza Pública.</w:t>
      </w:r>
      <w:r w:rsidRPr="005B64A5">
        <w:rPr>
          <w:rFonts w:ascii="Calibri" w:hAnsi="Calibri" w:cs="Calibri"/>
          <w:lang w:val="es-GT" w:eastAsia="es-GT"/>
        </w:rPr>
        <w:t xml:space="preserve"> Recuperado de: http://plazapublica.com.gt/content/mucha-agua-poca-gestion</w:t>
      </w:r>
    </w:p>
    <w:p w:rsidR="005B64A5" w:rsidRDefault="005B64A5" w:rsidP="00E55C79">
      <w:pPr>
        <w:spacing w:after="200"/>
        <w:jc w:val="both"/>
        <w:rPr>
          <w:rFonts w:ascii="Calibri" w:hAnsi="Calibri" w:cs="Calibri"/>
          <w:lang w:val="es-GT" w:eastAsia="es-GT"/>
        </w:rPr>
      </w:pPr>
      <w:r w:rsidRPr="005B64A5">
        <w:rPr>
          <w:rFonts w:ascii="Calibri" w:hAnsi="Calibri" w:cs="Calibri"/>
          <w:lang w:val="es-GT" w:eastAsia="es-GT"/>
        </w:rPr>
        <w:t>Gálvez, J. (2011</w:t>
      </w:r>
      <w:r>
        <w:rPr>
          <w:rFonts w:ascii="Calibri" w:hAnsi="Calibri" w:cs="Calibri"/>
          <w:lang w:val="es-GT" w:eastAsia="es-GT"/>
        </w:rPr>
        <w:t xml:space="preserve">, </w:t>
      </w:r>
      <w:r w:rsidRPr="005B64A5">
        <w:rPr>
          <w:rFonts w:ascii="Calibri" w:hAnsi="Calibri" w:cs="Calibri"/>
          <w:lang w:val="es-GT" w:eastAsia="es-GT"/>
        </w:rPr>
        <w:t xml:space="preserve">6 mayo). Deforestación incontenible. </w:t>
      </w:r>
      <w:r w:rsidRPr="005B64A5">
        <w:rPr>
          <w:rFonts w:ascii="Calibri" w:hAnsi="Calibri" w:cs="Calibri"/>
          <w:i/>
          <w:lang w:val="es-GT" w:eastAsia="es-GT"/>
        </w:rPr>
        <w:t>Plaza Pública.</w:t>
      </w:r>
      <w:r w:rsidRPr="005B64A5">
        <w:rPr>
          <w:rFonts w:ascii="Calibri" w:hAnsi="Calibri" w:cs="Calibri"/>
          <w:lang w:val="es-GT" w:eastAsia="es-GT"/>
        </w:rPr>
        <w:t xml:space="preserve"> Recuperado de: </w:t>
      </w:r>
      <w:hyperlink r:id="rId55" w:history="1">
        <w:r w:rsidRPr="009B1223">
          <w:rPr>
            <w:rStyle w:val="Hipervnculo"/>
            <w:rFonts w:ascii="Calibri" w:hAnsi="Calibri" w:cs="Calibri"/>
            <w:lang w:val="es-GT" w:eastAsia="es-GT"/>
          </w:rPr>
          <w:t>http://plazapublica.com.gt/plazapublica/index.php?option=com_content&amp;view=article&amp;id=447:deforestacion-incontenible&amp;catid=35:segunda&amp;ltemid=72</w:t>
        </w:r>
      </w:hyperlink>
      <w:r>
        <w:rPr>
          <w:rFonts w:ascii="Calibri" w:hAnsi="Calibri" w:cs="Calibri"/>
          <w:lang w:val="es-GT" w:eastAsia="es-GT"/>
        </w:rPr>
        <w:t xml:space="preserve"> </w:t>
      </w:r>
    </w:p>
    <w:p w:rsidR="00E55C79" w:rsidRPr="001A01AB" w:rsidRDefault="00E55C79" w:rsidP="00E55C79">
      <w:pPr>
        <w:spacing w:after="200"/>
        <w:jc w:val="both"/>
        <w:rPr>
          <w:rFonts w:ascii="Calibri" w:hAnsi="Calibri" w:cs="Calibri"/>
          <w:lang w:val="es-GT" w:eastAsia="es-GT"/>
        </w:rPr>
      </w:pPr>
      <w:r w:rsidRPr="001A01AB">
        <w:rPr>
          <w:rFonts w:ascii="Calibri" w:hAnsi="Calibri" w:cs="Calibri"/>
          <w:lang w:val="es-GT" w:eastAsia="es-GT"/>
        </w:rPr>
        <w:t xml:space="preserve">García, M. </w:t>
      </w:r>
      <w:r w:rsidRPr="001A01AB">
        <w:rPr>
          <w:rFonts w:ascii="Calibri" w:hAnsi="Calibri" w:cs="Calibri"/>
          <w:i/>
          <w:iCs/>
          <w:lang w:val="es-GT" w:eastAsia="es-GT"/>
        </w:rPr>
        <w:t>et al</w:t>
      </w:r>
      <w:r w:rsidRPr="001A01AB">
        <w:rPr>
          <w:rFonts w:ascii="Calibri" w:hAnsi="Calibri" w:cs="Calibri"/>
          <w:lang w:val="es-GT" w:eastAsia="es-GT"/>
        </w:rPr>
        <w:t xml:space="preserve">. (2010). </w:t>
      </w:r>
      <w:r w:rsidRPr="001A01AB">
        <w:rPr>
          <w:rFonts w:ascii="Calibri" w:hAnsi="Calibri" w:cs="Calibri"/>
          <w:i/>
          <w:iCs/>
          <w:lang w:val="es-GT" w:eastAsia="es-GT"/>
        </w:rPr>
        <w:t>Situación del Sistema Socio-Político-Ambiental de Guatemala y perspectivas de desarrollo.</w:t>
      </w:r>
      <w:r w:rsidRPr="001A01AB">
        <w:rPr>
          <w:rFonts w:ascii="Calibri" w:hAnsi="Calibri" w:cs="Calibri"/>
          <w:lang w:val="es-GT" w:eastAsia="es-GT"/>
        </w:rPr>
        <w:t xml:space="preserve"> Guatemala: Foro de Políticas del Estado (Foro-PE) e Instituto de Agricultura, Recursos Naturales y Ambiente de la Universidad Rafael Landívar (IARNA-URL).</w:t>
      </w:r>
    </w:p>
    <w:p w:rsidR="005B64A5" w:rsidRDefault="005B64A5" w:rsidP="00BB51BC">
      <w:pPr>
        <w:spacing w:after="200"/>
        <w:jc w:val="both"/>
        <w:rPr>
          <w:rFonts w:ascii="Calibri" w:hAnsi="Calibri" w:cs="Calibri"/>
          <w:lang w:val="es-GT"/>
        </w:rPr>
      </w:pPr>
      <w:r w:rsidRPr="005B64A5">
        <w:rPr>
          <w:rFonts w:ascii="Calibri" w:hAnsi="Calibri" w:cs="Calibri"/>
          <w:lang w:val="es-GT"/>
        </w:rPr>
        <w:t xml:space="preserve">Gordillo, C. (2010). </w:t>
      </w:r>
      <w:r w:rsidRPr="005B64A5">
        <w:rPr>
          <w:rFonts w:ascii="Calibri" w:hAnsi="Calibri" w:cs="Calibri"/>
          <w:i/>
          <w:lang w:val="es-GT"/>
        </w:rPr>
        <w:t xml:space="preserve">Situación actual y directrices para el manejo de las tierras forestales de muy alta, alta y media captación y regulación hidrológica de Guatemala. </w:t>
      </w:r>
      <w:r w:rsidRPr="005B64A5">
        <w:rPr>
          <w:rFonts w:ascii="Calibri" w:hAnsi="Calibri" w:cs="Calibri"/>
          <w:lang w:val="es-GT"/>
        </w:rPr>
        <w:t>Tesis para optar al título de Ingeniero Agrónomo, Facultad de Ciencias Ambientales y Agrícolas, Universidad Rafael Landívar, Guatemala.</w:t>
      </w:r>
    </w:p>
    <w:p w:rsidR="005B64A5" w:rsidRDefault="005B64A5" w:rsidP="00BB51BC">
      <w:pPr>
        <w:spacing w:after="200"/>
        <w:jc w:val="both"/>
        <w:rPr>
          <w:rFonts w:ascii="Calibri" w:hAnsi="Calibri" w:cs="Calibri"/>
          <w:lang w:val="es-GT"/>
        </w:rPr>
      </w:pPr>
      <w:r w:rsidRPr="005B64A5">
        <w:rPr>
          <w:rFonts w:ascii="Calibri" w:hAnsi="Calibri" w:cs="Calibri"/>
          <w:lang w:val="es-GT"/>
        </w:rPr>
        <w:t xml:space="preserve">Gremial de Huleros de Guatemala (2 mayo, 2011). </w:t>
      </w:r>
      <w:r w:rsidRPr="005B64A5">
        <w:rPr>
          <w:rFonts w:ascii="Calibri" w:hAnsi="Calibri" w:cs="Calibri"/>
          <w:i/>
          <w:lang w:val="es-GT"/>
        </w:rPr>
        <w:t>Sitio web institucional</w:t>
      </w:r>
      <w:r w:rsidRPr="005B64A5">
        <w:rPr>
          <w:rFonts w:ascii="Calibri" w:hAnsi="Calibri" w:cs="Calibri"/>
          <w:lang w:val="es-GT"/>
        </w:rPr>
        <w:t>: http://prueba.gremialdehuleros.org/Paginas_web/Quienessomos.htm</w:t>
      </w:r>
    </w:p>
    <w:p w:rsidR="005B64A5" w:rsidRDefault="005B64A5" w:rsidP="00BB51BC">
      <w:pPr>
        <w:spacing w:after="200"/>
        <w:jc w:val="both"/>
        <w:rPr>
          <w:rFonts w:ascii="Calibri" w:hAnsi="Calibri" w:cs="Calibri"/>
          <w:lang w:val="es-GT"/>
        </w:rPr>
      </w:pPr>
      <w:r w:rsidRPr="005B64A5">
        <w:rPr>
          <w:rFonts w:ascii="Calibri" w:hAnsi="Calibri" w:cs="Calibri"/>
          <w:i/>
          <w:lang w:val="es-GT"/>
        </w:rPr>
        <w:t>Guatemala busca un manejo integral de aguas</w:t>
      </w:r>
      <w:r w:rsidRPr="005B64A5">
        <w:rPr>
          <w:rFonts w:ascii="Calibri" w:hAnsi="Calibri" w:cs="Calibri"/>
          <w:lang w:val="es-GT"/>
        </w:rPr>
        <w:t xml:space="preserve"> (2008, julio 21). Recuperado en noviembre de 2011, de: http://www.deguate.com/artman/publish/ecologia_florafauna/guatemala-busca-un-manejo-integral-de-aguas.shtml</w:t>
      </w:r>
    </w:p>
    <w:p w:rsidR="00BB51BC" w:rsidRPr="001A01AB" w:rsidRDefault="00BB51BC" w:rsidP="00BB51BC">
      <w:pPr>
        <w:spacing w:after="200"/>
        <w:jc w:val="both"/>
        <w:rPr>
          <w:rFonts w:ascii="Calibri" w:hAnsi="Calibri" w:cs="Calibri"/>
          <w:lang w:val="es-GT"/>
        </w:rPr>
      </w:pPr>
      <w:r>
        <w:rPr>
          <w:rFonts w:ascii="Calibri" w:hAnsi="Calibri" w:cs="Calibri"/>
          <w:lang w:val="es-GT"/>
        </w:rPr>
        <w:t>IARNA-</w:t>
      </w:r>
      <w:r w:rsidRPr="001A01AB">
        <w:rPr>
          <w:rFonts w:ascii="Calibri" w:hAnsi="Calibri" w:cs="Calibri"/>
          <w:lang w:val="es-GT"/>
        </w:rPr>
        <w:t xml:space="preserve">URL (Instituto de Agricultura, Recursos Naturales y Ambiente de la Universidad Rafael Landívar). </w:t>
      </w:r>
      <w:r>
        <w:rPr>
          <w:rFonts w:ascii="Calibri" w:hAnsi="Calibri" w:cs="Calibri"/>
          <w:lang w:val="es-GT"/>
        </w:rPr>
        <w:t>(</w:t>
      </w:r>
      <w:r w:rsidRPr="001A01AB">
        <w:rPr>
          <w:rFonts w:ascii="Calibri" w:hAnsi="Calibri" w:cs="Calibri"/>
          <w:lang w:val="es-GT"/>
        </w:rPr>
        <w:t>2009</w:t>
      </w:r>
      <w:r>
        <w:rPr>
          <w:rFonts w:ascii="Calibri" w:hAnsi="Calibri" w:cs="Calibri"/>
          <w:lang w:val="es-GT"/>
        </w:rPr>
        <w:t>)</w:t>
      </w:r>
      <w:r w:rsidRPr="001A01AB">
        <w:rPr>
          <w:rFonts w:ascii="Calibri" w:hAnsi="Calibri" w:cs="Calibri"/>
          <w:lang w:val="es-GT"/>
        </w:rPr>
        <w:t xml:space="preserve">. </w:t>
      </w:r>
      <w:r w:rsidRPr="001A01AB">
        <w:rPr>
          <w:rFonts w:ascii="Calibri" w:hAnsi="Calibri" w:cs="Calibri"/>
          <w:i/>
          <w:lang w:val="es-GT"/>
        </w:rPr>
        <w:t>Perfil Ambiental de Guatemala 2008-2009: las señales ambientales críticas y su relación con el desarrollo</w:t>
      </w:r>
      <w:r w:rsidRPr="001A01AB">
        <w:rPr>
          <w:rFonts w:ascii="Calibri" w:hAnsi="Calibri" w:cs="Calibri"/>
          <w:lang w:val="es-GT"/>
        </w:rPr>
        <w:t>. Guatemala. Autor.</w:t>
      </w:r>
    </w:p>
    <w:p w:rsidR="00BB51BC" w:rsidRPr="001A01AB" w:rsidRDefault="00BB51BC" w:rsidP="00BB51BC">
      <w:pPr>
        <w:autoSpaceDE w:val="0"/>
        <w:autoSpaceDN w:val="0"/>
        <w:adjustRightInd w:val="0"/>
        <w:spacing w:after="200"/>
        <w:jc w:val="both"/>
        <w:rPr>
          <w:rFonts w:ascii="Calibri" w:hAnsi="Calibri" w:cs="Calibri"/>
          <w:lang w:val="es-GT" w:eastAsia="es-GT"/>
        </w:rPr>
      </w:pPr>
      <w:r w:rsidRPr="001A01AB">
        <w:rPr>
          <w:rFonts w:ascii="Calibri" w:hAnsi="Calibri" w:cs="Calibri"/>
          <w:lang w:val="es-GT" w:eastAsia="es-GT"/>
        </w:rPr>
        <w:t xml:space="preserve">IARNA-URL (Instituto de Agricultura, Recursos Naturales y Ambiente de la Universidad Rafael Landívar). (2011). </w:t>
      </w:r>
      <w:r w:rsidRPr="00BB51BC">
        <w:rPr>
          <w:rFonts w:ascii="Calibri" w:hAnsi="Calibri" w:cs="Calibri"/>
          <w:i/>
          <w:lang w:val="es-GT" w:eastAsia="es-GT"/>
        </w:rPr>
        <w:t>Cambio climático y biodiversidad.</w:t>
      </w:r>
      <w:r w:rsidRPr="001A01AB">
        <w:rPr>
          <w:rFonts w:ascii="Calibri" w:hAnsi="Calibri" w:cs="Calibri"/>
          <w:lang w:val="es-GT" w:eastAsia="es-GT"/>
        </w:rPr>
        <w:t xml:space="preserve"> Guatemala: Autor.</w:t>
      </w:r>
    </w:p>
    <w:p w:rsidR="00BB51BC" w:rsidRPr="001A01AB" w:rsidRDefault="00BB51BC" w:rsidP="00BB51BC">
      <w:pPr>
        <w:spacing w:after="200"/>
        <w:jc w:val="both"/>
        <w:rPr>
          <w:rFonts w:ascii="Calibri" w:hAnsi="Calibri" w:cs="Calibri"/>
          <w:lang w:val="es-GT"/>
        </w:rPr>
      </w:pPr>
      <w:r w:rsidRPr="001A01AB">
        <w:rPr>
          <w:rFonts w:ascii="Calibri" w:hAnsi="Calibri" w:cs="Calibri"/>
          <w:lang w:val="es-GT"/>
        </w:rPr>
        <w:t xml:space="preserve">IARNA-URL (Instituto de Agricultura, Recursos Naturales y Ambiente de la Universidad Rafael Landívar). </w:t>
      </w:r>
      <w:r>
        <w:rPr>
          <w:rFonts w:ascii="Calibri" w:hAnsi="Calibri" w:cs="Calibri"/>
          <w:lang w:val="es-GT"/>
        </w:rPr>
        <w:t>(</w:t>
      </w:r>
      <w:r w:rsidRPr="001A01AB">
        <w:rPr>
          <w:rFonts w:ascii="Calibri" w:hAnsi="Calibri" w:cs="Calibri"/>
          <w:lang w:val="es-GT"/>
        </w:rPr>
        <w:t>2012</w:t>
      </w:r>
      <w:r>
        <w:rPr>
          <w:rFonts w:ascii="Calibri" w:hAnsi="Calibri" w:cs="Calibri"/>
          <w:lang w:val="es-GT"/>
        </w:rPr>
        <w:t>)</w:t>
      </w:r>
      <w:r w:rsidRPr="001A01AB">
        <w:rPr>
          <w:rFonts w:ascii="Calibri" w:hAnsi="Calibri" w:cs="Calibri"/>
          <w:lang w:val="es-GT"/>
        </w:rPr>
        <w:t xml:space="preserve">. </w:t>
      </w:r>
      <w:r w:rsidRPr="001A01AB">
        <w:rPr>
          <w:rFonts w:ascii="Calibri" w:hAnsi="Calibri" w:cs="Calibri"/>
          <w:i/>
          <w:lang w:val="es-GT"/>
        </w:rPr>
        <w:t>Perfil Ambiental de Guatemala 2010-2012. Vulnerabilidad local y creciente construcción de riesgo</w:t>
      </w:r>
      <w:r>
        <w:rPr>
          <w:rFonts w:ascii="Calibri" w:hAnsi="Calibri" w:cs="Calibri"/>
          <w:lang w:val="es-GT"/>
        </w:rPr>
        <w:t>. Guatemala:</w:t>
      </w:r>
      <w:r w:rsidRPr="001A01AB">
        <w:rPr>
          <w:rFonts w:ascii="Calibri" w:hAnsi="Calibri" w:cs="Calibri"/>
          <w:lang w:val="es-GT"/>
        </w:rPr>
        <w:t xml:space="preserve"> Autor.</w:t>
      </w:r>
    </w:p>
    <w:p w:rsidR="009F0BDF" w:rsidRPr="001A01AB" w:rsidRDefault="009F0BDF" w:rsidP="009F0BDF">
      <w:pPr>
        <w:autoSpaceDE w:val="0"/>
        <w:autoSpaceDN w:val="0"/>
        <w:adjustRightInd w:val="0"/>
        <w:spacing w:after="200"/>
        <w:jc w:val="both"/>
        <w:rPr>
          <w:rFonts w:ascii="Calibri" w:hAnsi="Calibri" w:cs="Calibri"/>
          <w:lang w:val="es-MX"/>
        </w:rPr>
      </w:pPr>
      <w:r>
        <w:rPr>
          <w:rFonts w:ascii="Calibri" w:hAnsi="Calibri" w:cs="Calibri"/>
          <w:lang w:val="es-GT" w:eastAsia="es-GT"/>
        </w:rPr>
        <w:t xml:space="preserve">IARNA-URL e </w:t>
      </w:r>
      <w:r w:rsidRPr="001A01AB">
        <w:rPr>
          <w:rFonts w:ascii="Calibri" w:hAnsi="Calibri" w:cs="Calibri"/>
          <w:lang w:val="es-GT" w:eastAsia="es-GT"/>
        </w:rPr>
        <w:t xml:space="preserve">IIA (Instituto de Agricultura, Recursos Naturales y Ambiente </w:t>
      </w:r>
      <w:r>
        <w:rPr>
          <w:rFonts w:ascii="Calibri" w:hAnsi="Calibri" w:cs="Calibri"/>
          <w:lang w:val="es-GT" w:eastAsia="es-GT"/>
        </w:rPr>
        <w:t xml:space="preserve">de la </w:t>
      </w:r>
      <w:r w:rsidRPr="001A01AB">
        <w:rPr>
          <w:rFonts w:ascii="Calibri" w:hAnsi="Calibri" w:cs="Calibri"/>
          <w:lang w:val="es-GT" w:eastAsia="es-GT"/>
        </w:rPr>
        <w:t xml:space="preserve">Universidad Rafael Landívar e Instituto de Incidencia Ambiental). (2003a). </w:t>
      </w:r>
      <w:r w:rsidRPr="001A01AB">
        <w:rPr>
          <w:rFonts w:ascii="Calibri" w:hAnsi="Calibri" w:cs="Calibri"/>
          <w:i/>
          <w:iCs/>
          <w:lang w:val="es-GT" w:eastAsia="es-GT"/>
        </w:rPr>
        <w:t xml:space="preserve">Estado actual del clima y la calidad del aire en Guatemala. </w:t>
      </w:r>
      <w:r w:rsidRPr="001A01AB">
        <w:rPr>
          <w:rFonts w:ascii="Calibri" w:hAnsi="Calibri" w:cs="Calibri"/>
          <w:lang w:val="es-GT" w:eastAsia="es-GT"/>
        </w:rPr>
        <w:t>Guatemala: Autor.</w:t>
      </w:r>
    </w:p>
    <w:p w:rsidR="009F0BDF" w:rsidRPr="001A01AB" w:rsidRDefault="009F0BDF" w:rsidP="009F0BDF">
      <w:pPr>
        <w:autoSpaceDE w:val="0"/>
        <w:autoSpaceDN w:val="0"/>
        <w:adjustRightInd w:val="0"/>
        <w:spacing w:after="200"/>
        <w:jc w:val="both"/>
        <w:rPr>
          <w:rFonts w:ascii="Calibri" w:hAnsi="Calibri" w:cs="Calibri"/>
          <w:lang w:val="es-MX"/>
        </w:rPr>
      </w:pPr>
      <w:r>
        <w:rPr>
          <w:rFonts w:ascii="Calibri" w:hAnsi="Calibri" w:cs="Calibri"/>
          <w:lang w:val="es-GT" w:eastAsia="es-GT"/>
        </w:rPr>
        <w:t xml:space="preserve">IARNA-URL e </w:t>
      </w:r>
      <w:r w:rsidRPr="001A01AB">
        <w:rPr>
          <w:rFonts w:ascii="Calibri" w:hAnsi="Calibri" w:cs="Calibri"/>
          <w:lang w:val="es-GT" w:eastAsia="es-GT"/>
        </w:rPr>
        <w:t xml:space="preserve">IIA (Instituto de Agricultura, Recursos Naturales y Ambiente </w:t>
      </w:r>
      <w:r>
        <w:rPr>
          <w:rFonts w:ascii="Calibri" w:hAnsi="Calibri" w:cs="Calibri"/>
          <w:lang w:val="es-GT" w:eastAsia="es-GT"/>
        </w:rPr>
        <w:t xml:space="preserve">de la </w:t>
      </w:r>
      <w:r w:rsidRPr="001A01AB">
        <w:rPr>
          <w:rFonts w:ascii="Calibri" w:hAnsi="Calibri" w:cs="Calibri"/>
          <w:lang w:val="es-GT" w:eastAsia="es-GT"/>
        </w:rPr>
        <w:t xml:space="preserve">Universidad Rafael Landívar e Instituto de Incidencia Ambiental). (2003b). </w:t>
      </w:r>
      <w:r w:rsidRPr="001A01AB">
        <w:rPr>
          <w:rFonts w:ascii="Calibri" w:hAnsi="Calibri" w:cs="Calibri"/>
          <w:i/>
          <w:iCs/>
          <w:lang w:val="es-GT" w:eastAsia="es-GT"/>
        </w:rPr>
        <w:t>Estado del uso actual de la tierra en Guatemala</w:t>
      </w:r>
      <w:r w:rsidRPr="001A01AB">
        <w:rPr>
          <w:rFonts w:ascii="Calibri" w:hAnsi="Calibri" w:cs="Calibri"/>
          <w:lang w:val="es-GT" w:eastAsia="es-GT"/>
        </w:rPr>
        <w:t>. Guatemala: Autor.</w:t>
      </w:r>
      <w:r>
        <w:rPr>
          <w:rFonts w:ascii="Calibri" w:hAnsi="Calibri" w:cs="Calibri"/>
          <w:lang w:val="es-GT" w:eastAsia="es-GT"/>
        </w:rPr>
        <w:t xml:space="preserve"> </w:t>
      </w:r>
    </w:p>
    <w:p w:rsidR="00E55C79" w:rsidRPr="001A01AB" w:rsidRDefault="00E55C79" w:rsidP="00E55C79">
      <w:pPr>
        <w:autoSpaceDE w:val="0"/>
        <w:autoSpaceDN w:val="0"/>
        <w:adjustRightInd w:val="0"/>
        <w:spacing w:after="200"/>
        <w:jc w:val="both"/>
        <w:rPr>
          <w:rFonts w:ascii="Calibri" w:hAnsi="Calibri" w:cs="Calibri"/>
          <w:lang w:val="es-GT" w:eastAsia="es-GT"/>
        </w:rPr>
      </w:pPr>
      <w:r w:rsidRPr="001A01AB">
        <w:rPr>
          <w:rFonts w:ascii="Calibri" w:hAnsi="Calibri" w:cs="Calibri"/>
          <w:lang w:val="es-GT" w:eastAsia="es-GT"/>
        </w:rPr>
        <w:lastRenderedPageBreak/>
        <w:t xml:space="preserve">IARNA-URL e IIA (Instituto de Agricultura, Recursos Naturales y Ambiente de la Universidad Rafael Landívar e Instituto de Incidencia Ambiental). (2004). </w:t>
      </w:r>
      <w:r w:rsidRPr="00BB51BC">
        <w:rPr>
          <w:rFonts w:ascii="Calibri" w:hAnsi="Calibri" w:cs="Calibri"/>
          <w:i/>
          <w:lang w:val="es-GT" w:eastAsia="es-GT"/>
        </w:rPr>
        <w:t>Perfil Ambiental de Guatemala. Informe sobre el estado del ambiente y bases para su evaluación sistemática.</w:t>
      </w:r>
      <w:r w:rsidRPr="001A01AB">
        <w:rPr>
          <w:rFonts w:ascii="Calibri" w:hAnsi="Calibri" w:cs="Calibri"/>
          <w:lang w:val="es-GT" w:eastAsia="es-GT"/>
        </w:rPr>
        <w:t xml:space="preserve"> Guatemala: Autor.</w:t>
      </w:r>
    </w:p>
    <w:p w:rsidR="00E55C79" w:rsidRPr="005B64A5" w:rsidRDefault="00E55C79" w:rsidP="00E55C79">
      <w:pPr>
        <w:autoSpaceDE w:val="0"/>
        <w:autoSpaceDN w:val="0"/>
        <w:adjustRightInd w:val="0"/>
        <w:spacing w:after="200"/>
        <w:jc w:val="both"/>
        <w:rPr>
          <w:rFonts w:ascii="Calibri" w:hAnsi="Calibri" w:cs="Calibri"/>
          <w:color w:val="FF0000"/>
          <w:lang w:val="es-GT"/>
        </w:rPr>
      </w:pPr>
      <w:r w:rsidRPr="001A01AB">
        <w:rPr>
          <w:rFonts w:ascii="Calibri" w:hAnsi="Calibri" w:cs="Calibri"/>
          <w:lang w:val="es-GT"/>
        </w:rPr>
        <w:t xml:space="preserve">IARNA-URL e IIA (Instituto de Agricultura, Recursos Naturales y Ambiente de la Universidad Rafael Landívar y Asociación Instituto de Incidencia Ambiental). </w:t>
      </w:r>
      <w:r w:rsidR="00BB51BC">
        <w:rPr>
          <w:rFonts w:ascii="Calibri" w:hAnsi="Calibri" w:cs="Calibri"/>
          <w:lang w:val="es-GT"/>
        </w:rPr>
        <w:t>(</w:t>
      </w:r>
      <w:r w:rsidRPr="001A01AB">
        <w:rPr>
          <w:rFonts w:ascii="Calibri" w:hAnsi="Calibri" w:cs="Calibri"/>
          <w:lang w:val="es-GT"/>
        </w:rPr>
        <w:t>2006</w:t>
      </w:r>
      <w:r w:rsidR="005B64A5" w:rsidRPr="005B64A5">
        <w:rPr>
          <w:rFonts w:ascii="Calibri" w:hAnsi="Calibri" w:cs="Calibri"/>
          <w:highlight w:val="magenta"/>
          <w:lang w:val="es-GT"/>
        </w:rPr>
        <w:t>a</w:t>
      </w:r>
      <w:r w:rsidR="00BB51BC">
        <w:rPr>
          <w:rFonts w:ascii="Calibri" w:hAnsi="Calibri" w:cs="Calibri"/>
          <w:lang w:val="es-GT"/>
        </w:rPr>
        <w:t>)</w:t>
      </w:r>
      <w:r w:rsidRPr="001A01AB">
        <w:rPr>
          <w:rFonts w:ascii="Calibri" w:hAnsi="Calibri" w:cs="Calibri"/>
          <w:lang w:val="es-GT"/>
        </w:rPr>
        <w:t xml:space="preserve">. </w:t>
      </w:r>
      <w:r w:rsidRPr="001A01AB">
        <w:rPr>
          <w:rFonts w:ascii="Calibri" w:hAnsi="Calibri" w:cs="Calibri"/>
          <w:i/>
          <w:iCs/>
          <w:lang w:val="es-GT"/>
        </w:rPr>
        <w:t xml:space="preserve">Análisis de coyuntura ambiental </w:t>
      </w:r>
      <w:r w:rsidRPr="001A01AB">
        <w:rPr>
          <w:rFonts w:ascii="Calibri" w:hAnsi="Calibri" w:cs="Calibri"/>
          <w:lang w:val="es-GT"/>
        </w:rPr>
        <w:t>(Documento técnico del Perfil Ambiental de Guatemala No. 4). Guatemala: Autores.</w:t>
      </w:r>
      <w:r w:rsidR="005B64A5">
        <w:rPr>
          <w:rFonts w:ascii="Calibri" w:hAnsi="Calibri" w:cs="Calibri"/>
          <w:lang w:val="es-GT"/>
        </w:rPr>
        <w:t xml:space="preserve"> </w:t>
      </w:r>
      <w:r w:rsidR="005B64A5" w:rsidRPr="005B64A5">
        <w:rPr>
          <w:rFonts w:ascii="Calibri" w:hAnsi="Calibri" w:cs="Calibri"/>
          <w:color w:val="FF0000"/>
          <w:lang w:val="es-GT"/>
        </w:rPr>
        <w:t>En el documento sólo está citado como IARNA-URL e IIA (2006), ver si corresponde a este documento (a) o al siguiente (B) y arreglar la referencia.</w:t>
      </w:r>
    </w:p>
    <w:p w:rsidR="005B64A5" w:rsidRDefault="005B64A5" w:rsidP="009F0BDF">
      <w:pPr>
        <w:spacing w:after="200"/>
        <w:jc w:val="both"/>
        <w:rPr>
          <w:rFonts w:ascii="Calibri" w:hAnsi="Calibri" w:cs="Calibri"/>
          <w:lang w:val="es-MX"/>
        </w:rPr>
      </w:pPr>
      <w:r w:rsidRPr="005B64A5">
        <w:rPr>
          <w:rFonts w:ascii="Calibri" w:hAnsi="Calibri" w:cs="Calibri"/>
          <w:lang w:val="es-MX"/>
        </w:rPr>
        <w:t>IARNA-URL e IIA (Instituto de Agricultura, Recursos Naturales y Ambiente de la Universidad Rafael Landívar y Asociación Instituto de Incidencia Ambiental). (2006</w:t>
      </w:r>
      <w:r w:rsidRPr="005B64A5">
        <w:rPr>
          <w:rFonts w:ascii="Calibri" w:hAnsi="Calibri" w:cs="Calibri"/>
          <w:highlight w:val="magenta"/>
          <w:lang w:val="es-MX"/>
        </w:rPr>
        <w:t>b</w:t>
      </w:r>
      <w:r w:rsidRPr="005B64A5">
        <w:rPr>
          <w:rFonts w:ascii="Calibri" w:hAnsi="Calibri" w:cs="Calibri"/>
          <w:lang w:val="es-MX"/>
        </w:rPr>
        <w:t xml:space="preserve">). </w:t>
      </w:r>
      <w:r w:rsidRPr="005B64A5">
        <w:rPr>
          <w:rFonts w:ascii="Calibri" w:hAnsi="Calibri" w:cs="Calibri"/>
          <w:i/>
          <w:lang w:val="es-MX"/>
        </w:rPr>
        <w:t xml:space="preserve">Perfil Ambiental de Guatemala 2006: Tendencias y reflexiones sobre la gestión ambiental. </w:t>
      </w:r>
      <w:r w:rsidRPr="005B64A5">
        <w:rPr>
          <w:rFonts w:ascii="Calibri" w:hAnsi="Calibri" w:cs="Calibri"/>
          <w:lang w:val="es-MX"/>
        </w:rPr>
        <w:t>Guatemala: Autor.</w:t>
      </w:r>
    </w:p>
    <w:p w:rsidR="00F620DB" w:rsidRPr="001A01AB" w:rsidRDefault="00F620DB" w:rsidP="00F620DB">
      <w:pPr>
        <w:spacing w:after="200"/>
        <w:jc w:val="both"/>
        <w:rPr>
          <w:rFonts w:ascii="Calibri" w:hAnsi="Calibri" w:cs="Calibri"/>
          <w:lang w:val="es-MX"/>
        </w:rPr>
      </w:pPr>
      <w:r>
        <w:rPr>
          <w:rFonts w:ascii="Calibri" w:hAnsi="Calibri" w:cs="Calibri"/>
          <w:lang w:val="es-MX"/>
        </w:rPr>
        <w:t xml:space="preserve">IARNA-URL y </w:t>
      </w:r>
      <w:r w:rsidRPr="001A01AB">
        <w:rPr>
          <w:rFonts w:ascii="Calibri" w:hAnsi="Calibri" w:cs="Calibri"/>
          <w:lang w:val="es-MX"/>
        </w:rPr>
        <w:t>SEGEPLAN (</w:t>
      </w:r>
      <w:r w:rsidRPr="001A01AB">
        <w:rPr>
          <w:rFonts w:ascii="Calibri" w:hAnsi="Calibri" w:cs="Calibri"/>
          <w:lang w:val="es-GT"/>
        </w:rPr>
        <w:t>Instituto de Agricultura, Recursos Naturales y Ambiente de la Univers</w:t>
      </w:r>
      <w:r>
        <w:rPr>
          <w:rFonts w:ascii="Calibri" w:hAnsi="Calibri" w:cs="Calibri"/>
          <w:lang w:val="es-GT"/>
        </w:rPr>
        <w:t>idad Rafael Landívar y Secretarí</w:t>
      </w:r>
      <w:r w:rsidRPr="001A01AB">
        <w:rPr>
          <w:rFonts w:ascii="Calibri" w:hAnsi="Calibri" w:cs="Calibri"/>
          <w:lang w:val="es-GT"/>
        </w:rPr>
        <w:t>a de Planificación y Programación de la Presidencia</w:t>
      </w:r>
      <w:r w:rsidRPr="001A01AB">
        <w:rPr>
          <w:rFonts w:ascii="Calibri" w:hAnsi="Calibri" w:cs="Calibri"/>
          <w:lang w:val="es-MX"/>
        </w:rPr>
        <w:t xml:space="preserve">). </w:t>
      </w:r>
      <w:r>
        <w:rPr>
          <w:rFonts w:ascii="Calibri" w:hAnsi="Calibri" w:cs="Calibri"/>
          <w:lang w:val="es-MX"/>
        </w:rPr>
        <w:t>(</w:t>
      </w:r>
      <w:r w:rsidRPr="001A01AB">
        <w:rPr>
          <w:rFonts w:ascii="Calibri" w:hAnsi="Calibri" w:cs="Calibri"/>
          <w:lang w:val="es-MX"/>
        </w:rPr>
        <w:t>2009</w:t>
      </w:r>
      <w:r>
        <w:rPr>
          <w:rFonts w:ascii="Calibri" w:hAnsi="Calibri" w:cs="Calibri"/>
          <w:lang w:val="es-MX"/>
        </w:rPr>
        <w:t>)</w:t>
      </w:r>
      <w:r w:rsidRPr="001A01AB">
        <w:rPr>
          <w:rFonts w:ascii="Calibri" w:hAnsi="Calibri" w:cs="Calibri"/>
          <w:lang w:val="es-MX"/>
        </w:rPr>
        <w:t xml:space="preserve">. </w:t>
      </w:r>
      <w:r w:rsidRPr="001A01AB">
        <w:rPr>
          <w:rFonts w:ascii="Calibri" w:hAnsi="Calibri" w:cs="Calibri"/>
          <w:i/>
          <w:lang w:val="es-MX"/>
        </w:rPr>
        <w:t>Evaluación de la sostenibilidad del desarrollo de Guatemala, Periodo 1990-2008</w:t>
      </w:r>
      <w:r w:rsidRPr="001A01AB">
        <w:rPr>
          <w:rFonts w:ascii="Calibri" w:hAnsi="Calibri" w:cs="Calibri"/>
          <w:lang w:val="es-MX"/>
        </w:rPr>
        <w:t xml:space="preserve">. Guatemala. </w:t>
      </w:r>
      <w:r>
        <w:rPr>
          <w:rFonts w:ascii="Calibri" w:hAnsi="Calibri" w:cs="Calibri"/>
          <w:lang w:val="es-MX"/>
        </w:rPr>
        <w:t xml:space="preserve"> </w:t>
      </w:r>
    </w:p>
    <w:p w:rsidR="009F0BDF" w:rsidRPr="001A01AB" w:rsidRDefault="009F0BDF" w:rsidP="009F0BDF">
      <w:pPr>
        <w:spacing w:after="200"/>
        <w:jc w:val="both"/>
        <w:rPr>
          <w:rFonts w:ascii="Calibri" w:hAnsi="Calibri" w:cs="Calibri"/>
          <w:lang w:val="es-MX"/>
        </w:rPr>
      </w:pPr>
      <w:r>
        <w:rPr>
          <w:rFonts w:ascii="Calibri" w:hAnsi="Calibri" w:cs="Calibri"/>
          <w:lang w:val="es-MX"/>
        </w:rPr>
        <w:t xml:space="preserve">IARNA-URL y </w:t>
      </w:r>
      <w:r w:rsidRPr="001A01AB">
        <w:rPr>
          <w:rFonts w:ascii="Calibri" w:hAnsi="Calibri" w:cs="Calibri"/>
          <w:lang w:val="es-MX"/>
        </w:rPr>
        <w:t>SEGEPLAN (</w:t>
      </w:r>
      <w:r w:rsidRPr="001A01AB">
        <w:rPr>
          <w:rFonts w:ascii="Calibri" w:hAnsi="Calibri" w:cs="Calibri"/>
          <w:lang w:val="es-GT"/>
        </w:rPr>
        <w:t>Instituto de Agricultura, Recursos Naturales y Ambiente de la Univers</w:t>
      </w:r>
      <w:r>
        <w:rPr>
          <w:rFonts w:ascii="Calibri" w:hAnsi="Calibri" w:cs="Calibri"/>
          <w:lang w:val="es-GT"/>
        </w:rPr>
        <w:t>idad Rafael Landívar y Secretarí</w:t>
      </w:r>
      <w:r w:rsidRPr="001A01AB">
        <w:rPr>
          <w:rFonts w:ascii="Calibri" w:hAnsi="Calibri" w:cs="Calibri"/>
          <w:lang w:val="es-GT"/>
        </w:rPr>
        <w:t>a de Planificación y Programación de la Presidencia</w:t>
      </w:r>
      <w:r w:rsidRPr="001A01AB">
        <w:rPr>
          <w:rFonts w:ascii="Calibri" w:hAnsi="Calibri" w:cs="Calibri"/>
          <w:lang w:val="es-MX"/>
        </w:rPr>
        <w:t xml:space="preserve">). </w:t>
      </w:r>
      <w:r w:rsidR="00F620DB">
        <w:rPr>
          <w:rFonts w:ascii="Calibri" w:hAnsi="Calibri" w:cs="Calibri"/>
          <w:lang w:val="es-MX"/>
        </w:rPr>
        <w:t>(</w:t>
      </w:r>
      <w:r w:rsidRPr="001A01AB">
        <w:rPr>
          <w:rFonts w:ascii="Calibri" w:hAnsi="Calibri" w:cs="Calibri"/>
          <w:lang w:val="es-MX"/>
        </w:rPr>
        <w:t>20</w:t>
      </w:r>
      <w:r>
        <w:rPr>
          <w:rFonts w:ascii="Calibri" w:hAnsi="Calibri" w:cs="Calibri"/>
          <w:lang w:val="es-MX"/>
        </w:rPr>
        <w:t>12</w:t>
      </w:r>
      <w:r w:rsidR="00F620DB">
        <w:rPr>
          <w:rFonts w:ascii="Calibri" w:hAnsi="Calibri" w:cs="Calibri"/>
          <w:lang w:val="es-MX"/>
        </w:rPr>
        <w:t>)</w:t>
      </w:r>
      <w:r w:rsidRPr="001A01AB">
        <w:rPr>
          <w:rFonts w:ascii="Calibri" w:hAnsi="Calibri" w:cs="Calibri"/>
          <w:lang w:val="es-MX"/>
        </w:rPr>
        <w:t xml:space="preserve">. </w:t>
      </w:r>
      <w:r w:rsidRPr="001A01AB">
        <w:rPr>
          <w:rFonts w:ascii="Calibri" w:hAnsi="Calibri" w:cs="Calibri"/>
          <w:i/>
          <w:lang w:val="es-MX"/>
        </w:rPr>
        <w:t>Evaluación de la sostenibilidad del desarrollo de Guatemala</w:t>
      </w:r>
      <w:r>
        <w:rPr>
          <w:rFonts w:ascii="Calibri" w:hAnsi="Calibri" w:cs="Calibri"/>
          <w:i/>
          <w:lang w:val="es-MX"/>
        </w:rPr>
        <w:t xml:space="preserve"> (</w:t>
      </w:r>
      <w:r w:rsidRPr="001A01AB">
        <w:rPr>
          <w:rFonts w:ascii="Calibri" w:hAnsi="Calibri" w:cs="Calibri"/>
          <w:i/>
          <w:lang w:val="es-MX"/>
        </w:rPr>
        <w:t>1990-20</w:t>
      </w:r>
      <w:r>
        <w:rPr>
          <w:rFonts w:ascii="Calibri" w:hAnsi="Calibri" w:cs="Calibri"/>
          <w:i/>
          <w:lang w:val="es-MX"/>
        </w:rPr>
        <w:t>10)</w:t>
      </w:r>
      <w:r w:rsidRPr="001A01AB">
        <w:rPr>
          <w:rFonts w:ascii="Calibri" w:hAnsi="Calibri" w:cs="Calibri"/>
          <w:lang w:val="es-MX"/>
        </w:rPr>
        <w:t xml:space="preserve">. </w:t>
      </w:r>
      <w:r>
        <w:rPr>
          <w:rFonts w:ascii="Calibri" w:hAnsi="Calibri" w:cs="Calibri"/>
          <w:lang w:val="es-MX"/>
        </w:rPr>
        <w:t xml:space="preserve">Manuscrito no publicado, </w:t>
      </w:r>
      <w:r w:rsidRPr="001A01AB">
        <w:rPr>
          <w:rFonts w:ascii="Calibri" w:hAnsi="Calibri" w:cs="Calibri"/>
          <w:lang w:val="es-MX"/>
        </w:rPr>
        <w:t xml:space="preserve">Guatemala. </w:t>
      </w:r>
    </w:p>
    <w:p w:rsidR="00E55C79" w:rsidRPr="001A01AB" w:rsidRDefault="00E55C79" w:rsidP="00E55C79">
      <w:pPr>
        <w:autoSpaceDE w:val="0"/>
        <w:autoSpaceDN w:val="0"/>
        <w:adjustRightInd w:val="0"/>
        <w:spacing w:after="200"/>
        <w:jc w:val="both"/>
        <w:rPr>
          <w:rFonts w:ascii="Calibri" w:hAnsi="Calibri" w:cs="Calibri"/>
          <w:lang w:val="es-GT" w:eastAsia="es-GT"/>
        </w:rPr>
      </w:pPr>
      <w:r w:rsidRPr="001A01AB">
        <w:rPr>
          <w:rFonts w:ascii="Calibri" w:hAnsi="Calibri" w:cs="Calibri"/>
          <w:lang w:val="es-GT" w:eastAsia="es-GT"/>
        </w:rPr>
        <w:t>IMN-CR (Instituto Meteorológico Nacional</w:t>
      </w:r>
      <w:r w:rsidR="00BB51BC">
        <w:rPr>
          <w:rFonts w:ascii="Calibri" w:hAnsi="Calibri" w:cs="Calibri"/>
          <w:lang w:val="es-GT" w:eastAsia="es-GT"/>
        </w:rPr>
        <w:t>, Costa Rica</w:t>
      </w:r>
      <w:r w:rsidRPr="001A01AB">
        <w:rPr>
          <w:rFonts w:ascii="Calibri" w:hAnsi="Calibri" w:cs="Calibri"/>
          <w:lang w:val="es-GT" w:eastAsia="es-GT"/>
        </w:rPr>
        <w:t xml:space="preserve">). (2005). </w:t>
      </w:r>
      <w:r w:rsidRPr="001A01AB">
        <w:rPr>
          <w:rFonts w:ascii="Calibri" w:hAnsi="Calibri" w:cs="Calibri"/>
          <w:i/>
          <w:iCs/>
          <w:lang w:val="es-GT" w:eastAsia="es-GT"/>
        </w:rPr>
        <w:t xml:space="preserve">Vulnerabilidad actual de la zona noroccidental del valle central de Costa Rica </w:t>
      </w:r>
      <w:r w:rsidRPr="001A01AB">
        <w:rPr>
          <w:rFonts w:ascii="Calibri" w:hAnsi="Calibri" w:cs="Calibri"/>
          <w:lang w:val="es-GT" w:eastAsia="es-GT"/>
        </w:rPr>
        <w:t>(Proyecto: Fomento de las capacidades para la etapa II: Adaptación al cambio climático en Centroamérica, México y Cuba, Componente: Adaptación del sector hídrico al cambio climático). San José, Costa Rica: Autor.</w:t>
      </w:r>
    </w:p>
    <w:p w:rsidR="005B64A5" w:rsidRDefault="005B64A5" w:rsidP="00E55C79">
      <w:pPr>
        <w:autoSpaceDE w:val="0"/>
        <w:autoSpaceDN w:val="0"/>
        <w:adjustRightInd w:val="0"/>
        <w:spacing w:after="200"/>
        <w:jc w:val="both"/>
        <w:rPr>
          <w:rFonts w:ascii="Calibri" w:hAnsi="Calibri" w:cs="Calibri"/>
          <w:lang w:val="es-GT"/>
        </w:rPr>
      </w:pPr>
      <w:r w:rsidRPr="005B64A5">
        <w:rPr>
          <w:rFonts w:ascii="Calibri" w:hAnsi="Calibri" w:cs="Calibri"/>
          <w:lang w:val="es-GT"/>
        </w:rPr>
        <w:t xml:space="preserve">INAB (Instituto Nacional de Bosques). (s.f.). </w:t>
      </w:r>
      <w:r w:rsidRPr="005B64A5">
        <w:rPr>
          <w:rFonts w:ascii="Calibri" w:hAnsi="Calibri" w:cs="Calibri"/>
          <w:i/>
          <w:lang w:val="es-GT"/>
        </w:rPr>
        <w:t xml:space="preserve">Estadísticas del Programa de Incentivos Forestales (PINFOR), periodo 1998-2010. </w:t>
      </w:r>
      <w:r w:rsidRPr="005B64A5">
        <w:rPr>
          <w:rFonts w:ascii="Calibri" w:hAnsi="Calibri" w:cs="Calibri"/>
          <w:lang w:val="es-GT"/>
        </w:rPr>
        <w:t>Guatemala: Autor.</w:t>
      </w:r>
    </w:p>
    <w:p w:rsidR="00253520" w:rsidRDefault="00253520" w:rsidP="00E55C79">
      <w:pPr>
        <w:autoSpaceDE w:val="0"/>
        <w:autoSpaceDN w:val="0"/>
        <w:adjustRightInd w:val="0"/>
        <w:spacing w:after="200"/>
        <w:jc w:val="both"/>
        <w:rPr>
          <w:rFonts w:ascii="Calibri" w:hAnsi="Calibri" w:cs="Calibri"/>
          <w:lang w:val="es-GT"/>
        </w:rPr>
      </w:pPr>
      <w:r w:rsidRPr="00253520">
        <w:rPr>
          <w:rFonts w:ascii="Calibri" w:hAnsi="Calibri" w:cs="Calibri"/>
          <w:lang w:val="es-GT"/>
        </w:rPr>
        <w:t xml:space="preserve">INAB (Instituto Nacional de Bosques). (2012). </w:t>
      </w:r>
      <w:r w:rsidRPr="00253520">
        <w:rPr>
          <w:rFonts w:ascii="Calibri" w:hAnsi="Calibri" w:cs="Calibri"/>
          <w:i/>
          <w:lang w:val="es-GT"/>
        </w:rPr>
        <w:t>Estadísticas del Sistema de Información Forestal para Guatemala (SIFGUA).</w:t>
      </w:r>
      <w:r w:rsidRPr="00253520">
        <w:rPr>
          <w:rFonts w:ascii="Calibri" w:hAnsi="Calibri" w:cs="Calibri"/>
          <w:lang w:val="es-GT"/>
        </w:rPr>
        <w:t xml:space="preserve"> Recuperado en 2012, de: http://www.inab.gob.gt</w:t>
      </w:r>
    </w:p>
    <w:p w:rsidR="00E55C79" w:rsidRDefault="00E55C79" w:rsidP="00E55C79">
      <w:pPr>
        <w:autoSpaceDE w:val="0"/>
        <w:autoSpaceDN w:val="0"/>
        <w:adjustRightInd w:val="0"/>
        <w:spacing w:after="200"/>
        <w:jc w:val="both"/>
        <w:rPr>
          <w:rFonts w:ascii="Calibri" w:hAnsi="Calibri" w:cs="Calibri"/>
          <w:lang w:val="es-GT"/>
        </w:rPr>
      </w:pPr>
      <w:r w:rsidRPr="001A01AB">
        <w:rPr>
          <w:rFonts w:ascii="Calibri" w:hAnsi="Calibri" w:cs="Calibri"/>
          <w:lang w:val="es-GT"/>
        </w:rPr>
        <w:t>INAB</w:t>
      </w:r>
      <w:r w:rsidR="00BB51BC">
        <w:rPr>
          <w:rFonts w:ascii="Calibri" w:hAnsi="Calibri" w:cs="Calibri"/>
          <w:lang w:val="es-GT"/>
        </w:rPr>
        <w:t>,</w:t>
      </w:r>
      <w:r w:rsidRPr="001A01AB">
        <w:rPr>
          <w:rFonts w:ascii="Calibri" w:hAnsi="Calibri" w:cs="Calibri"/>
          <w:lang w:val="es-GT"/>
        </w:rPr>
        <w:t xml:space="preserve"> </w:t>
      </w:r>
      <w:r w:rsidR="00BB51BC" w:rsidRPr="001A01AB">
        <w:rPr>
          <w:rFonts w:ascii="Calibri" w:hAnsi="Calibri" w:cs="Calibri"/>
          <w:lang w:val="es-GT"/>
        </w:rPr>
        <w:t>CONAP</w:t>
      </w:r>
      <w:r w:rsidR="00BB51BC">
        <w:rPr>
          <w:rFonts w:ascii="Calibri" w:hAnsi="Calibri" w:cs="Calibri"/>
          <w:lang w:val="es-GT"/>
        </w:rPr>
        <w:t>,</w:t>
      </w:r>
      <w:r w:rsidR="00BB51BC" w:rsidRPr="001A01AB">
        <w:rPr>
          <w:rFonts w:ascii="Calibri" w:hAnsi="Calibri" w:cs="Calibri"/>
          <w:lang w:val="es-GT"/>
        </w:rPr>
        <w:t xml:space="preserve"> UVG </w:t>
      </w:r>
      <w:r w:rsidR="00BB51BC">
        <w:rPr>
          <w:rFonts w:ascii="Calibri" w:hAnsi="Calibri" w:cs="Calibri"/>
          <w:lang w:val="es-GT"/>
        </w:rPr>
        <w:t>y URL</w:t>
      </w:r>
      <w:r w:rsidR="00BB51BC" w:rsidRPr="001A01AB">
        <w:rPr>
          <w:rFonts w:ascii="Calibri" w:hAnsi="Calibri" w:cs="Calibri"/>
          <w:lang w:val="es-GT"/>
        </w:rPr>
        <w:t xml:space="preserve"> </w:t>
      </w:r>
      <w:r w:rsidRPr="001A01AB">
        <w:rPr>
          <w:rFonts w:ascii="Calibri" w:hAnsi="Calibri" w:cs="Calibri"/>
          <w:lang w:val="es-GT"/>
        </w:rPr>
        <w:t>(Instituto Nacional de Bosques</w:t>
      </w:r>
      <w:r w:rsidR="00BB51BC">
        <w:rPr>
          <w:rFonts w:ascii="Calibri" w:hAnsi="Calibri" w:cs="Calibri"/>
          <w:lang w:val="es-GT"/>
        </w:rPr>
        <w:t xml:space="preserve">, </w:t>
      </w:r>
      <w:r w:rsidRPr="001A01AB">
        <w:rPr>
          <w:rFonts w:ascii="Calibri" w:hAnsi="Calibri" w:cs="Calibri"/>
          <w:lang w:val="es-GT"/>
        </w:rPr>
        <w:t>Consejo Nacional de Áreas Protegidas, Universidad del Valle de Guatemala</w:t>
      </w:r>
      <w:r w:rsidR="00BB51BC">
        <w:rPr>
          <w:rFonts w:ascii="Calibri" w:hAnsi="Calibri" w:cs="Calibri"/>
          <w:lang w:val="es-GT"/>
        </w:rPr>
        <w:t xml:space="preserve"> y Universidad Rafael Landívar</w:t>
      </w:r>
      <w:r w:rsidRPr="001A01AB">
        <w:rPr>
          <w:rFonts w:ascii="Calibri" w:hAnsi="Calibri" w:cs="Calibri"/>
          <w:lang w:val="es-GT"/>
        </w:rPr>
        <w:t xml:space="preserve">). </w:t>
      </w:r>
      <w:r w:rsidR="00BB51BC">
        <w:rPr>
          <w:rFonts w:ascii="Calibri" w:hAnsi="Calibri" w:cs="Calibri"/>
          <w:lang w:val="es-GT"/>
        </w:rPr>
        <w:t>(</w:t>
      </w:r>
      <w:r w:rsidRPr="001A01AB">
        <w:rPr>
          <w:rFonts w:ascii="Calibri" w:hAnsi="Calibri" w:cs="Calibri"/>
          <w:lang w:val="es-GT"/>
        </w:rPr>
        <w:t>2012</w:t>
      </w:r>
      <w:r w:rsidR="00BB51BC">
        <w:rPr>
          <w:rFonts w:ascii="Calibri" w:hAnsi="Calibri" w:cs="Calibri"/>
          <w:lang w:val="es-GT"/>
        </w:rPr>
        <w:t>)</w:t>
      </w:r>
      <w:r w:rsidRPr="001A01AB">
        <w:rPr>
          <w:rFonts w:ascii="Calibri" w:hAnsi="Calibri" w:cs="Calibri"/>
          <w:lang w:val="es-GT"/>
        </w:rPr>
        <w:t xml:space="preserve">. </w:t>
      </w:r>
      <w:r w:rsidRPr="001A01AB">
        <w:rPr>
          <w:rFonts w:ascii="Calibri" w:hAnsi="Calibri" w:cs="Calibri"/>
          <w:i/>
          <w:lang w:val="es-GT"/>
        </w:rPr>
        <w:t xml:space="preserve">Mapa de </w:t>
      </w:r>
      <w:r w:rsidR="00BB51BC" w:rsidRPr="001A01AB">
        <w:rPr>
          <w:rFonts w:ascii="Calibri" w:hAnsi="Calibri" w:cs="Calibri"/>
          <w:i/>
          <w:lang w:val="es-GT"/>
        </w:rPr>
        <w:t>cobertura forestal</w:t>
      </w:r>
      <w:r w:rsidRPr="001A01AB">
        <w:rPr>
          <w:rFonts w:ascii="Calibri" w:hAnsi="Calibri" w:cs="Calibri"/>
          <w:i/>
          <w:lang w:val="es-GT"/>
        </w:rPr>
        <w:t xml:space="preserve"> de Guatemala 2010 y </w:t>
      </w:r>
      <w:r w:rsidR="00BB51BC" w:rsidRPr="001A01AB">
        <w:rPr>
          <w:rFonts w:ascii="Calibri" w:hAnsi="Calibri" w:cs="Calibri"/>
          <w:i/>
          <w:lang w:val="es-GT"/>
        </w:rPr>
        <w:t xml:space="preserve">dinámica de la cobertura forestal </w:t>
      </w:r>
      <w:r w:rsidRPr="001A01AB">
        <w:rPr>
          <w:rFonts w:ascii="Calibri" w:hAnsi="Calibri" w:cs="Calibri"/>
          <w:i/>
          <w:lang w:val="es-GT"/>
        </w:rPr>
        <w:t>2006-2010</w:t>
      </w:r>
      <w:r w:rsidR="00BB51BC">
        <w:rPr>
          <w:rFonts w:ascii="Calibri" w:hAnsi="Calibri" w:cs="Calibri"/>
          <w:lang w:val="es-GT"/>
        </w:rPr>
        <w:t>. Guatemala: A</w:t>
      </w:r>
      <w:r w:rsidRPr="001A01AB">
        <w:rPr>
          <w:rFonts w:ascii="Calibri" w:hAnsi="Calibri" w:cs="Calibri"/>
          <w:lang w:val="es-GT"/>
        </w:rPr>
        <w:t>utores.</w:t>
      </w:r>
    </w:p>
    <w:p w:rsidR="00E55C79" w:rsidRPr="001A01AB" w:rsidRDefault="00E55C79" w:rsidP="00E55C79">
      <w:pPr>
        <w:spacing w:after="200"/>
        <w:jc w:val="both"/>
        <w:rPr>
          <w:rFonts w:ascii="Calibri" w:hAnsi="Calibri" w:cs="Calibri"/>
          <w:lang w:val="es-MX"/>
        </w:rPr>
      </w:pPr>
      <w:r w:rsidRPr="001A01AB">
        <w:rPr>
          <w:rFonts w:ascii="Calibri" w:hAnsi="Calibri" w:cs="Calibri"/>
          <w:lang w:val="es-GT"/>
        </w:rPr>
        <w:t xml:space="preserve">IndexMundi. </w:t>
      </w:r>
      <w:r w:rsidR="00BB51BC">
        <w:rPr>
          <w:rFonts w:ascii="Calibri" w:hAnsi="Calibri" w:cs="Calibri"/>
          <w:lang w:val="es-GT"/>
        </w:rPr>
        <w:t>(</w:t>
      </w:r>
      <w:r w:rsidRPr="001A01AB">
        <w:rPr>
          <w:rFonts w:ascii="Calibri" w:hAnsi="Calibri" w:cs="Calibri"/>
          <w:lang w:val="es-GT"/>
        </w:rPr>
        <w:t>2012</w:t>
      </w:r>
      <w:r w:rsidR="00BB51BC">
        <w:rPr>
          <w:rFonts w:ascii="Calibri" w:hAnsi="Calibri" w:cs="Calibri"/>
          <w:lang w:val="es-GT"/>
        </w:rPr>
        <w:t>)</w:t>
      </w:r>
      <w:r w:rsidRPr="001A01AB">
        <w:rPr>
          <w:rFonts w:ascii="Calibri" w:hAnsi="Calibri" w:cs="Calibri"/>
          <w:lang w:val="es-GT"/>
        </w:rPr>
        <w:t xml:space="preserve">. </w:t>
      </w:r>
      <w:r w:rsidRPr="001A01AB">
        <w:rPr>
          <w:rFonts w:ascii="Calibri" w:hAnsi="Calibri" w:cs="Calibri"/>
          <w:i/>
          <w:lang w:val="es-MX"/>
        </w:rPr>
        <w:t>Perfil de población 2012</w:t>
      </w:r>
      <w:r w:rsidRPr="001A01AB">
        <w:rPr>
          <w:rFonts w:ascii="Calibri" w:hAnsi="Calibri" w:cs="Calibri"/>
          <w:lang w:val="es-MX"/>
        </w:rPr>
        <w:t xml:space="preserve">. Recuperado en 25 de septiembre de 2012 de la página web: </w:t>
      </w:r>
      <w:hyperlink r:id="rId56" w:history="1">
        <w:r w:rsidRPr="001A01AB">
          <w:rPr>
            <w:rStyle w:val="Hipervnculo"/>
            <w:rFonts w:ascii="Calibri" w:hAnsi="Calibri" w:cs="Calibri"/>
            <w:color w:val="auto"/>
            <w:lang w:val="es-MX"/>
          </w:rPr>
          <w:t>http://www.indexmundi.com/es/guatemala/poblacion_perfil.html</w:t>
        </w:r>
      </w:hyperlink>
      <w:r w:rsidRPr="001A01AB">
        <w:rPr>
          <w:rFonts w:ascii="Calibri" w:hAnsi="Calibri" w:cs="Calibri"/>
          <w:lang w:val="es-MX"/>
        </w:rPr>
        <w:t>).</w:t>
      </w:r>
    </w:p>
    <w:p w:rsidR="00253520" w:rsidRDefault="00253520" w:rsidP="00253520">
      <w:pPr>
        <w:spacing w:after="200"/>
        <w:jc w:val="both"/>
        <w:rPr>
          <w:rFonts w:ascii="Calibri" w:hAnsi="Calibri" w:cs="Calibri"/>
          <w:lang w:val="es-MX"/>
        </w:rPr>
      </w:pPr>
      <w:r w:rsidRPr="00253520">
        <w:rPr>
          <w:rFonts w:ascii="Calibri" w:hAnsi="Calibri" w:cs="Calibri"/>
          <w:lang w:val="es-MX"/>
        </w:rPr>
        <w:t xml:space="preserve">INE (Instituto Nacional de Estadística). (2003). </w:t>
      </w:r>
      <w:r w:rsidRPr="00253520">
        <w:rPr>
          <w:rFonts w:ascii="Calibri" w:hAnsi="Calibri" w:cs="Calibri"/>
          <w:i/>
          <w:lang w:val="es-MX"/>
        </w:rPr>
        <w:t>XI Censo de población y VI de habitación 2002. Características de la población y de los locales de habitación censados.</w:t>
      </w:r>
      <w:r w:rsidRPr="00253520">
        <w:rPr>
          <w:rFonts w:ascii="Calibri" w:hAnsi="Calibri" w:cs="Calibri"/>
          <w:lang w:val="es-MX"/>
        </w:rPr>
        <w:t xml:space="preserve"> Guatemala: Autor.</w:t>
      </w:r>
    </w:p>
    <w:p w:rsidR="00253520" w:rsidRDefault="00253520" w:rsidP="00E55C79">
      <w:pPr>
        <w:spacing w:after="200"/>
        <w:jc w:val="both"/>
        <w:rPr>
          <w:rFonts w:ascii="Calibri" w:hAnsi="Calibri" w:cs="Calibri"/>
          <w:lang w:val="es-MX"/>
        </w:rPr>
      </w:pPr>
      <w:r w:rsidRPr="00253520">
        <w:rPr>
          <w:rFonts w:ascii="Calibri" w:hAnsi="Calibri" w:cs="Calibri"/>
          <w:lang w:val="es-MX"/>
        </w:rPr>
        <w:lastRenderedPageBreak/>
        <w:t xml:space="preserve">INE (Instituto Nacional de Estadística). (2003a). </w:t>
      </w:r>
      <w:r w:rsidRPr="00253520">
        <w:rPr>
          <w:rFonts w:ascii="Calibri" w:hAnsi="Calibri" w:cs="Calibri"/>
          <w:i/>
          <w:lang w:val="es-MX"/>
        </w:rPr>
        <w:t>IV Censo Nacional Agropecuario.</w:t>
      </w:r>
      <w:r w:rsidRPr="00253520">
        <w:rPr>
          <w:rFonts w:ascii="Calibri" w:hAnsi="Calibri" w:cs="Calibri"/>
          <w:lang w:val="es-MX"/>
        </w:rPr>
        <w:t xml:space="preserve"> Guatemala: Autor.</w:t>
      </w:r>
    </w:p>
    <w:p w:rsidR="005B64A5" w:rsidRDefault="005B64A5" w:rsidP="00E55C79">
      <w:pPr>
        <w:spacing w:after="200"/>
        <w:jc w:val="both"/>
        <w:rPr>
          <w:rFonts w:ascii="Calibri" w:hAnsi="Calibri" w:cs="Calibri"/>
          <w:lang w:val="es-MX"/>
        </w:rPr>
      </w:pPr>
      <w:r w:rsidRPr="005B64A5">
        <w:rPr>
          <w:rFonts w:ascii="Calibri" w:hAnsi="Calibri" w:cs="Calibri"/>
          <w:lang w:val="es-MX"/>
        </w:rPr>
        <w:t xml:space="preserve">INE (Instituto Nacional de Estadística). (2004). </w:t>
      </w:r>
      <w:r w:rsidRPr="005B64A5">
        <w:rPr>
          <w:rFonts w:ascii="Calibri" w:hAnsi="Calibri" w:cs="Calibri"/>
          <w:i/>
          <w:lang w:val="es-MX"/>
        </w:rPr>
        <w:t>IV Censo Nacional Agropecuario 2003</w:t>
      </w:r>
      <w:r w:rsidRPr="005B64A5">
        <w:rPr>
          <w:rFonts w:ascii="Calibri" w:hAnsi="Calibri" w:cs="Calibri"/>
          <w:lang w:val="es-MX"/>
        </w:rPr>
        <w:t xml:space="preserve"> [versión electrónica]. Guatemala: Autor.</w:t>
      </w:r>
    </w:p>
    <w:p w:rsidR="00E55C79" w:rsidRPr="001A01AB" w:rsidRDefault="00E55C79" w:rsidP="00E55C79">
      <w:pPr>
        <w:spacing w:after="200"/>
        <w:jc w:val="both"/>
        <w:rPr>
          <w:rFonts w:ascii="Calibri" w:hAnsi="Calibri" w:cs="Calibri"/>
          <w:lang w:val="es-MX"/>
        </w:rPr>
      </w:pPr>
      <w:r w:rsidRPr="001A01AB">
        <w:rPr>
          <w:rFonts w:ascii="Calibri" w:hAnsi="Calibri" w:cs="Calibri"/>
          <w:lang w:val="es-MX"/>
        </w:rPr>
        <w:t xml:space="preserve">INE (Instituto Nacional de Estadística). </w:t>
      </w:r>
      <w:r w:rsidR="00BB51BC">
        <w:rPr>
          <w:rFonts w:ascii="Calibri" w:hAnsi="Calibri" w:cs="Calibri"/>
          <w:lang w:val="es-MX"/>
        </w:rPr>
        <w:t>(</w:t>
      </w:r>
      <w:r w:rsidRPr="001A01AB">
        <w:rPr>
          <w:rFonts w:ascii="Calibri" w:hAnsi="Calibri" w:cs="Calibri"/>
          <w:lang w:val="es-MX"/>
        </w:rPr>
        <w:t>2006</w:t>
      </w:r>
      <w:r w:rsidR="00BB51BC">
        <w:rPr>
          <w:rFonts w:ascii="Calibri" w:hAnsi="Calibri" w:cs="Calibri"/>
          <w:lang w:val="es-MX"/>
        </w:rPr>
        <w:t>)</w:t>
      </w:r>
      <w:r w:rsidRPr="001A01AB">
        <w:rPr>
          <w:rFonts w:ascii="Calibri" w:hAnsi="Calibri" w:cs="Calibri"/>
          <w:lang w:val="es-MX"/>
        </w:rPr>
        <w:t xml:space="preserve">. </w:t>
      </w:r>
      <w:r w:rsidRPr="001A01AB">
        <w:rPr>
          <w:rFonts w:ascii="Calibri" w:hAnsi="Calibri" w:cs="Calibri"/>
          <w:i/>
          <w:lang w:val="es-MX"/>
        </w:rPr>
        <w:t>Encuesta Nacional de Condiciones de Vida.</w:t>
      </w:r>
      <w:r w:rsidR="00BB51BC">
        <w:rPr>
          <w:rFonts w:ascii="Calibri" w:hAnsi="Calibri" w:cs="Calibri"/>
          <w:lang w:val="es-MX"/>
        </w:rPr>
        <w:t xml:space="preserve"> Guatemala: A</w:t>
      </w:r>
      <w:r w:rsidRPr="001A01AB">
        <w:rPr>
          <w:rFonts w:ascii="Calibri" w:hAnsi="Calibri" w:cs="Calibri"/>
          <w:lang w:val="es-MX"/>
        </w:rPr>
        <w:t>utor.</w:t>
      </w:r>
    </w:p>
    <w:p w:rsidR="00BB51BC" w:rsidRDefault="00BB51BC" w:rsidP="00BB51BC">
      <w:pPr>
        <w:spacing w:after="200"/>
        <w:jc w:val="both"/>
        <w:rPr>
          <w:rFonts w:ascii="Calibri" w:hAnsi="Calibri" w:cs="Calibri"/>
          <w:lang w:val="es-GT" w:eastAsia="es-GT"/>
        </w:rPr>
      </w:pPr>
      <w:r w:rsidRPr="001A01AB">
        <w:rPr>
          <w:rFonts w:ascii="Calibri" w:hAnsi="Calibri" w:cs="Calibri"/>
          <w:lang w:val="es-GT" w:eastAsia="es-GT"/>
        </w:rPr>
        <w:t xml:space="preserve">INE (Instituto Nacional de Estadística). </w:t>
      </w:r>
      <w:r>
        <w:rPr>
          <w:rFonts w:ascii="Calibri" w:hAnsi="Calibri" w:cs="Calibri"/>
          <w:lang w:val="es-GT" w:eastAsia="es-GT"/>
        </w:rPr>
        <w:t>(</w:t>
      </w:r>
      <w:r w:rsidRPr="001A01AB">
        <w:rPr>
          <w:rFonts w:ascii="Calibri" w:hAnsi="Calibri" w:cs="Calibri"/>
          <w:lang w:val="es-GT" w:eastAsia="es-GT"/>
        </w:rPr>
        <w:t>2007</w:t>
      </w:r>
      <w:r>
        <w:rPr>
          <w:rFonts w:ascii="Calibri" w:hAnsi="Calibri" w:cs="Calibri"/>
          <w:lang w:val="es-GT" w:eastAsia="es-GT"/>
        </w:rPr>
        <w:t>)</w:t>
      </w:r>
      <w:r w:rsidRPr="001A01AB">
        <w:rPr>
          <w:rFonts w:ascii="Calibri" w:hAnsi="Calibri" w:cs="Calibri"/>
          <w:lang w:val="es-GT" w:eastAsia="es-GT"/>
        </w:rPr>
        <w:t xml:space="preserve">. </w:t>
      </w:r>
      <w:r w:rsidRPr="001A01AB">
        <w:rPr>
          <w:rFonts w:ascii="Calibri" w:hAnsi="Calibri" w:cs="Calibri"/>
          <w:i/>
          <w:lang w:val="es-GT" w:eastAsia="es-GT"/>
        </w:rPr>
        <w:t>Encuesta Nacional de Condiciones de Vida. Principales resultados 2006 (ENCOVI 2006)</w:t>
      </w:r>
      <w:r w:rsidRPr="001A01AB">
        <w:rPr>
          <w:rFonts w:ascii="Calibri" w:hAnsi="Calibri" w:cs="Calibri"/>
          <w:lang w:val="es-GT" w:eastAsia="es-GT"/>
        </w:rPr>
        <w:t xml:space="preserve">. Guatemala: </w:t>
      </w:r>
      <w:r>
        <w:rPr>
          <w:rFonts w:ascii="Calibri" w:hAnsi="Calibri" w:cs="Calibri"/>
          <w:lang w:val="es-GT" w:eastAsia="es-GT"/>
        </w:rPr>
        <w:t>A</w:t>
      </w:r>
      <w:r w:rsidRPr="001A01AB">
        <w:rPr>
          <w:rFonts w:ascii="Calibri" w:hAnsi="Calibri" w:cs="Calibri"/>
          <w:lang w:val="es-GT" w:eastAsia="es-GT"/>
        </w:rPr>
        <w:t>utor.</w:t>
      </w:r>
    </w:p>
    <w:p w:rsidR="005B64A5" w:rsidRPr="001A01AB" w:rsidRDefault="005B64A5" w:rsidP="00BB51BC">
      <w:pPr>
        <w:spacing w:after="200"/>
        <w:jc w:val="both"/>
        <w:rPr>
          <w:rFonts w:ascii="Calibri" w:hAnsi="Calibri" w:cs="Calibri"/>
          <w:lang w:val="es-GT" w:eastAsia="es-GT"/>
        </w:rPr>
      </w:pPr>
      <w:r w:rsidRPr="005B64A5">
        <w:rPr>
          <w:rFonts w:ascii="Calibri" w:hAnsi="Calibri" w:cs="Calibri"/>
          <w:lang w:val="es-GT" w:eastAsia="es-GT"/>
        </w:rPr>
        <w:t xml:space="preserve">INE (Instituto Nacional de Estadística). (2008). </w:t>
      </w:r>
      <w:r w:rsidRPr="005B64A5">
        <w:rPr>
          <w:rFonts w:ascii="Calibri" w:hAnsi="Calibri" w:cs="Calibri"/>
          <w:i/>
          <w:lang w:val="es-GT" w:eastAsia="es-GT"/>
        </w:rPr>
        <w:t>Anuario Estadístico Ambiental 2007.</w:t>
      </w:r>
      <w:r w:rsidRPr="005B64A5">
        <w:rPr>
          <w:rFonts w:ascii="Calibri" w:hAnsi="Calibri" w:cs="Calibri"/>
          <w:lang w:val="es-GT" w:eastAsia="es-GT"/>
        </w:rPr>
        <w:t xml:space="preserve"> Guatemala: Autor.</w:t>
      </w:r>
    </w:p>
    <w:p w:rsidR="00BB51BC" w:rsidRPr="00BB51BC" w:rsidRDefault="00BB51BC" w:rsidP="00BB51BC">
      <w:pPr>
        <w:spacing w:after="200"/>
        <w:jc w:val="both"/>
        <w:rPr>
          <w:rFonts w:ascii="Calibri" w:hAnsi="Calibri" w:cs="Calibri"/>
          <w:lang w:val="es-GT" w:eastAsia="es-GT"/>
        </w:rPr>
      </w:pPr>
      <w:r w:rsidRPr="001A01AB">
        <w:rPr>
          <w:rFonts w:ascii="Calibri" w:hAnsi="Calibri" w:cs="Calibri"/>
          <w:lang w:val="es-GT" w:eastAsia="es-GT"/>
        </w:rPr>
        <w:t xml:space="preserve">INE (Instituto Nacional de Estadística). </w:t>
      </w:r>
      <w:r>
        <w:rPr>
          <w:rFonts w:ascii="Calibri" w:hAnsi="Calibri" w:cs="Calibri"/>
          <w:lang w:val="es-GT" w:eastAsia="es-GT"/>
        </w:rPr>
        <w:t>(</w:t>
      </w:r>
      <w:r w:rsidRPr="001A01AB">
        <w:rPr>
          <w:rFonts w:ascii="Calibri" w:hAnsi="Calibri" w:cs="Calibri"/>
          <w:lang w:val="es-GT" w:eastAsia="es-GT"/>
        </w:rPr>
        <w:t>2012</w:t>
      </w:r>
      <w:r>
        <w:rPr>
          <w:rFonts w:ascii="Calibri" w:hAnsi="Calibri" w:cs="Calibri"/>
          <w:lang w:val="es-GT" w:eastAsia="es-GT"/>
        </w:rPr>
        <w:t>)</w:t>
      </w:r>
      <w:r w:rsidRPr="001A01AB">
        <w:rPr>
          <w:rFonts w:ascii="Calibri" w:hAnsi="Calibri" w:cs="Calibri"/>
          <w:lang w:val="es-GT" w:eastAsia="es-GT"/>
        </w:rPr>
        <w:t xml:space="preserve">. </w:t>
      </w:r>
      <w:r w:rsidRPr="001A01AB">
        <w:rPr>
          <w:rFonts w:ascii="Calibri" w:hAnsi="Calibri" w:cs="Calibri"/>
          <w:i/>
          <w:lang w:val="es-GT" w:eastAsia="es-GT"/>
        </w:rPr>
        <w:t>Encuesta Nacional de Condiciones de Vida (ENCOVI 2011)</w:t>
      </w:r>
      <w:r w:rsidRPr="001A01AB">
        <w:rPr>
          <w:rFonts w:ascii="Calibri" w:hAnsi="Calibri" w:cs="Calibri"/>
          <w:lang w:val="es-GT" w:eastAsia="es-GT"/>
        </w:rPr>
        <w:t xml:space="preserve">. </w:t>
      </w:r>
      <w:r w:rsidRPr="00BB51BC">
        <w:rPr>
          <w:rFonts w:ascii="Calibri" w:hAnsi="Calibri" w:cs="Calibri"/>
          <w:lang w:val="es-GT" w:eastAsia="es-GT"/>
        </w:rPr>
        <w:t>Guatemala: Autor.</w:t>
      </w:r>
    </w:p>
    <w:p w:rsidR="00BB51BC" w:rsidRPr="00735511" w:rsidRDefault="00BB51BC" w:rsidP="00BB51BC">
      <w:pPr>
        <w:autoSpaceDE w:val="0"/>
        <w:autoSpaceDN w:val="0"/>
        <w:adjustRightInd w:val="0"/>
        <w:spacing w:after="200"/>
        <w:jc w:val="both"/>
        <w:rPr>
          <w:rFonts w:ascii="Calibri" w:hAnsi="Calibri" w:cs="Calibri"/>
          <w:lang w:val="es-GT" w:eastAsia="es-GT"/>
        </w:rPr>
      </w:pPr>
      <w:r w:rsidRPr="001A01AB">
        <w:rPr>
          <w:rFonts w:ascii="Calibri" w:hAnsi="Calibri" w:cs="Calibri"/>
          <w:lang w:eastAsia="es-GT"/>
        </w:rPr>
        <w:t>IPCC (</w:t>
      </w:r>
      <w:r w:rsidRPr="001A01AB">
        <w:rPr>
          <w:rFonts w:ascii="Calibri" w:hAnsi="Calibri" w:cs="Calibri"/>
          <w:iCs/>
          <w:lang w:eastAsia="es-GT"/>
        </w:rPr>
        <w:t>Intergovernmental Panel on Climate Change</w:t>
      </w:r>
      <w:r w:rsidRPr="001A01AB">
        <w:rPr>
          <w:rFonts w:ascii="Calibri" w:hAnsi="Calibri" w:cs="Calibri"/>
          <w:lang w:eastAsia="es-GT"/>
        </w:rPr>
        <w:t xml:space="preserve">) (2001). </w:t>
      </w:r>
      <w:r w:rsidRPr="001A01AB">
        <w:rPr>
          <w:rFonts w:ascii="Calibri" w:hAnsi="Calibri" w:cs="Calibri"/>
          <w:i/>
          <w:iCs/>
          <w:lang w:eastAsia="es-GT"/>
        </w:rPr>
        <w:t>Climate Change 2001: impacts, adaptation, and vulnerability.</w:t>
      </w:r>
      <w:r w:rsidRPr="001A01AB">
        <w:rPr>
          <w:rFonts w:ascii="Calibri" w:hAnsi="Calibri" w:cs="Calibri"/>
          <w:iCs/>
          <w:lang w:eastAsia="es-GT"/>
        </w:rPr>
        <w:t xml:space="preserve"> </w:t>
      </w:r>
      <w:r w:rsidRPr="00735511">
        <w:rPr>
          <w:rFonts w:ascii="Calibri" w:hAnsi="Calibri" w:cs="Calibri"/>
          <w:lang w:val="es-GT" w:eastAsia="es-GT"/>
        </w:rPr>
        <w:t>Cambridge: Cambridge University Press.</w:t>
      </w:r>
    </w:p>
    <w:p w:rsidR="00E55C79" w:rsidRPr="001A01AB" w:rsidRDefault="00BB51BC" w:rsidP="00E55C79">
      <w:pPr>
        <w:autoSpaceDE w:val="0"/>
        <w:autoSpaceDN w:val="0"/>
        <w:adjustRightInd w:val="0"/>
        <w:spacing w:after="200"/>
        <w:jc w:val="both"/>
        <w:rPr>
          <w:rFonts w:ascii="Calibri" w:hAnsi="Calibri" w:cs="Calibri"/>
          <w:lang w:val="es-GT"/>
        </w:rPr>
      </w:pPr>
      <w:r>
        <w:rPr>
          <w:rFonts w:ascii="Calibri" w:hAnsi="Calibri" w:cs="Calibri"/>
          <w:lang w:val="es-GT"/>
        </w:rPr>
        <w:t>IPNUSAC y</w:t>
      </w:r>
      <w:r w:rsidR="00E55C79" w:rsidRPr="001A01AB">
        <w:rPr>
          <w:rFonts w:ascii="Calibri" w:hAnsi="Calibri" w:cs="Calibri"/>
          <w:lang w:val="es-GT"/>
        </w:rPr>
        <w:t xml:space="preserve"> IARNA-URL (Instituto de Análisis e Investigación de los Problemas Nacionales de la Universidad De San Carlos de Guatemala e Instituto de Agricultura, Recursos Naturales y Ambiente de la Universidad Rafael Landívar). </w:t>
      </w:r>
      <w:r>
        <w:rPr>
          <w:rFonts w:ascii="Calibri" w:hAnsi="Calibri" w:cs="Calibri"/>
          <w:lang w:val="es-GT"/>
        </w:rPr>
        <w:t>(</w:t>
      </w:r>
      <w:r w:rsidR="00E55C79" w:rsidRPr="001A01AB">
        <w:rPr>
          <w:rFonts w:ascii="Calibri" w:hAnsi="Calibri" w:cs="Calibri"/>
          <w:lang w:val="es-GT"/>
        </w:rPr>
        <w:t>2011</w:t>
      </w:r>
      <w:r>
        <w:rPr>
          <w:rFonts w:ascii="Calibri" w:hAnsi="Calibri" w:cs="Calibri"/>
          <w:lang w:val="es-GT"/>
        </w:rPr>
        <w:t>)</w:t>
      </w:r>
      <w:r w:rsidR="00E55C79" w:rsidRPr="001A01AB">
        <w:rPr>
          <w:rFonts w:ascii="Calibri" w:hAnsi="Calibri" w:cs="Calibri"/>
          <w:lang w:val="es-GT"/>
        </w:rPr>
        <w:t xml:space="preserve">. </w:t>
      </w:r>
      <w:r w:rsidR="00E55C79" w:rsidRPr="001A01AB">
        <w:rPr>
          <w:rFonts w:ascii="Calibri" w:hAnsi="Calibri" w:cs="Calibri"/>
          <w:i/>
          <w:lang w:val="es-GT"/>
        </w:rPr>
        <w:t xml:space="preserve">Propuesta para </w:t>
      </w:r>
      <w:r w:rsidRPr="001A01AB">
        <w:rPr>
          <w:rFonts w:ascii="Calibri" w:hAnsi="Calibri" w:cs="Calibri"/>
          <w:i/>
          <w:lang w:val="es-GT"/>
        </w:rPr>
        <w:t xml:space="preserve">abordar el desarrollo rural integral </w:t>
      </w:r>
      <w:r w:rsidR="00E55C79" w:rsidRPr="001A01AB">
        <w:rPr>
          <w:rFonts w:ascii="Calibri" w:hAnsi="Calibri" w:cs="Calibri"/>
          <w:i/>
          <w:lang w:val="es-GT"/>
        </w:rPr>
        <w:t>de Guatemala</w:t>
      </w:r>
      <w:r w:rsidR="00E55C79" w:rsidRPr="001A01AB">
        <w:rPr>
          <w:rFonts w:ascii="Calibri" w:hAnsi="Calibri" w:cs="Calibri"/>
          <w:lang w:val="es-GT"/>
        </w:rPr>
        <w:t>.</w:t>
      </w:r>
      <w:r w:rsidR="00141A70">
        <w:rPr>
          <w:rFonts w:ascii="Calibri" w:hAnsi="Calibri" w:cs="Calibri"/>
          <w:lang w:val="es-GT"/>
        </w:rPr>
        <w:t xml:space="preserve"> </w:t>
      </w:r>
      <w:r w:rsidR="00E55C79" w:rsidRPr="001A01AB">
        <w:rPr>
          <w:rFonts w:ascii="Calibri" w:hAnsi="Calibri" w:cs="Calibri"/>
          <w:lang w:val="es-GT"/>
        </w:rPr>
        <w:t>Guatemala: Autores.</w:t>
      </w:r>
    </w:p>
    <w:p w:rsidR="00E55C79" w:rsidRDefault="00E55C79" w:rsidP="00E55C79">
      <w:pPr>
        <w:spacing w:after="200"/>
        <w:jc w:val="both"/>
        <w:rPr>
          <w:rFonts w:ascii="Calibri" w:hAnsi="Calibri" w:cs="Calibri"/>
          <w:lang w:val="es-GT"/>
        </w:rPr>
      </w:pPr>
      <w:r w:rsidRPr="00BB51BC">
        <w:rPr>
          <w:rFonts w:ascii="Calibri" w:hAnsi="Calibri" w:cs="Calibri"/>
          <w:lang w:val="es-GT"/>
        </w:rPr>
        <w:t xml:space="preserve">Loening L. &amp; Markussen, M. </w:t>
      </w:r>
      <w:r w:rsidR="00BB51BC" w:rsidRPr="00BB51BC">
        <w:rPr>
          <w:rFonts w:ascii="Calibri" w:hAnsi="Calibri" w:cs="Calibri"/>
          <w:lang w:val="es-GT"/>
        </w:rPr>
        <w:t>(</w:t>
      </w:r>
      <w:r w:rsidRPr="00BB51BC">
        <w:rPr>
          <w:rFonts w:ascii="Calibri" w:hAnsi="Calibri" w:cs="Calibri"/>
          <w:lang w:val="es-GT"/>
        </w:rPr>
        <w:t>2003</w:t>
      </w:r>
      <w:r w:rsidR="00BB51BC" w:rsidRPr="00BB51BC">
        <w:rPr>
          <w:rFonts w:ascii="Calibri" w:hAnsi="Calibri" w:cs="Calibri"/>
          <w:lang w:val="es-GT"/>
        </w:rPr>
        <w:t>)</w:t>
      </w:r>
      <w:r w:rsidRPr="00BB51BC">
        <w:rPr>
          <w:rFonts w:ascii="Calibri" w:hAnsi="Calibri" w:cs="Calibri"/>
          <w:lang w:val="es-GT"/>
        </w:rPr>
        <w:t xml:space="preserve">. </w:t>
      </w:r>
      <w:r w:rsidRPr="001A01AB">
        <w:rPr>
          <w:rFonts w:ascii="Calibri" w:hAnsi="Calibri" w:cs="Calibri"/>
          <w:i/>
          <w:lang w:val="es-GT"/>
        </w:rPr>
        <w:t xml:space="preserve">Pobreza, </w:t>
      </w:r>
      <w:r w:rsidR="00BB51BC" w:rsidRPr="001A01AB">
        <w:rPr>
          <w:rFonts w:ascii="Calibri" w:hAnsi="Calibri" w:cs="Calibri"/>
          <w:i/>
          <w:lang w:val="es-GT"/>
        </w:rPr>
        <w:t xml:space="preserve">deforestación y </w:t>
      </w:r>
      <w:r w:rsidR="00BB51BC">
        <w:rPr>
          <w:rFonts w:ascii="Calibri" w:hAnsi="Calibri" w:cs="Calibri"/>
          <w:i/>
          <w:lang w:val="es-GT"/>
        </w:rPr>
        <w:t>pérdida de la biodiversidad en G</w:t>
      </w:r>
      <w:r w:rsidR="00BB51BC" w:rsidRPr="001A01AB">
        <w:rPr>
          <w:rFonts w:ascii="Calibri" w:hAnsi="Calibri" w:cs="Calibri"/>
          <w:i/>
          <w:lang w:val="es-GT"/>
        </w:rPr>
        <w:t>uatemala: un análisis empírico y algunas sugerencias de política económica</w:t>
      </w:r>
      <w:r w:rsidRPr="001A01AB">
        <w:rPr>
          <w:rFonts w:ascii="Calibri" w:hAnsi="Calibri" w:cs="Calibri"/>
          <w:lang w:val="es-GT"/>
        </w:rPr>
        <w:t xml:space="preserve">. </w:t>
      </w:r>
      <w:r w:rsidRPr="001A01AB">
        <w:rPr>
          <w:rFonts w:ascii="Calibri" w:hAnsi="Calibri" w:cs="Calibri"/>
          <w:lang w:val="es-GT" w:eastAsia="es-GT"/>
        </w:rPr>
        <w:t>Göttingen:</w:t>
      </w:r>
      <w:r w:rsidRPr="001A01AB">
        <w:rPr>
          <w:rFonts w:ascii="Calibri" w:hAnsi="Calibri" w:cs="Calibri"/>
          <w:lang w:val="es-GT"/>
        </w:rPr>
        <w:t xml:space="preserve"> Instituto Ibero-Americano de Investigaciones Económicas.</w:t>
      </w:r>
    </w:p>
    <w:p w:rsidR="005B64A5" w:rsidRPr="001A01AB" w:rsidRDefault="005B64A5" w:rsidP="005B64A5">
      <w:pPr>
        <w:spacing w:after="200"/>
        <w:jc w:val="both"/>
        <w:rPr>
          <w:rFonts w:ascii="Calibri" w:hAnsi="Calibri" w:cs="Calibri"/>
          <w:lang w:val="es-GT" w:eastAsia="es-GT"/>
        </w:rPr>
      </w:pPr>
      <w:r w:rsidRPr="005B64A5">
        <w:rPr>
          <w:rFonts w:ascii="Calibri" w:hAnsi="Calibri" w:cs="Calibri"/>
          <w:lang w:val="es-GT" w:eastAsia="es-GT"/>
        </w:rPr>
        <w:t xml:space="preserve">MAGA (Ministerio de Agricultura, Ganadería y Alimentación). (2006). </w:t>
      </w:r>
      <w:r w:rsidRPr="005B64A5">
        <w:rPr>
          <w:rFonts w:ascii="Calibri" w:hAnsi="Calibri" w:cs="Calibri"/>
          <w:i/>
          <w:lang w:val="es-GT" w:eastAsia="es-GT"/>
        </w:rPr>
        <w:t xml:space="preserve">Mapa de cobertura vegetal y uso actual de la tierra a escala 1:50,000 de la República de Guatemala, año 2003. Memoria técnica y descripción de resultados. </w:t>
      </w:r>
      <w:r w:rsidRPr="005B64A5">
        <w:rPr>
          <w:rFonts w:ascii="Calibri" w:hAnsi="Calibri" w:cs="Calibri"/>
          <w:lang w:val="es-GT" w:eastAsia="es-GT"/>
        </w:rPr>
        <w:t>Guatemala: Autor.</w:t>
      </w:r>
    </w:p>
    <w:p w:rsidR="00D54528" w:rsidRDefault="00D54528" w:rsidP="00E55C79">
      <w:pPr>
        <w:spacing w:after="200"/>
        <w:jc w:val="both"/>
        <w:rPr>
          <w:rFonts w:ascii="Calibri" w:hAnsi="Calibri"/>
          <w:lang w:val="es-GT"/>
        </w:rPr>
      </w:pPr>
      <w:r w:rsidRPr="001A01AB">
        <w:rPr>
          <w:rFonts w:ascii="Calibri" w:hAnsi="Calibri" w:cs="Calibri"/>
          <w:lang w:val="es-GT"/>
        </w:rPr>
        <w:t>MAGA (Ministerio de Agricultura, Ganadería y Aliment</w:t>
      </w:r>
      <w:r>
        <w:rPr>
          <w:rFonts w:ascii="Calibri" w:hAnsi="Calibri" w:cs="Calibri"/>
          <w:lang w:val="es-GT"/>
        </w:rPr>
        <w:t>ación). (2008).</w:t>
      </w:r>
      <w:r w:rsidRPr="001A01AB">
        <w:rPr>
          <w:rFonts w:ascii="Calibri" w:hAnsi="Calibri" w:cs="Calibri"/>
          <w:lang w:val="es-GT"/>
        </w:rPr>
        <w:t xml:space="preserve"> </w:t>
      </w:r>
      <w:r w:rsidRPr="00D54528">
        <w:rPr>
          <w:rFonts w:ascii="Calibri" w:hAnsi="Calibri"/>
          <w:i/>
          <w:lang w:val="es-GT"/>
        </w:rPr>
        <w:t xml:space="preserve">Política Agropecuaria 2008-2012. </w:t>
      </w:r>
      <w:r>
        <w:rPr>
          <w:rFonts w:ascii="Calibri" w:hAnsi="Calibri"/>
          <w:lang w:val="es-GT"/>
        </w:rPr>
        <w:t>Guatemala: Autor.</w:t>
      </w:r>
    </w:p>
    <w:p w:rsidR="00E55C79" w:rsidRPr="001A01AB" w:rsidRDefault="00E55C79" w:rsidP="00E55C79">
      <w:pPr>
        <w:spacing w:after="200"/>
        <w:jc w:val="both"/>
        <w:rPr>
          <w:rFonts w:ascii="Calibri" w:hAnsi="Calibri" w:cs="Calibri"/>
          <w:lang w:val="es-GT"/>
        </w:rPr>
      </w:pPr>
      <w:r w:rsidRPr="001A01AB">
        <w:rPr>
          <w:rFonts w:ascii="Calibri" w:hAnsi="Calibri" w:cs="Calibri"/>
          <w:lang w:val="es-GT"/>
        </w:rPr>
        <w:t xml:space="preserve">MAGA (Ministerio de Agricultura, Ganadería y Alimentación). </w:t>
      </w:r>
      <w:r w:rsidR="00BB51BC">
        <w:rPr>
          <w:rFonts w:ascii="Calibri" w:hAnsi="Calibri" w:cs="Calibri"/>
          <w:lang w:val="es-GT"/>
        </w:rPr>
        <w:t>(</w:t>
      </w:r>
      <w:r w:rsidRPr="001A01AB">
        <w:rPr>
          <w:rFonts w:ascii="Calibri" w:hAnsi="Calibri" w:cs="Calibri"/>
          <w:lang w:val="es-GT"/>
        </w:rPr>
        <w:t>2012</w:t>
      </w:r>
      <w:r w:rsidR="00BB51BC">
        <w:rPr>
          <w:rFonts w:ascii="Calibri" w:hAnsi="Calibri" w:cs="Calibri"/>
          <w:lang w:val="es-GT"/>
        </w:rPr>
        <w:t>)</w:t>
      </w:r>
      <w:r w:rsidRPr="001A01AB">
        <w:rPr>
          <w:rFonts w:ascii="Calibri" w:hAnsi="Calibri" w:cs="Calibri"/>
          <w:lang w:val="es-GT"/>
        </w:rPr>
        <w:t xml:space="preserve">. </w:t>
      </w:r>
      <w:r w:rsidRPr="001A01AB">
        <w:rPr>
          <w:rFonts w:ascii="Calibri" w:hAnsi="Calibri" w:cs="Calibri"/>
          <w:i/>
          <w:lang w:val="es-GT"/>
        </w:rPr>
        <w:t>Programa de Agricultura Familiar para el Fortalecimiento de la Economía Campesina</w:t>
      </w:r>
      <w:r w:rsidR="00BB51BC">
        <w:rPr>
          <w:rFonts w:ascii="Calibri" w:hAnsi="Calibri" w:cs="Calibri"/>
          <w:lang w:val="es-GT"/>
        </w:rPr>
        <w:t>. Guatemala: A</w:t>
      </w:r>
      <w:r w:rsidRPr="001A01AB">
        <w:rPr>
          <w:rFonts w:ascii="Calibri" w:hAnsi="Calibri" w:cs="Calibri"/>
          <w:lang w:val="es-GT"/>
        </w:rPr>
        <w:t>utor.</w:t>
      </w:r>
    </w:p>
    <w:p w:rsidR="00E55C79" w:rsidRDefault="00E55C79" w:rsidP="00E55C79">
      <w:pPr>
        <w:autoSpaceDE w:val="0"/>
        <w:autoSpaceDN w:val="0"/>
        <w:adjustRightInd w:val="0"/>
        <w:spacing w:after="200"/>
        <w:jc w:val="both"/>
        <w:rPr>
          <w:rFonts w:ascii="Calibri" w:hAnsi="Calibri" w:cs="Calibri"/>
          <w:lang w:val="es-GT" w:eastAsia="es-GT"/>
        </w:rPr>
      </w:pPr>
      <w:r w:rsidRPr="001A01AB">
        <w:rPr>
          <w:rFonts w:ascii="Calibri" w:hAnsi="Calibri" w:cs="Calibri"/>
          <w:lang w:val="es-GT" w:eastAsia="es-GT"/>
        </w:rPr>
        <w:t xml:space="preserve">MARN (Ministerio de Ambiente y Recursos Naturales). (2001). </w:t>
      </w:r>
      <w:r w:rsidRPr="001A01AB">
        <w:rPr>
          <w:rFonts w:ascii="Calibri" w:hAnsi="Calibri" w:cs="Calibri"/>
          <w:i/>
          <w:iCs/>
          <w:lang w:val="es-GT" w:eastAsia="es-GT"/>
        </w:rPr>
        <w:t>Primera comunicación nacional sobre el cambio climático</w:t>
      </w:r>
      <w:r w:rsidRPr="001A01AB">
        <w:rPr>
          <w:rFonts w:ascii="Calibri" w:hAnsi="Calibri" w:cs="Calibri"/>
          <w:lang w:val="es-GT" w:eastAsia="es-GT"/>
        </w:rPr>
        <w:t>. Guatemala: Autor.</w:t>
      </w:r>
    </w:p>
    <w:p w:rsidR="00253520" w:rsidRPr="001A01AB" w:rsidRDefault="00253520" w:rsidP="00E55C79">
      <w:pPr>
        <w:autoSpaceDE w:val="0"/>
        <w:autoSpaceDN w:val="0"/>
        <w:adjustRightInd w:val="0"/>
        <w:spacing w:after="200"/>
        <w:jc w:val="both"/>
        <w:rPr>
          <w:rFonts w:ascii="Calibri" w:hAnsi="Calibri" w:cs="Calibri"/>
          <w:lang w:val="es-GT" w:eastAsia="es-GT"/>
        </w:rPr>
      </w:pPr>
      <w:r w:rsidRPr="00253520">
        <w:rPr>
          <w:rFonts w:ascii="Calibri" w:hAnsi="Calibri" w:cs="Calibri"/>
          <w:lang w:val="es-GT" w:eastAsia="es-GT"/>
        </w:rPr>
        <w:t xml:space="preserve">MARN (Ministerio de Ambiente y Recursos Naturales). (2009). </w:t>
      </w:r>
      <w:r w:rsidRPr="00253520">
        <w:rPr>
          <w:rFonts w:ascii="Calibri" w:hAnsi="Calibri" w:cs="Calibri"/>
          <w:i/>
          <w:lang w:val="es-GT" w:eastAsia="es-GT"/>
        </w:rPr>
        <w:t>Política para el manejo integral de las zonas marino costeras de Guatemala. Talleres de consulta</w:t>
      </w:r>
      <w:r w:rsidRPr="00253520">
        <w:rPr>
          <w:rFonts w:ascii="Calibri" w:hAnsi="Calibri" w:cs="Calibri"/>
          <w:lang w:val="es-GT" w:eastAsia="es-GT"/>
        </w:rPr>
        <w:t xml:space="preserve"> [documento electrónico]. Guatemala: Autor.</w:t>
      </w:r>
    </w:p>
    <w:p w:rsidR="00E55C79" w:rsidRPr="001A01AB" w:rsidRDefault="00BB51BC" w:rsidP="00E55C79">
      <w:pPr>
        <w:spacing w:after="200"/>
        <w:jc w:val="both"/>
        <w:rPr>
          <w:rFonts w:ascii="Calibri" w:hAnsi="Calibri" w:cs="Calibri"/>
          <w:lang w:val="es-MX"/>
        </w:rPr>
      </w:pPr>
      <w:r>
        <w:rPr>
          <w:rFonts w:ascii="Calibri" w:hAnsi="Calibri" w:cs="Calibri"/>
          <w:lang w:val="es-MX"/>
        </w:rPr>
        <w:lastRenderedPageBreak/>
        <w:t xml:space="preserve">MARN, IARNA-URL y </w:t>
      </w:r>
      <w:r w:rsidR="00E55C79" w:rsidRPr="001A01AB">
        <w:rPr>
          <w:rFonts w:ascii="Calibri" w:hAnsi="Calibri" w:cs="Calibri"/>
          <w:lang w:val="es-MX"/>
        </w:rPr>
        <w:t>PNUMA (Ministerio de Ambiente y Recursos N</w:t>
      </w:r>
      <w:r>
        <w:rPr>
          <w:rFonts w:ascii="Calibri" w:hAnsi="Calibri" w:cs="Calibri"/>
          <w:lang w:val="es-MX"/>
        </w:rPr>
        <w:t>aturales;</w:t>
      </w:r>
      <w:r w:rsidR="00E55C79" w:rsidRPr="001A01AB">
        <w:rPr>
          <w:rFonts w:ascii="Calibri" w:hAnsi="Calibri" w:cs="Calibri"/>
          <w:lang w:val="es-MX"/>
        </w:rPr>
        <w:t xml:space="preserve"> </w:t>
      </w:r>
      <w:r w:rsidR="00E55C79" w:rsidRPr="001A01AB">
        <w:rPr>
          <w:rFonts w:ascii="Calibri" w:hAnsi="Calibri" w:cs="Calibri"/>
          <w:lang w:val="es-GT"/>
        </w:rPr>
        <w:t>Instituto de Agricultura, Recursos Naturales y Ambiente de la Universidad Rafael Landívar y Programa de las Naciones Unidas sobre Medio Ambiente</w:t>
      </w:r>
      <w:r w:rsidR="00E55C79" w:rsidRPr="001A01AB">
        <w:rPr>
          <w:rFonts w:ascii="Calibri" w:hAnsi="Calibri" w:cs="Calibri"/>
          <w:lang w:val="es-MX"/>
        </w:rPr>
        <w:t xml:space="preserve">). </w:t>
      </w:r>
      <w:r>
        <w:rPr>
          <w:rFonts w:ascii="Calibri" w:hAnsi="Calibri" w:cs="Calibri"/>
          <w:lang w:val="es-MX"/>
        </w:rPr>
        <w:t>(</w:t>
      </w:r>
      <w:r w:rsidR="00E55C79" w:rsidRPr="001A01AB">
        <w:rPr>
          <w:rFonts w:ascii="Calibri" w:hAnsi="Calibri" w:cs="Calibri"/>
          <w:lang w:val="es-MX"/>
        </w:rPr>
        <w:t>2009</w:t>
      </w:r>
      <w:r>
        <w:rPr>
          <w:rFonts w:ascii="Calibri" w:hAnsi="Calibri" w:cs="Calibri"/>
          <w:lang w:val="es-MX"/>
        </w:rPr>
        <w:t>)</w:t>
      </w:r>
      <w:r w:rsidR="00E55C79" w:rsidRPr="001A01AB">
        <w:rPr>
          <w:rFonts w:ascii="Calibri" w:hAnsi="Calibri" w:cs="Calibri"/>
          <w:lang w:val="es-MX"/>
        </w:rPr>
        <w:t xml:space="preserve">. </w:t>
      </w:r>
      <w:r w:rsidR="00E55C79" w:rsidRPr="001A01AB">
        <w:rPr>
          <w:rFonts w:ascii="Calibri" w:hAnsi="Calibri" w:cs="Calibri"/>
          <w:i/>
          <w:lang w:val="es-MX"/>
        </w:rPr>
        <w:t>Informe Ambiental del Estado – GEO Guatemala 2009.</w:t>
      </w:r>
      <w:r>
        <w:rPr>
          <w:rFonts w:ascii="Calibri" w:hAnsi="Calibri" w:cs="Calibri"/>
          <w:lang w:val="es-MX"/>
        </w:rPr>
        <w:t xml:space="preserve"> Guatemala: Autor.</w:t>
      </w:r>
    </w:p>
    <w:p w:rsidR="00016E6A" w:rsidRDefault="00016E6A" w:rsidP="00016E6A">
      <w:pPr>
        <w:spacing w:after="200"/>
        <w:jc w:val="both"/>
        <w:rPr>
          <w:rFonts w:ascii="Calibri" w:hAnsi="Calibri" w:cs="Calibri"/>
          <w:lang w:val="es-GT" w:eastAsia="es-GT"/>
        </w:rPr>
      </w:pPr>
      <w:r w:rsidRPr="00B47FF7">
        <w:rPr>
          <w:rFonts w:ascii="Calibri" w:hAnsi="Calibri" w:cs="Calibri"/>
          <w:lang w:val="es-GT" w:eastAsia="es-GT"/>
        </w:rPr>
        <w:t xml:space="preserve">Mawdsley, J., O´Malley, R. &amp; Ojima, D. (2009). </w:t>
      </w:r>
      <w:r w:rsidRPr="00B47FF7">
        <w:rPr>
          <w:rFonts w:ascii="Calibri" w:hAnsi="Calibri" w:cs="Calibri"/>
          <w:lang w:eastAsia="es-GT"/>
        </w:rPr>
        <w:t xml:space="preserve">A review of climate-change adaptation strategies for wildlife management and biodiversity conservation. </w:t>
      </w:r>
      <w:r w:rsidRPr="00B47FF7">
        <w:rPr>
          <w:rFonts w:ascii="Calibri" w:hAnsi="Calibri" w:cs="Calibri"/>
          <w:i/>
          <w:lang w:val="es-GT" w:eastAsia="es-GT"/>
        </w:rPr>
        <w:t>Conservation Biology 23</w:t>
      </w:r>
      <w:r w:rsidRPr="00B47FF7">
        <w:rPr>
          <w:rFonts w:ascii="Calibri" w:hAnsi="Calibri" w:cs="Calibri"/>
          <w:lang w:val="es-GT" w:eastAsia="es-GT"/>
        </w:rPr>
        <w:t xml:space="preserve"> (5), 1080-1089.</w:t>
      </w:r>
    </w:p>
    <w:p w:rsidR="00253520" w:rsidRDefault="00253520" w:rsidP="00E55C79">
      <w:pPr>
        <w:spacing w:after="200"/>
        <w:jc w:val="both"/>
        <w:rPr>
          <w:rFonts w:ascii="Calibri" w:hAnsi="Calibri" w:cs="Calibri"/>
          <w:lang w:val="es-GT" w:eastAsia="es-GT"/>
        </w:rPr>
      </w:pPr>
      <w:r w:rsidRPr="00253520">
        <w:rPr>
          <w:rFonts w:ascii="Calibri" w:hAnsi="Calibri" w:cs="Calibri"/>
          <w:lang w:val="es-GT" w:eastAsia="es-GT"/>
        </w:rPr>
        <w:t xml:space="preserve">MFEWS (Sistema Mesoamericano de Alerta Temprana para Seguridad Alimentaria). (2009). </w:t>
      </w:r>
      <w:r w:rsidRPr="00253520">
        <w:rPr>
          <w:rFonts w:ascii="Calibri" w:hAnsi="Calibri" w:cs="Calibri"/>
          <w:i/>
          <w:lang w:val="es-GT" w:eastAsia="es-GT"/>
        </w:rPr>
        <w:t>Guatemala: Perfiles de medios de vida.</w:t>
      </w:r>
      <w:r w:rsidRPr="00253520">
        <w:rPr>
          <w:rFonts w:ascii="Calibri" w:hAnsi="Calibri" w:cs="Calibri"/>
          <w:lang w:val="es-GT" w:eastAsia="es-GT"/>
        </w:rPr>
        <w:t xml:space="preserve"> Guatemala: Autor.</w:t>
      </w:r>
    </w:p>
    <w:p w:rsidR="00E55C79" w:rsidRPr="005B64A5" w:rsidRDefault="00E55C79" w:rsidP="00E55C79">
      <w:pPr>
        <w:spacing w:after="200"/>
        <w:jc w:val="both"/>
        <w:rPr>
          <w:rFonts w:ascii="Calibri" w:hAnsi="Calibri" w:cs="Calibri"/>
          <w:lang w:val="es-GT" w:eastAsia="es-GT"/>
        </w:rPr>
      </w:pPr>
      <w:r w:rsidRPr="001A01AB">
        <w:rPr>
          <w:rFonts w:ascii="Calibri" w:hAnsi="Calibri" w:cs="Calibri"/>
          <w:lang w:val="es-GT" w:eastAsia="es-GT"/>
        </w:rPr>
        <w:t xml:space="preserve">Monterroso, O. (2009). Institucionalización y políticas públicas para el desarrollo rural en Guatemala. </w:t>
      </w:r>
      <w:r w:rsidRPr="005B64A5">
        <w:rPr>
          <w:rFonts w:ascii="Calibri" w:hAnsi="Calibri" w:cs="Calibri"/>
          <w:i/>
          <w:iCs/>
          <w:lang w:val="es-GT" w:eastAsia="es-GT"/>
        </w:rPr>
        <w:t xml:space="preserve">Revista CEPAL 97 </w:t>
      </w:r>
      <w:r w:rsidRPr="005B64A5">
        <w:rPr>
          <w:rFonts w:ascii="Calibri" w:hAnsi="Calibri" w:cs="Calibri"/>
          <w:lang w:val="es-GT" w:eastAsia="es-GT"/>
        </w:rPr>
        <w:t>(abril):</w:t>
      </w:r>
      <w:r w:rsidR="00BB51BC" w:rsidRPr="005B64A5">
        <w:rPr>
          <w:rFonts w:ascii="Calibri" w:hAnsi="Calibri" w:cs="Calibri"/>
          <w:lang w:val="es-GT" w:eastAsia="es-GT"/>
        </w:rPr>
        <w:t xml:space="preserve"> </w:t>
      </w:r>
      <w:r w:rsidRPr="005B64A5">
        <w:rPr>
          <w:rFonts w:ascii="Calibri" w:hAnsi="Calibri" w:cs="Calibri"/>
          <w:lang w:val="es-GT" w:eastAsia="es-GT"/>
        </w:rPr>
        <w:t>155-171.</w:t>
      </w:r>
    </w:p>
    <w:p w:rsidR="005B64A5" w:rsidRPr="005B64A5" w:rsidRDefault="005B64A5" w:rsidP="00E55C79">
      <w:pPr>
        <w:autoSpaceDE w:val="0"/>
        <w:autoSpaceDN w:val="0"/>
        <w:adjustRightInd w:val="0"/>
        <w:spacing w:after="200"/>
        <w:jc w:val="both"/>
        <w:rPr>
          <w:rFonts w:ascii="Calibri" w:hAnsi="Calibri" w:cs="Calibri"/>
          <w:lang w:val="es-GT" w:eastAsia="es-GT"/>
        </w:rPr>
      </w:pPr>
      <w:r w:rsidRPr="005B64A5">
        <w:rPr>
          <w:rFonts w:ascii="Calibri" w:hAnsi="Calibri" w:cs="Calibri"/>
          <w:lang w:val="es-GT" w:eastAsia="es-GT"/>
        </w:rPr>
        <w:t xml:space="preserve">OAG (Observatorio Ambiental de Guatemala). (2011, marzo). </w:t>
      </w:r>
      <w:r w:rsidRPr="005B64A5">
        <w:rPr>
          <w:rFonts w:ascii="Calibri" w:hAnsi="Calibri" w:cs="Calibri"/>
          <w:i/>
          <w:lang w:val="es-GT" w:eastAsia="es-GT"/>
        </w:rPr>
        <w:t>Situación del agua en Guatemala</w:t>
      </w:r>
      <w:r w:rsidRPr="005B64A5">
        <w:rPr>
          <w:rFonts w:ascii="Calibri" w:hAnsi="Calibri" w:cs="Calibri"/>
          <w:lang w:val="es-GT" w:eastAsia="es-GT"/>
        </w:rPr>
        <w:t xml:space="preserve"> (Boletín de prensa No. 2). Guatemala: Universidad de San Carlos de Guatemala, Universidad Rafael Landívar y Facultad Latinoamericana de Ciencias Sociales (USAC, URL y FLACSO).</w:t>
      </w:r>
    </w:p>
    <w:p w:rsidR="00E55C79" w:rsidRPr="001A01AB" w:rsidRDefault="00E55C79" w:rsidP="00E55C79">
      <w:pPr>
        <w:autoSpaceDE w:val="0"/>
        <w:autoSpaceDN w:val="0"/>
        <w:adjustRightInd w:val="0"/>
        <w:spacing w:after="200"/>
        <w:jc w:val="both"/>
        <w:rPr>
          <w:rFonts w:ascii="Calibri" w:hAnsi="Calibri" w:cs="Calibri"/>
          <w:lang w:val="es-GT" w:eastAsia="es-GT"/>
        </w:rPr>
      </w:pPr>
      <w:r w:rsidRPr="001A01AB">
        <w:rPr>
          <w:rFonts w:ascii="Calibri" w:hAnsi="Calibri" w:cs="Calibri"/>
          <w:lang w:eastAsia="es-GT"/>
        </w:rPr>
        <w:t>OECD (</w:t>
      </w:r>
      <w:r w:rsidRPr="001A01AB">
        <w:rPr>
          <w:rStyle w:val="ft"/>
          <w:rFonts w:ascii="Calibri" w:hAnsi="Calibri" w:cs="Calibri"/>
        </w:rPr>
        <w:t>Organization for Economic Co-operation and Development</w:t>
      </w:r>
      <w:r w:rsidRPr="001A01AB">
        <w:rPr>
          <w:rFonts w:ascii="Calibri" w:hAnsi="Calibri" w:cs="Calibri"/>
          <w:lang w:eastAsia="es-GT"/>
        </w:rPr>
        <w:t xml:space="preserve">). </w:t>
      </w:r>
      <w:r w:rsidR="009F0BDF">
        <w:rPr>
          <w:rFonts w:ascii="Calibri" w:hAnsi="Calibri" w:cs="Calibri"/>
          <w:lang w:eastAsia="es-GT"/>
        </w:rPr>
        <w:t>(</w:t>
      </w:r>
      <w:r w:rsidRPr="001A01AB">
        <w:rPr>
          <w:rFonts w:ascii="Calibri" w:hAnsi="Calibri" w:cs="Calibri"/>
          <w:lang w:eastAsia="es-GT"/>
        </w:rPr>
        <w:t>2006</w:t>
      </w:r>
      <w:r w:rsidR="009F0BDF">
        <w:rPr>
          <w:rFonts w:ascii="Calibri" w:hAnsi="Calibri" w:cs="Calibri"/>
          <w:lang w:eastAsia="es-GT"/>
        </w:rPr>
        <w:t>)</w:t>
      </w:r>
      <w:r w:rsidRPr="001A01AB">
        <w:rPr>
          <w:rFonts w:ascii="Calibri" w:hAnsi="Calibri" w:cs="Calibri"/>
          <w:lang w:eastAsia="es-GT"/>
        </w:rPr>
        <w:t xml:space="preserve">. </w:t>
      </w:r>
      <w:r w:rsidRPr="001A01AB">
        <w:rPr>
          <w:rFonts w:ascii="Calibri" w:hAnsi="Calibri" w:cs="Calibri"/>
          <w:i/>
          <w:iCs/>
          <w:lang w:eastAsia="es-GT"/>
        </w:rPr>
        <w:t xml:space="preserve">Applying </w:t>
      </w:r>
      <w:r w:rsidR="009F0BDF" w:rsidRPr="001A01AB">
        <w:rPr>
          <w:rFonts w:ascii="Calibri" w:hAnsi="Calibri" w:cs="Calibri"/>
          <w:i/>
          <w:iCs/>
          <w:lang w:eastAsia="es-GT"/>
        </w:rPr>
        <w:t>strategic environmental assessment</w:t>
      </w:r>
      <w:r w:rsidRPr="001A01AB">
        <w:rPr>
          <w:rFonts w:ascii="Calibri" w:hAnsi="Calibri" w:cs="Calibri"/>
          <w:lang w:eastAsia="es-GT"/>
        </w:rPr>
        <w:t xml:space="preserve">. </w:t>
      </w:r>
      <w:r w:rsidRPr="008C1EE0">
        <w:rPr>
          <w:rFonts w:ascii="Calibri" w:hAnsi="Calibri" w:cs="Calibri"/>
          <w:lang w:eastAsia="es-GT"/>
        </w:rPr>
        <w:t xml:space="preserve">DAC Guidelines and Reference Series. </w:t>
      </w:r>
      <w:r w:rsidR="008C1EE0">
        <w:rPr>
          <w:rFonts w:ascii="Calibri" w:hAnsi="Calibri" w:cs="Calibri"/>
          <w:lang w:val="es-GT" w:eastAsia="es-GT"/>
        </w:rPr>
        <w:t>París: A</w:t>
      </w:r>
      <w:r w:rsidRPr="001A01AB">
        <w:rPr>
          <w:rFonts w:ascii="Calibri" w:hAnsi="Calibri" w:cs="Calibri"/>
          <w:lang w:val="es-GT" w:eastAsia="es-GT"/>
        </w:rPr>
        <w:t>uthor.</w:t>
      </w:r>
    </w:p>
    <w:p w:rsidR="00E55C79" w:rsidRPr="001A01AB" w:rsidRDefault="009F0BDF" w:rsidP="00E55C79">
      <w:pPr>
        <w:autoSpaceDE w:val="0"/>
        <w:autoSpaceDN w:val="0"/>
        <w:adjustRightInd w:val="0"/>
        <w:spacing w:after="200"/>
        <w:jc w:val="both"/>
        <w:rPr>
          <w:rFonts w:ascii="Calibri" w:hAnsi="Calibri" w:cs="Calibri"/>
          <w:lang w:val="es-GT"/>
        </w:rPr>
      </w:pPr>
      <w:r>
        <w:rPr>
          <w:rFonts w:ascii="Calibri" w:hAnsi="Calibri" w:cs="Calibri"/>
          <w:lang w:val="es-GT"/>
        </w:rPr>
        <w:t>Oñate, J., Pereira, D., Suá</w:t>
      </w:r>
      <w:r w:rsidR="00E55C79" w:rsidRPr="001A01AB">
        <w:rPr>
          <w:rFonts w:ascii="Calibri" w:hAnsi="Calibri" w:cs="Calibri"/>
          <w:lang w:val="es-GT"/>
        </w:rPr>
        <w:t xml:space="preserve">rez, F., Rodríguez, J., Cachón, J. </w:t>
      </w:r>
      <w:r>
        <w:rPr>
          <w:rFonts w:ascii="Calibri" w:hAnsi="Calibri" w:cs="Calibri"/>
          <w:lang w:val="es-GT"/>
        </w:rPr>
        <w:t>(</w:t>
      </w:r>
      <w:r w:rsidR="00E55C79" w:rsidRPr="001A01AB">
        <w:rPr>
          <w:rFonts w:ascii="Calibri" w:hAnsi="Calibri" w:cs="Calibri"/>
          <w:lang w:val="es-GT"/>
        </w:rPr>
        <w:t>2002</w:t>
      </w:r>
      <w:r>
        <w:rPr>
          <w:rFonts w:ascii="Calibri" w:hAnsi="Calibri" w:cs="Calibri"/>
          <w:lang w:val="es-GT"/>
        </w:rPr>
        <w:t>)</w:t>
      </w:r>
      <w:r w:rsidR="00E55C79" w:rsidRPr="001A01AB">
        <w:rPr>
          <w:rFonts w:ascii="Calibri" w:hAnsi="Calibri" w:cs="Calibri"/>
          <w:lang w:val="es-GT"/>
        </w:rPr>
        <w:t xml:space="preserve">. </w:t>
      </w:r>
      <w:r w:rsidR="00E55C79" w:rsidRPr="001A01AB">
        <w:rPr>
          <w:rFonts w:ascii="Calibri" w:hAnsi="Calibri" w:cs="Calibri"/>
          <w:i/>
          <w:lang w:val="es-GT"/>
        </w:rPr>
        <w:t xml:space="preserve">Evaluación </w:t>
      </w:r>
      <w:r w:rsidRPr="001A01AB">
        <w:rPr>
          <w:rFonts w:ascii="Calibri" w:hAnsi="Calibri" w:cs="Calibri"/>
          <w:i/>
          <w:lang w:val="es-GT"/>
        </w:rPr>
        <w:t>ambiental estratégic</w:t>
      </w:r>
      <w:r w:rsidR="00E55C79" w:rsidRPr="001A01AB">
        <w:rPr>
          <w:rFonts w:ascii="Calibri" w:hAnsi="Calibri" w:cs="Calibri"/>
          <w:i/>
          <w:lang w:val="es-GT"/>
        </w:rPr>
        <w:t xml:space="preserve">a. La </w:t>
      </w:r>
      <w:r w:rsidRPr="001A01AB">
        <w:rPr>
          <w:rFonts w:ascii="Calibri" w:hAnsi="Calibri" w:cs="Calibri"/>
          <w:i/>
          <w:lang w:val="es-GT"/>
        </w:rPr>
        <w:t>evaluación ambiental de políticas, planes y programas</w:t>
      </w:r>
      <w:r w:rsidR="00E55C79" w:rsidRPr="001A01AB">
        <w:rPr>
          <w:rFonts w:ascii="Calibri" w:hAnsi="Calibri" w:cs="Calibri"/>
          <w:lang w:val="es-GT"/>
        </w:rPr>
        <w:t>. Madrid: Ed</w:t>
      </w:r>
      <w:r>
        <w:rPr>
          <w:rFonts w:ascii="Calibri" w:hAnsi="Calibri" w:cs="Calibri"/>
          <w:lang w:val="es-GT"/>
        </w:rPr>
        <w:t>itorial</w:t>
      </w:r>
      <w:r w:rsidR="00E55C79" w:rsidRPr="001A01AB">
        <w:rPr>
          <w:rFonts w:ascii="Calibri" w:hAnsi="Calibri" w:cs="Calibri"/>
          <w:lang w:val="es-GT"/>
        </w:rPr>
        <w:t xml:space="preserve"> Mundi Prensa.</w:t>
      </w:r>
    </w:p>
    <w:p w:rsidR="00016E6A" w:rsidRDefault="00016E6A" w:rsidP="00016E6A">
      <w:pPr>
        <w:autoSpaceDE w:val="0"/>
        <w:autoSpaceDN w:val="0"/>
        <w:adjustRightInd w:val="0"/>
        <w:spacing w:after="200"/>
        <w:jc w:val="both"/>
        <w:rPr>
          <w:rFonts w:ascii="Calibri" w:hAnsi="Calibri" w:cs="Calibri"/>
          <w:lang w:val="es-GT" w:eastAsia="es-GT"/>
        </w:rPr>
      </w:pPr>
      <w:r>
        <w:rPr>
          <w:rFonts w:ascii="Calibri" w:hAnsi="Calibri" w:cs="Calibri"/>
          <w:lang w:val="es-GT" w:eastAsia="es-GT"/>
        </w:rPr>
        <w:t xml:space="preserve">OPS y OMS (Organización Panamericana de la Salud y Organización Mundial de la Salud). (2009). </w:t>
      </w:r>
      <w:r w:rsidRPr="00016E6A">
        <w:rPr>
          <w:rFonts w:ascii="Calibri" w:hAnsi="Calibri" w:cs="Calibri"/>
          <w:i/>
          <w:lang w:val="es-GT"/>
        </w:rPr>
        <w:t>Situación actual perspectivas para el fortalecimiento del sistema de vigilancia nutricional.</w:t>
      </w:r>
      <w:r w:rsidRPr="00016E6A">
        <w:rPr>
          <w:rFonts w:ascii="Calibri" w:hAnsi="Calibri" w:cs="Calibri"/>
          <w:lang w:val="es-GT"/>
        </w:rPr>
        <w:t xml:space="preserve"> </w:t>
      </w:r>
      <w:r w:rsidRPr="00016E6A">
        <w:rPr>
          <w:rFonts w:ascii="Calibri" w:hAnsi="Calibri" w:cs="Calibri"/>
          <w:highlight w:val="red"/>
          <w:lang w:val="es-GT"/>
        </w:rPr>
        <w:t>País: Editorial.</w:t>
      </w:r>
    </w:p>
    <w:p w:rsidR="00016E6A" w:rsidRPr="00253520" w:rsidRDefault="00016E6A" w:rsidP="00016E6A">
      <w:pPr>
        <w:autoSpaceDE w:val="0"/>
        <w:autoSpaceDN w:val="0"/>
        <w:adjustRightInd w:val="0"/>
        <w:spacing w:after="200"/>
        <w:jc w:val="both"/>
        <w:rPr>
          <w:rFonts w:ascii="Calibri" w:hAnsi="Calibri" w:cs="Calibri"/>
          <w:lang w:val="es-GT" w:eastAsia="es-GT"/>
        </w:rPr>
      </w:pPr>
      <w:r w:rsidRPr="00253520">
        <w:rPr>
          <w:rFonts w:ascii="Calibri" w:hAnsi="Calibri" w:cs="Calibri"/>
          <w:lang w:val="es-GT" w:eastAsia="es-GT"/>
        </w:rPr>
        <w:t xml:space="preserve">OSPESCA (Organización del Sector Pesquero y Acuícola del Istmo Centroamericano). (2009). </w:t>
      </w:r>
      <w:r w:rsidRPr="00253520">
        <w:rPr>
          <w:rFonts w:ascii="Calibri" w:hAnsi="Calibri" w:cs="Calibri"/>
          <w:i/>
          <w:lang w:val="es-GT" w:eastAsia="es-GT"/>
        </w:rPr>
        <w:t>Indicadores macroeconómicos del sector pesquero y acuícola del istmo centroamericano. Periodo 2000-2007.</w:t>
      </w:r>
      <w:r w:rsidRPr="00253520">
        <w:rPr>
          <w:rFonts w:ascii="Calibri" w:hAnsi="Calibri" w:cs="Calibri"/>
          <w:lang w:val="es-GT" w:eastAsia="es-GT"/>
        </w:rPr>
        <w:t xml:space="preserve"> Proyecto "Plan de apoyo a la Pesca en Centroamérica" PAPCA-OSPESCA/AECID/XUNTA DE GALICIA y Proyecto "Fortalecimiento de la investigación interdisciplinaria para la pesca responsable en los países centroamericanos" FIINPESCA-OSPESCA/FAO/SUECUA-GCP/RLA/150/SWE.</w:t>
      </w:r>
    </w:p>
    <w:p w:rsidR="00016E6A" w:rsidRPr="00253520" w:rsidRDefault="00016E6A" w:rsidP="00016E6A">
      <w:pPr>
        <w:autoSpaceDE w:val="0"/>
        <w:autoSpaceDN w:val="0"/>
        <w:adjustRightInd w:val="0"/>
        <w:spacing w:after="200"/>
        <w:jc w:val="both"/>
        <w:rPr>
          <w:rFonts w:ascii="Calibri" w:hAnsi="Calibri" w:cs="Calibri"/>
          <w:lang w:val="es-GT" w:eastAsia="es-GT"/>
        </w:rPr>
      </w:pPr>
      <w:r w:rsidRPr="00253520">
        <w:rPr>
          <w:rFonts w:ascii="Calibri" w:hAnsi="Calibri" w:cs="Calibri"/>
          <w:lang w:val="es-GT" w:eastAsia="es-GT"/>
        </w:rPr>
        <w:t xml:space="preserve">OSPESCA (Organización del Sector Pesquero y Acuícola del Istmo Centroamericano). (2010). </w:t>
      </w:r>
      <w:r w:rsidRPr="00253520">
        <w:rPr>
          <w:rFonts w:ascii="Calibri" w:hAnsi="Calibri" w:cs="Calibri"/>
          <w:i/>
          <w:lang w:val="es-GT" w:eastAsia="es-GT"/>
        </w:rPr>
        <w:t>Centroamérica en cifras: pesca artesanal y acuicultura.</w:t>
      </w:r>
      <w:r w:rsidRPr="00253520">
        <w:rPr>
          <w:rFonts w:ascii="Calibri" w:hAnsi="Calibri" w:cs="Calibri"/>
          <w:lang w:val="es-GT" w:eastAsia="es-GT"/>
        </w:rPr>
        <w:t xml:space="preserve"> Autor, Sistema de la Integración Centroamericana (SICA).</w:t>
      </w:r>
    </w:p>
    <w:p w:rsidR="00E55C79" w:rsidRPr="001A01AB" w:rsidRDefault="00E55C79" w:rsidP="00E55C79">
      <w:pPr>
        <w:spacing w:after="200"/>
        <w:jc w:val="both"/>
        <w:rPr>
          <w:rFonts w:ascii="Calibri" w:hAnsi="Calibri" w:cs="Calibri"/>
          <w:lang w:val="es-MX"/>
        </w:rPr>
      </w:pPr>
      <w:r w:rsidRPr="001A01AB">
        <w:rPr>
          <w:rFonts w:ascii="Calibri" w:hAnsi="Calibri" w:cs="Calibri"/>
          <w:lang w:val="es-MX"/>
        </w:rPr>
        <w:t xml:space="preserve">Partidario, M. </w:t>
      </w:r>
      <w:r w:rsidR="009F0BDF">
        <w:rPr>
          <w:rFonts w:ascii="Calibri" w:hAnsi="Calibri" w:cs="Calibri"/>
          <w:lang w:val="es-MX"/>
        </w:rPr>
        <w:t>(</w:t>
      </w:r>
      <w:r w:rsidRPr="001A01AB">
        <w:rPr>
          <w:rFonts w:ascii="Calibri" w:hAnsi="Calibri" w:cs="Calibri"/>
          <w:lang w:val="es-MX"/>
        </w:rPr>
        <w:t>2011</w:t>
      </w:r>
      <w:r w:rsidR="009F0BDF">
        <w:rPr>
          <w:rFonts w:ascii="Calibri" w:hAnsi="Calibri" w:cs="Calibri"/>
          <w:lang w:val="es-MX"/>
        </w:rPr>
        <w:t>)</w:t>
      </w:r>
      <w:r w:rsidRPr="001A01AB">
        <w:rPr>
          <w:rFonts w:ascii="Calibri" w:hAnsi="Calibri" w:cs="Calibri"/>
          <w:lang w:val="es-MX"/>
        </w:rPr>
        <w:t xml:space="preserve">. </w:t>
      </w:r>
      <w:r w:rsidRPr="001A01AB">
        <w:rPr>
          <w:rFonts w:ascii="Calibri" w:hAnsi="Calibri" w:cs="Calibri"/>
          <w:i/>
          <w:lang w:val="es-MX"/>
        </w:rPr>
        <w:t xml:space="preserve">Conceptos, evolución y perspectivas de la </w:t>
      </w:r>
      <w:r w:rsidR="009F0BDF" w:rsidRPr="001A01AB">
        <w:rPr>
          <w:rFonts w:ascii="Calibri" w:hAnsi="Calibri" w:cs="Calibri"/>
          <w:i/>
          <w:lang w:val="es-MX"/>
        </w:rPr>
        <w:t>evaluación ambiental estratégica</w:t>
      </w:r>
      <w:r w:rsidRPr="001A01AB">
        <w:rPr>
          <w:rFonts w:ascii="Calibri" w:hAnsi="Calibri" w:cs="Calibri"/>
          <w:i/>
          <w:lang w:val="es-MX"/>
        </w:rPr>
        <w:t>.</w:t>
      </w:r>
      <w:r w:rsidR="009F0BDF">
        <w:rPr>
          <w:rFonts w:ascii="Calibri" w:hAnsi="Calibri" w:cs="Calibri"/>
          <w:i/>
          <w:lang w:val="es-MX"/>
        </w:rPr>
        <w:t xml:space="preserve"> </w:t>
      </w:r>
      <w:r w:rsidRPr="001A01AB">
        <w:rPr>
          <w:rFonts w:ascii="Calibri" w:hAnsi="Calibri" w:cs="Calibri"/>
          <w:i/>
          <w:lang w:val="es-MX"/>
        </w:rPr>
        <w:t xml:space="preserve">Curso sobre </w:t>
      </w:r>
      <w:r w:rsidR="009F0BDF" w:rsidRPr="001A01AB">
        <w:rPr>
          <w:rFonts w:ascii="Calibri" w:hAnsi="Calibri" w:cs="Calibri"/>
          <w:i/>
          <w:lang w:val="es-MX"/>
        </w:rPr>
        <w:t xml:space="preserve">evaluación ambiental estratégica </w:t>
      </w:r>
      <w:r w:rsidRPr="001A01AB">
        <w:rPr>
          <w:rFonts w:ascii="Calibri" w:hAnsi="Calibri" w:cs="Calibri"/>
          <w:i/>
          <w:lang w:val="es-MX"/>
        </w:rPr>
        <w:t>(EAE)</w:t>
      </w:r>
      <w:r w:rsidR="008C1EE0">
        <w:rPr>
          <w:rFonts w:ascii="Calibri" w:hAnsi="Calibri" w:cs="Calibri"/>
          <w:lang w:val="es-MX"/>
        </w:rPr>
        <w:t>. Chile: A</w:t>
      </w:r>
      <w:r w:rsidRPr="001A01AB">
        <w:rPr>
          <w:rFonts w:ascii="Calibri" w:hAnsi="Calibri" w:cs="Calibri"/>
          <w:lang w:val="es-MX"/>
        </w:rPr>
        <w:t>utor.</w:t>
      </w:r>
    </w:p>
    <w:p w:rsidR="005B64A5" w:rsidRDefault="005B64A5" w:rsidP="00E55C79">
      <w:pPr>
        <w:autoSpaceDE w:val="0"/>
        <w:autoSpaceDN w:val="0"/>
        <w:adjustRightInd w:val="0"/>
        <w:spacing w:after="200"/>
        <w:jc w:val="both"/>
        <w:rPr>
          <w:rFonts w:ascii="Calibri" w:hAnsi="Calibri" w:cs="Calibri"/>
          <w:lang w:val="es-GT" w:eastAsia="es-GT"/>
        </w:rPr>
      </w:pPr>
      <w:r w:rsidRPr="005B64A5">
        <w:rPr>
          <w:rFonts w:ascii="Calibri" w:hAnsi="Calibri" w:cs="Calibri"/>
          <w:lang w:val="es-GT" w:eastAsia="es-GT"/>
        </w:rPr>
        <w:t xml:space="preserve">PNUD (Programa de las Naciones Unidas para el Desarrollo). (2005). </w:t>
      </w:r>
      <w:r w:rsidRPr="005B64A5">
        <w:rPr>
          <w:rFonts w:ascii="Calibri" w:hAnsi="Calibri" w:cs="Calibri"/>
          <w:i/>
          <w:lang w:val="es-GT" w:eastAsia="es-GT"/>
        </w:rPr>
        <w:t>Informe nacional de desarrollo humano 2005. Diversidad étnico-cultural y desarrollo humano: la ciudadanía en un Estado plura</w:t>
      </w:r>
      <w:r>
        <w:rPr>
          <w:rFonts w:ascii="Calibri" w:hAnsi="Calibri" w:cs="Calibri"/>
          <w:i/>
          <w:lang w:val="es-GT" w:eastAsia="es-GT"/>
        </w:rPr>
        <w:t>l</w:t>
      </w:r>
      <w:r w:rsidRPr="005B64A5">
        <w:rPr>
          <w:rFonts w:ascii="Calibri" w:hAnsi="Calibri" w:cs="Calibri"/>
          <w:i/>
          <w:lang w:val="es-GT" w:eastAsia="es-GT"/>
        </w:rPr>
        <w:t xml:space="preserve">. </w:t>
      </w:r>
      <w:r w:rsidRPr="005B64A5">
        <w:rPr>
          <w:rFonts w:ascii="Calibri" w:hAnsi="Calibri" w:cs="Calibri"/>
          <w:lang w:val="es-GT" w:eastAsia="es-GT"/>
        </w:rPr>
        <w:t>Guatemala: Autor.</w:t>
      </w:r>
    </w:p>
    <w:p w:rsidR="005B64A5" w:rsidRDefault="005B64A5" w:rsidP="00E55C79">
      <w:pPr>
        <w:autoSpaceDE w:val="0"/>
        <w:autoSpaceDN w:val="0"/>
        <w:adjustRightInd w:val="0"/>
        <w:spacing w:after="200"/>
        <w:jc w:val="both"/>
        <w:rPr>
          <w:rFonts w:ascii="Calibri" w:hAnsi="Calibri" w:cs="Calibri"/>
          <w:lang w:val="es-GT" w:eastAsia="es-GT"/>
        </w:rPr>
      </w:pPr>
      <w:r w:rsidRPr="005B64A5">
        <w:rPr>
          <w:rFonts w:ascii="Calibri" w:hAnsi="Calibri" w:cs="Calibri"/>
          <w:lang w:val="es-GT" w:eastAsia="es-GT"/>
        </w:rPr>
        <w:lastRenderedPageBreak/>
        <w:t xml:space="preserve">PNUD (Programa de las Naciones Unidas para el Desarrollo). </w:t>
      </w:r>
      <w:r w:rsidRPr="005B64A5">
        <w:rPr>
          <w:rFonts w:ascii="Calibri" w:hAnsi="Calibri" w:cs="Calibri"/>
          <w:lang w:eastAsia="es-GT"/>
        </w:rPr>
        <w:t xml:space="preserve">(2010). A. Bovarnick, F. Alpizar, C. Schnell (Eds.). </w:t>
      </w:r>
      <w:r w:rsidRPr="005B64A5">
        <w:rPr>
          <w:rFonts w:ascii="Calibri" w:hAnsi="Calibri" w:cs="Calibri"/>
          <w:i/>
          <w:lang w:val="es-GT" w:eastAsia="es-GT"/>
        </w:rPr>
        <w:t>La importancia de la biodiversidad y de los ecosistemas para el crecimiento económico y la equidad en América Latina y el Caribe: Una valoración económica de los ecosistemas.</w:t>
      </w:r>
      <w:r w:rsidRPr="005B64A5">
        <w:rPr>
          <w:rFonts w:ascii="Calibri" w:hAnsi="Calibri" w:cs="Calibri"/>
          <w:lang w:val="es-GT" w:eastAsia="es-GT"/>
        </w:rPr>
        <w:t xml:space="preserve"> México: Autor.</w:t>
      </w:r>
    </w:p>
    <w:p w:rsidR="005B64A5" w:rsidRDefault="005B64A5" w:rsidP="00E55C79">
      <w:pPr>
        <w:autoSpaceDE w:val="0"/>
        <w:autoSpaceDN w:val="0"/>
        <w:adjustRightInd w:val="0"/>
        <w:spacing w:after="200"/>
        <w:jc w:val="both"/>
        <w:rPr>
          <w:rFonts w:ascii="Calibri" w:hAnsi="Calibri" w:cs="Calibri"/>
          <w:lang w:val="es-GT" w:eastAsia="es-GT"/>
        </w:rPr>
      </w:pPr>
      <w:r w:rsidRPr="005B64A5">
        <w:rPr>
          <w:rFonts w:ascii="Calibri" w:hAnsi="Calibri" w:cs="Calibri"/>
          <w:lang w:val="es-GT" w:eastAsia="es-GT"/>
        </w:rPr>
        <w:t xml:space="preserve">Ramírez, A. (2010, mayo 2). El Lago de Amatitlán se puede salvar. </w:t>
      </w:r>
      <w:r w:rsidRPr="005B64A5">
        <w:rPr>
          <w:rFonts w:ascii="Calibri" w:hAnsi="Calibri" w:cs="Calibri"/>
          <w:i/>
          <w:lang w:val="es-GT" w:eastAsia="es-GT"/>
        </w:rPr>
        <w:t>Prensa Libre,</w:t>
      </w:r>
      <w:r w:rsidRPr="005B64A5">
        <w:rPr>
          <w:rFonts w:ascii="Calibri" w:hAnsi="Calibri" w:cs="Calibri"/>
          <w:lang w:val="es-GT" w:eastAsia="es-GT"/>
        </w:rPr>
        <w:t xml:space="preserve"> p. 13. Recuperado del sitio web de la Autoridad para el Manejo Sustentable de la Cuenca y del Lago de Amatitlán en noviembre de 2011, de: http://www.amsa.gob.gt/blog/?p=1739</w:t>
      </w:r>
    </w:p>
    <w:p w:rsidR="005B64A5" w:rsidRDefault="005B64A5" w:rsidP="00E55C79">
      <w:pPr>
        <w:autoSpaceDE w:val="0"/>
        <w:autoSpaceDN w:val="0"/>
        <w:adjustRightInd w:val="0"/>
        <w:spacing w:after="200"/>
        <w:jc w:val="both"/>
        <w:rPr>
          <w:rFonts w:ascii="Calibri" w:hAnsi="Calibri" w:cs="Calibri"/>
          <w:lang w:val="es-GT" w:eastAsia="es-GT"/>
        </w:rPr>
      </w:pPr>
      <w:r w:rsidRPr="005B64A5">
        <w:rPr>
          <w:rFonts w:ascii="Calibri" w:hAnsi="Calibri" w:cs="Calibri"/>
          <w:lang w:val="es-GT" w:eastAsia="es-GT"/>
        </w:rPr>
        <w:t xml:space="preserve">Rodas, A. (2008). </w:t>
      </w:r>
      <w:r w:rsidRPr="005B64A5">
        <w:rPr>
          <w:rFonts w:ascii="Calibri" w:hAnsi="Calibri" w:cs="Calibri"/>
          <w:i/>
          <w:lang w:val="es-GT" w:eastAsia="es-GT"/>
        </w:rPr>
        <w:t>Estudio paleolimnológico del lago Petén Itzá en la región suroccidental.</w:t>
      </w:r>
      <w:r w:rsidRPr="005B64A5">
        <w:rPr>
          <w:rFonts w:ascii="Calibri" w:hAnsi="Calibri" w:cs="Calibri"/>
          <w:lang w:val="es-GT" w:eastAsia="es-GT"/>
        </w:rPr>
        <w:t xml:space="preserve"> Tesis para optar al título de Licenciado, Facultad de Ciencias Químicas y Farmacia, Universidad de San Carlos de Guatemala (USAC), Guatemala.</w:t>
      </w:r>
    </w:p>
    <w:p w:rsidR="00E55C79" w:rsidRPr="001A01AB" w:rsidRDefault="00E55C79" w:rsidP="00E55C79">
      <w:pPr>
        <w:autoSpaceDE w:val="0"/>
        <w:autoSpaceDN w:val="0"/>
        <w:adjustRightInd w:val="0"/>
        <w:spacing w:after="200"/>
        <w:jc w:val="both"/>
        <w:rPr>
          <w:rFonts w:ascii="Calibri" w:hAnsi="Calibri" w:cs="Calibri"/>
          <w:lang w:val="es-GT" w:eastAsia="es-GT"/>
        </w:rPr>
      </w:pPr>
      <w:r w:rsidRPr="001A01AB">
        <w:rPr>
          <w:rFonts w:ascii="Calibri" w:hAnsi="Calibri" w:cs="Calibri"/>
          <w:lang w:val="es-GT" w:eastAsia="es-GT"/>
        </w:rPr>
        <w:t xml:space="preserve">Rojas, M. (2004). </w:t>
      </w:r>
      <w:r w:rsidRPr="001A01AB">
        <w:rPr>
          <w:rFonts w:ascii="Calibri" w:hAnsi="Calibri" w:cs="Calibri"/>
          <w:i/>
          <w:iCs/>
          <w:lang w:val="es-GT" w:eastAsia="es-GT"/>
        </w:rPr>
        <w:t xml:space="preserve">La vulnerabilidad y el riesgo de la vivienda para la salud humana desde una perspectiva holística, una revisión necesaria para la gestión de la vivienda saludable </w:t>
      </w:r>
      <w:r w:rsidRPr="001A01AB">
        <w:rPr>
          <w:rFonts w:ascii="Calibri" w:hAnsi="Calibri" w:cs="Calibri"/>
          <w:lang w:val="es-GT" w:eastAsia="es-GT"/>
        </w:rPr>
        <w:t>(Cuaderno urbano N</w:t>
      </w:r>
      <w:r w:rsidR="009F0BDF">
        <w:rPr>
          <w:rFonts w:ascii="Calibri" w:hAnsi="Calibri" w:cs="Calibri"/>
          <w:lang w:val="es-GT" w:eastAsia="es-GT"/>
        </w:rPr>
        <w:t>o.</w:t>
      </w:r>
      <w:r w:rsidRPr="001A01AB">
        <w:rPr>
          <w:rFonts w:ascii="Calibri" w:hAnsi="Calibri" w:cs="Calibri"/>
          <w:lang w:val="es-GT" w:eastAsia="es-GT"/>
        </w:rPr>
        <w:t xml:space="preserve"> 4)</w:t>
      </w:r>
      <w:r w:rsidRPr="001A01AB">
        <w:rPr>
          <w:rFonts w:ascii="Calibri" w:hAnsi="Calibri" w:cs="Calibri"/>
          <w:i/>
          <w:iCs/>
          <w:lang w:val="es-GT" w:eastAsia="es-GT"/>
        </w:rPr>
        <w:t xml:space="preserve">. </w:t>
      </w:r>
      <w:r w:rsidRPr="001A01AB">
        <w:rPr>
          <w:rFonts w:ascii="Calibri" w:hAnsi="Calibri" w:cs="Calibri"/>
          <w:lang w:val="es-GT" w:eastAsia="es-GT"/>
        </w:rPr>
        <w:t>Argentina: Universidad Nacional del Nordeste.</w:t>
      </w:r>
    </w:p>
    <w:p w:rsidR="00E55C79" w:rsidRPr="001A01AB" w:rsidRDefault="00E55C79" w:rsidP="00E55C79">
      <w:pPr>
        <w:autoSpaceDE w:val="0"/>
        <w:autoSpaceDN w:val="0"/>
        <w:adjustRightInd w:val="0"/>
        <w:spacing w:after="200"/>
        <w:jc w:val="both"/>
        <w:rPr>
          <w:rFonts w:ascii="Calibri" w:hAnsi="Calibri" w:cs="Calibri"/>
          <w:lang w:eastAsia="es-GT"/>
        </w:rPr>
      </w:pPr>
      <w:r w:rsidRPr="005E6C95">
        <w:rPr>
          <w:rFonts w:ascii="Calibri" w:hAnsi="Calibri" w:cs="Calibri"/>
          <w:lang w:eastAsia="es-GT"/>
        </w:rPr>
        <w:t xml:space="preserve">Sachs, J. y Warner, A. (1997). </w:t>
      </w:r>
      <w:r w:rsidRPr="00735511">
        <w:rPr>
          <w:rFonts w:ascii="Calibri" w:hAnsi="Calibri" w:cs="Calibri"/>
          <w:i/>
          <w:iCs/>
          <w:lang w:eastAsia="es-GT"/>
        </w:rPr>
        <w:t xml:space="preserve">Natural resource abundance and economic growth. </w:t>
      </w:r>
      <w:r w:rsidRPr="009F0BDF">
        <w:rPr>
          <w:rFonts w:ascii="Calibri" w:hAnsi="Calibri" w:cs="Calibri"/>
          <w:lang w:eastAsia="es-GT"/>
        </w:rPr>
        <w:t xml:space="preserve">Cambridge: Center for International Development, </w:t>
      </w:r>
      <w:r w:rsidR="009F0BDF">
        <w:rPr>
          <w:rFonts w:ascii="Calibri" w:hAnsi="Calibri" w:cs="Calibri"/>
          <w:lang w:eastAsia="es-GT"/>
        </w:rPr>
        <w:t>Harvard University, &amp;</w:t>
      </w:r>
      <w:r w:rsidRPr="001A01AB">
        <w:rPr>
          <w:rFonts w:ascii="Calibri" w:hAnsi="Calibri" w:cs="Calibri"/>
          <w:lang w:eastAsia="es-GT"/>
        </w:rPr>
        <w:t>Harvard Institute for International Development.</w:t>
      </w:r>
    </w:p>
    <w:p w:rsidR="00E55C79" w:rsidRPr="00735511" w:rsidRDefault="009F0BDF" w:rsidP="00E55C79">
      <w:pPr>
        <w:autoSpaceDE w:val="0"/>
        <w:autoSpaceDN w:val="0"/>
        <w:adjustRightInd w:val="0"/>
        <w:spacing w:after="200"/>
        <w:jc w:val="both"/>
        <w:rPr>
          <w:rFonts w:ascii="Calibri" w:hAnsi="Calibri" w:cs="Calibri"/>
          <w:lang w:eastAsia="es-GT"/>
        </w:rPr>
      </w:pPr>
      <w:r>
        <w:rPr>
          <w:rFonts w:ascii="Calibri" w:hAnsi="Calibri" w:cs="Calibri"/>
          <w:lang w:eastAsia="es-GT"/>
        </w:rPr>
        <w:t>Saldívar, L.</w:t>
      </w:r>
      <w:r w:rsidR="00E55C79" w:rsidRPr="001A01AB">
        <w:rPr>
          <w:rFonts w:ascii="Calibri" w:hAnsi="Calibri" w:cs="Calibri"/>
          <w:lang w:eastAsia="es-GT"/>
        </w:rPr>
        <w:t xml:space="preserve"> &amp; Wittman, H. (2008). </w:t>
      </w:r>
      <w:r w:rsidR="00E55C79" w:rsidRPr="001A01AB">
        <w:rPr>
          <w:rFonts w:ascii="Calibri" w:hAnsi="Calibri" w:cs="Calibri"/>
          <w:i/>
          <w:lang w:eastAsia="es-GT"/>
        </w:rPr>
        <w:t>The agrarian question in Guatemala. Country background paper</w:t>
      </w:r>
      <w:r w:rsidR="00E55C79" w:rsidRPr="001A01AB">
        <w:rPr>
          <w:rFonts w:ascii="Calibri" w:hAnsi="Calibri" w:cs="Calibri"/>
          <w:lang w:eastAsia="es-GT"/>
        </w:rPr>
        <w:t xml:space="preserve">. </w:t>
      </w:r>
      <w:r w:rsidR="00E55C79" w:rsidRPr="001A01AB">
        <w:rPr>
          <w:rFonts w:ascii="Calibri" w:hAnsi="Calibri" w:cs="Calibri"/>
          <w:i/>
          <w:iCs/>
          <w:lang w:eastAsia="es-GT"/>
        </w:rPr>
        <w:t>Land Research Action Network</w:t>
      </w:r>
      <w:r w:rsidR="00E55C79" w:rsidRPr="001A01AB">
        <w:rPr>
          <w:rFonts w:ascii="Calibri" w:hAnsi="Calibri" w:cs="Calibri"/>
          <w:lang w:eastAsia="es-GT"/>
        </w:rPr>
        <w:t xml:space="preserve">. </w:t>
      </w:r>
      <w:r w:rsidR="00E55C79" w:rsidRPr="00735511">
        <w:rPr>
          <w:rFonts w:ascii="Calibri" w:hAnsi="Calibri" w:cs="Calibri"/>
          <w:lang w:eastAsia="es-GT"/>
        </w:rPr>
        <w:t>Recuperado de</w:t>
      </w:r>
      <w:r w:rsidRPr="00735511">
        <w:rPr>
          <w:rFonts w:ascii="Calibri" w:hAnsi="Calibri" w:cs="Calibri"/>
          <w:lang w:eastAsia="es-GT"/>
        </w:rPr>
        <w:t>:</w:t>
      </w:r>
      <w:r w:rsidR="00E55C79" w:rsidRPr="00735511">
        <w:rPr>
          <w:rFonts w:ascii="Calibri" w:hAnsi="Calibri" w:cs="Calibri"/>
          <w:lang w:eastAsia="es-GT"/>
        </w:rPr>
        <w:t xml:space="preserve"> </w:t>
      </w:r>
      <w:hyperlink r:id="rId57" w:history="1">
        <w:r w:rsidR="00E55C79" w:rsidRPr="00735511">
          <w:rPr>
            <w:rStyle w:val="Hipervnculo"/>
            <w:rFonts w:ascii="Calibri" w:hAnsi="Calibri" w:cs="Calibri"/>
            <w:color w:val="auto"/>
            <w:u w:val="none"/>
            <w:lang w:eastAsia="es-GT"/>
          </w:rPr>
          <w:t>http://www.foodfirst.org/files/bookstore/pdf/promisedland/1.pdf</w:t>
        </w:r>
      </w:hyperlink>
    </w:p>
    <w:p w:rsidR="00E55C79" w:rsidRDefault="009F0BDF" w:rsidP="00E55C79">
      <w:pPr>
        <w:autoSpaceDE w:val="0"/>
        <w:autoSpaceDN w:val="0"/>
        <w:adjustRightInd w:val="0"/>
        <w:spacing w:after="200"/>
        <w:jc w:val="both"/>
        <w:rPr>
          <w:rFonts w:ascii="Calibri" w:hAnsi="Calibri" w:cs="Calibri"/>
          <w:lang w:val="es-GT"/>
        </w:rPr>
      </w:pPr>
      <w:r>
        <w:rPr>
          <w:rFonts w:ascii="Calibri" w:hAnsi="Calibri" w:cs="Calibri"/>
          <w:lang w:val="es-GT"/>
        </w:rPr>
        <w:t>SEGEPLAN (Secretarí</w:t>
      </w:r>
      <w:r w:rsidR="00E55C79" w:rsidRPr="001A01AB">
        <w:rPr>
          <w:rFonts w:ascii="Calibri" w:hAnsi="Calibri" w:cs="Calibri"/>
          <w:lang w:val="es-GT"/>
        </w:rPr>
        <w:t xml:space="preserve">a de Planificación y Programación de la Presidencia). </w:t>
      </w:r>
      <w:r>
        <w:rPr>
          <w:rFonts w:ascii="Calibri" w:hAnsi="Calibri" w:cs="Calibri"/>
          <w:lang w:val="es-GT"/>
        </w:rPr>
        <w:t>(</w:t>
      </w:r>
      <w:r w:rsidRPr="00016E6A">
        <w:rPr>
          <w:rFonts w:ascii="Calibri" w:hAnsi="Calibri" w:cs="Calibri"/>
          <w:highlight w:val="red"/>
          <w:lang w:val="es-GT"/>
        </w:rPr>
        <w:t>Año</w:t>
      </w:r>
      <w:r>
        <w:rPr>
          <w:rFonts w:ascii="Calibri" w:hAnsi="Calibri" w:cs="Calibri"/>
          <w:lang w:val="es-GT"/>
        </w:rPr>
        <w:t xml:space="preserve">). </w:t>
      </w:r>
      <w:r w:rsidR="00E55C79" w:rsidRPr="009F0BDF">
        <w:rPr>
          <w:rFonts w:ascii="Calibri" w:hAnsi="Calibri" w:cs="Calibri"/>
          <w:i/>
          <w:lang w:val="es-GT"/>
        </w:rPr>
        <w:t>Mapas de pobreza y desigualdad de Guatemala.</w:t>
      </w:r>
      <w:r w:rsidR="00E55C79" w:rsidRPr="001A01AB">
        <w:rPr>
          <w:rFonts w:ascii="Calibri" w:hAnsi="Calibri" w:cs="Calibri"/>
          <w:lang w:val="es-GT"/>
        </w:rPr>
        <w:t xml:space="preserve"> Guatemala: </w:t>
      </w:r>
      <w:r w:rsidR="008C1EE0">
        <w:rPr>
          <w:rFonts w:ascii="Calibri" w:hAnsi="Calibri" w:cs="Calibri"/>
          <w:lang w:val="es-GT"/>
        </w:rPr>
        <w:t>A</w:t>
      </w:r>
      <w:r w:rsidR="00E55C79" w:rsidRPr="001A01AB">
        <w:rPr>
          <w:rFonts w:ascii="Calibri" w:hAnsi="Calibri" w:cs="Calibri"/>
          <w:lang w:val="es-GT"/>
        </w:rPr>
        <w:t>utor.</w:t>
      </w:r>
    </w:p>
    <w:p w:rsidR="00253520" w:rsidRDefault="00253520" w:rsidP="00253520">
      <w:pPr>
        <w:autoSpaceDE w:val="0"/>
        <w:autoSpaceDN w:val="0"/>
        <w:adjustRightInd w:val="0"/>
        <w:spacing w:after="200"/>
        <w:jc w:val="both"/>
        <w:rPr>
          <w:rFonts w:ascii="Calibri" w:hAnsi="Calibri" w:cs="Calibri"/>
          <w:lang w:val="es-GT"/>
        </w:rPr>
      </w:pPr>
      <w:r w:rsidRPr="00253520">
        <w:rPr>
          <w:rFonts w:ascii="Calibri" w:hAnsi="Calibri" w:cs="Calibri"/>
          <w:lang w:val="es-GT"/>
        </w:rPr>
        <w:t xml:space="preserve">SEGEPLAN (Secretaría General de Planificación y Programación de la Presidencia). (2006). </w:t>
      </w:r>
      <w:r w:rsidRPr="00253520">
        <w:rPr>
          <w:rFonts w:ascii="Calibri" w:hAnsi="Calibri" w:cs="Calibri"/>
          <w:i/>
          <w:lang w:val="es-GT"/>
        </w:rPr>
        <w:t>Estrategia para la gestión integrada de los recursos hídricos de</w:t>
      </w:r>
      <w:r w:rsidRPr="00253520">
        <w:rPr>
          <w:rFonts w:ascii="Calibri" w:hAnsi="Calibri" w:cs="Calibri"/>
          <w:lang w:val="es-GT"/>
        </w:rPr>
        <w:t xml:space="preserve"> Guatemala (Diagnóstico). Guatemala: Autor.</w:t>
      </w:r>
      <w:r>
        <w:rPr>
          <w:rFonts w:ascii="Calibri" w:hAnsi="Calibri" w:cs="Calibri"/>
          <w:lang w:val="es-GT"/>
        </w:rPr>
        <w:t xml:space="preserve"> </w:t>
      </w:r>
    </w:p>
    <w:p w:rsidR="00253520" w:rsidRDefault="00253520" w:rsidP="00E55C79">
      <w:pPr>
        <w:autoSpaceDE w:val="0"/>
        <w:autoSpaceDN w:val="0"/>
        <w:adjustRightInd w:val="0"/>
        <w:spacing w:after="200"/>
        <w:jc w:val="both"/>
        <w:rPr>
          <w:rFonts w:ascii="Calibri" w:hAnsi="Calibri" w:cs="Calibri"/>
          <w:lang w:val="es-GT"/>
        </w:rPr>
      </w:pPr>
      <w:r w:rsidRPr="00253520">
        <w:rPr>
          <w:rFonts w:ascii="Calibri" w:hAnsi="Calibri" w:cs="Calibri"/>
          <w:lang w:val="es-GT"/>
        </w:rPr>
        <w:t>SEGEPLAN (Secretaría General de Planificación y Programación de la Presidencia). (2011</w:t>
      </w:r>
      <w:r w:rsidR="006A1183" w:rsidRPr="006A1183">
        <w:rPr>
          <w:rFonts w:ascii="Calibri" w:hAnsi="Calibri" w:cs="Calibri"/>
          <w:highlight w:val="magenta"/>
          <w:lang w:val="es-GT"/>
        </w:rPr>
        <w:t>a</w:t>
      </w:r>
      <w:r w:rsidRPr="00253520">
        <w:rPr>
          <w:rFonts w:ascii="Calibri" w:hAnsi="Calibri" w:cs="Calibri"/>
          <w:lang w:val="es-GT"/>
        </w:rPr>
        <w:t xml:space="preserve">). </w:t>
      </w:r>
      <w:r w:rsidRPr="00253520">
        <w:rPr>
          <w:rFonts w:ascii="Calibri" w:hAnsi="Calibri" w:cs="Calibri"/>
          <w:i/>
          <w:lang w:val="es-GT"/>
        </w:rPr>
        <w:t xml:space="preserve">Diagnóstico territorial. Litoral del Pacífico ¡un mar de oportunidades! </w:t>
      </w:r>
      <w:r w:rsidRPr="00253520">
        <w:rPr>
          <w:rFonts w:ascii="Calibri" w:hAnsi="Calibri" w:cs="Calibri"/>
          <w:lang w:val="es-GT"/>
        </w:rPr>
        <w:t>Guatemala: Autor.</w:t>
      </w:r>
      <w:r w:rsidR="006A1183" w:rsidRPr="006A1183">
        <w:rPr>
          <w:rFonts w:ascii="Calibri" w:hAnsi="Calibri" w:cs="Calibri"/>
          <w:color w:val="FF0000"/>
          <w:lang w:val="es-GT"/>
        </w:rPr>
        <w:t xml:space="preserve"> Hay dos SEGEPLAN 2011, deben distinguirse en las referencias a lo largo del documento, diferenciándolo en a y b, como se indica acá en la bibliografía.</w:t>
      </w:r>
    </w:p>
    <w:p w:rsidR="00DF05F3" w:rsidRPr="006A1183" w:rsidRDefault="006A1183" w:rsidP="00E55C79">
      <w:pPr>
        <w:autoSpaceDE w:val="0"/>
        <w:autoSpaceDN w:val="0"/>
        <w:adjustRightInd w:val="0"/>
        <w:spacing w:after="200"/>
        <w:jc w:val="both"/>
        <w:rPr>
          <w:rFonts w:ascii="Calibri" w:hAnsi="Calibri" w:cs="Calibri"/>
          <w:i/>
          <w:lang w:val="es-GT" w:eastAsia="es-GT"/>
        </w:rPr>
      </w:pPr>
      <w:r w:rsidRPr="00253520">
        <w:rPr>
          <w:rFonts w:ascii="Calibri" w:hAnsi="Calibri" w:cs="Calibri"/>
          <w:lang w:val="es-GT"/>
        </w:rPr>
        <w:t>SEGEPLAN (Secretaría General de Planificación y Programac</w:t>
      </w:r>
      <w:r>
        <w:rPr>
          <w:rFonts w:ascii="Calibri" w:hAnsi="Calibri" w:cs="Calibri"/>
          <w:lang w:val="es-GT"/>
        </w:rPr>
        <w:t>ión de la Presidencia). (2011</w:t>
      </w:r>
      <w:r w:rsidRPr="006A1183">
        <w:rPr>
          <w:rFonts w:ascii="Calibri" w:hAnsi="Calibri" w:cs="Calibri"/>
          <w:highlight w:val="magenta"/>
          <w:lang w:val="es-GT"/>
        </w:rPr>
        <w:t>b</w:t>
      </w:r>
      <w:r>
        <w:rPr>
          <w:rFonts w:ascii="Calibri" w:hAnsi="Calibri" w:cs="Calibri"/>
          <w:lang w:val="es-GT"/>
        </w:rPr>
        <w:t xml:space="preserve">). </w:t>
      </w:r>
      <w:r>
        <w:rPr>
          <w:rFonts w:ascii="Calibri" w:hAnsi="Calibri" w:cs="Calibri"/>
          <w:i/>
          <w:lang w:val="es-GT" w:eastAsia="es-GT"/>
        </w:rPr>
        <w:t>I</w:t>
      </w:r>
      <w:r w:rsidR="00DF05F3" w:rsidRPr="006A1183">
        <w:rPr>
          <w:rFonts w:ascii="Calibri" w:hAnsi="Calibri" w:cs="Calibri"/>
          <w:i/>
          <w:lang w:val="es-GT" w:eastAsia="es-GT"/>
        </w:rPr>
        <w:t>nforme anual de la Política de Desarrollo Social y Población</w:t>
      </w:r>
      <w:r w:rsidRPr="006A1183">
        <w:rPr>
          <w:rFonts w:ascii="Calibri" w:hAnsi="Calibri" w:cs="Calibri"/>
          <w:i/>
          <w:lang w:val="es-GT" w:eastAsia="es-GT"/>
        </w:rPr>
        <w:t>.</w:t>
      </w:r>
      <w:r>
        <w:rPr>
          <w:rFonts w:ascii="Calibri" w:hAnsi="Calibri" w:cs="Calibri"/>
          <w:i/>
          <w:lang w:val="es-GT" w:eastAsia="es-GT"/>
        </w:rPr>
        <w:t xml:space="preserve"> </w:t>
      </w:r>
      <w:r w:rsidRPr="00253520">
        <w:rPr>
          <w:rFonts w:ascii="Calibri" w:hAnsi="Calibri" w:cs="Calibri"/>
          <w:lang w:val="es-GT"/>
        </w:rPr>
        <w:t>Guatemala: Autor.</w:t>
      </w:r>
      <w:r>
        <w:rPr>
          <w:rFonts w:ascii="Calibri" w:hAnsi="Calibri" w:cs="Calibri"/>
          <w:i/>
          <w:lang w:val="es-GT" w:eastAsia="es-GT"/>
        </w:rPr>
        <w:t xml:space="preserve"> </w:t>
      </w:r>
    </w:p>
    <w:p w:rsidR="00E55C79" w:rsidRPr="001A01AB" w:rsidRDefault="00E55C79" w:rsidP="00E55C79">
      <w:pPr>
        <w:spacing w:after="200"/>
        <w:jc w:val="both"/>
        <w:rPr>
          <w:rFonts w:ascii="Calibri" w:hAnsi="Calibri" w:cs="Calibri"/>
          <w:lang w:val="es-GT"/>
        </w:rPr>
      </w:pPr>
      <w:r w:rsidRPr="001A01AB">
        <w:rPr>
          <w:rFonts w:ascii="Calibri" w:hAnsi="Calibri" w:cs="Calibri"/>
          <w:lang w:val="es-GT"/>
        </w:rPr>
        <w:t>SEGEPLAN (Secre</w:t>
      </w:r>
      <w:r w:rsidR="009F0BDF">
        <w:rPr>
          <w:rFonts w:ascii="Calibri" w:hAnsi="Calibri" w:cs="Calibri"/>
          <w:lang w:val="es-GT"/>
        </w:rPr>
        <w:t>tarí</w:t>
      </w:r>
      <w:r w:rsidRPr="001A01AB">
        <w:rPr>
          <w:rFonts w:ascii="Calibri" w:hAnsi="Calibri" w:cs="Calibri"/>
          <w:lang w:val="es-GT"/>
        </w:rPr>
        <w:t xml:space="preserve">a de Planificación y Programación de la Presidencia). (2012a). </w:t>
      </w:r>
      <w:r w:rsidRPr="001A01AB">
        <w:rPr>
          <w:rFonts w:ascii="Calibri" w:hAnsi="Calibri" w:cs="Calibri"/>
          <w:i/>
          <w:lang w:val="es-GT"/>
        </w:rPr>
        <w:t>Centro de acopio virtual de políticas públicas</w:t>
      </w:r>
      <w:r w:rsidRPr="001A01AB">
        <w:rPr>
          <w:rFonts w:ascii="Calibri" w:hAnsi="Calibri" w:cs="Calibri"/>
          <w:lang w:val="es-GT"/>
        </w:rPr>
        <w:t xml:space="preserve">. </w:t>
      </w:r>
      <w:r w:rsidR="009F0BDF">
        <w:rPr>
          <w:rFonts w:ascii="Calibri" w:hAnsi="Calibri" w:cs="Calibri"/>
          <w:lang w:val="es-GT"/>
        </w:rPr>
        <w:t>Recuperado</w:t>
      </w:r>
      <w:r w:rsidRPr="001A01AB">
        <w:rPr>
          <w:rFonts w:ascii="Calibri" w:hAnsi="Calibri" w:cs="Calibri"/>
          <w:lang w:val="es-GT"/>
        </w:rPr>
        <w:t xml:space="preserve"> el 25 de septiembre de 2012</w:t>
      </w:r>
      <w:r w:rsidR="009F0BDF">
        <w:rPr>
          <w:rFonts w:ascii="Calibri" w:hAnsi="Calibri" w:cs="Calibri"/>
          <w:lang w:val="es-GT"/>
        </w:rPr>
        <w:t xml:space="preserve">, de: </w:t>
      </w:r>
      <w:hyperlink r:id="rId58" w:history="1">
        <w:r w:rsidRPr="009F0BDF">
          <w:rPr>
            <w:rStyle w:val="Hipervnculo"/>
            <w:rFonts w:ascii="Calibri" w:hAnsi="Calibri" w:cs="Calibri"/>
            <w:color w:val="auto"/>
            <w:u w:val="none"/>
            <w:lang w:val="es-GT"/>
          </w:rPr>
          <w:t>http://www.segeplan.gob.gt/2.0/index.php?option=com_content&amp;view=article&amp;id=406:politicas-publicas&amp;catid=14:politicas-publicas&amp;Itemid=49</w:t>
        </w:r>
      </w:hyperlink>
    </w:p>
    <w:p w:rsidR="00E55C79" w:rsidRDefault="00E55C79" w:rsidP="00E55C79">
      <w:pPr>
        <w:spacing w:after="200"/>
        <w:jc w:val="both"/>
        <w:rPr>
          <w:rFonts w:ascii="Calibri" w:hAnsi="Calibri" w:cs="Calibri"/>
          <w:lang w:val="es-GT" w:eastAsia="es-GT"/>
        </w:rPr>
      </w:pPr>
      <w:r w:rsidRPr="001A01AB">
        <w:rPr>
          <w:rFonts w:ascii="Calibri" w:hAnsi="Calibri" w:cs="Calibri"/>
          <w:lang w:val="es-GT"/>
        </w:rPr>
        <w:t>SEGEPLAN (Secretar</w:t>
      </w:r>
      <w:r w:rsidR="008C1EE0">
        <w:rPr>
          <w:rFonts w:ascii="Calibri" w:hAnsi="Calibri" w:cs="Calibri"/>
          <w:lang w:val="es-GT"/>
        </w:rPr>
        <w:t>í</w:t>
      </w:r>
      <w:r w:rsidRPr="001A01AB">
        <w:rPr>
          <w:rFonts w:ascii="Calibri" w:hAnsi="Calibri" w:cs="Calibri"/>
          <w:lang w:val="es-GT"/>
        </w:rPr>
        <w:t xml:space="preserve">a de Planificación y Programación de la Presidencia). (2012b). </w:t>
      </w:r>
      <w:r w:rsidRPr="001A01AB">
        <w:rPr>
          <w:rFonts w:ascii="Calibri" w:hAnsi="Calibri" w:cs="Calibri"/>
          <w:i/>
          <w:lang w:val="es-GT" w:eastAsia="es-GT"/>
        </w:rPr>
        <w:t>Plan de Gobierno 2012-2016</w:t>
      </w:r>
      <w:r w:rsidRPr="001A01AB">
        <w:rPr>
          <w:rFonts w:ascii="Calibri" w:hAnsi="Calibri" w:cs="Calibri"/>
          <w:lang w:val="es-GT" w:eastAsia="es-GT"/>
        </w:rPr>
        <w:t xml:space="preserve">. Guatemala: </w:t>
      </w:r>
      <w:r w:rsidR="008C1EE0">
        <w:rPr>
          <w:rFonts w:ascii="Calibri" w:hAnsi="Calibri" w:cs="Calibri"/>
          <w:lang w:val="es-GT" w:eastAsia="es-GT"/>
        </w:rPr>
        <w:t>Autor.</w:t>
      </w:r>
    </w:p>
    <w:p w:rsidR="005B64A5" w:rsidRDefault="005B64A5" w:rsidP="00E55C79">
      <w:pPr>
        <w:spacing w:after="200"/>
        <w:jc w:val="both"/>
        <w:rPr>
          <w:rFonts w:ascii="Calibri" w:hAnsi="Calibri" w:cs="Calibri"/>
          <w:lang w:val="es-MX"/>
        </w:rPr>
      </w:pPr>
      <w:r w:rsidRPr="005B64A5">
        <w:rPr>
          <w:rFonts w:ascii="Calibri" w:hAnsi="Calibri" w:cs="Calibri"/>
          <w:lang w:val="es-MX"/>
        </w:rPr>
        <w:lastRenderedPageBreak/>
        <w:t xml:space="preserve">SEGEPLAN y BID (Secretaría General de Planificación y Programación de la Presidencia y Banco Interamericano de Desarrollo). (2006). </w:t>
      </w:r>
      <w:r w:rsidRPr="005B64A5">
        <w:rPr>
          <w:rFonts w:ascii="Calibri" w:hAnsi="Calibri" w:cs="Calibri"/>
          <w:i/>
          <w:lang w:val="es-MX"/>
        </w:rPr>
        <w:t>Estrategia para la gestión integrada de los recursos hídricos de Guatemala. Diagnóstico.</w:t>
      </w:r>
      <w:r w:rsidRPr="005B64A5">
        <w:rPr>
          <w:rFonts w:ascii="Calibri" w:hAnsi="Calibri" w:cs="Calibri"/>
          <w:lang w:val="es-MX"/>
        </w:rPr>
        <w:t xml:space="preserve"> Guatemala: Autor.</w:t>
      </w:r>
    </w:p>
    <w:p w:rsidR="00E55C79" w:rsidRPr="001A01AB" w:rsidRDefault="008C1EE0" w:rsidP="00E55C79">
      <w:pPr>
        <w:spacing w:after="200"/>
        <w:jc w:val="both"/>
        <w:rPr>
          <w:rFonts w:ascii="Calibri" w:hAnsi="Calibri" w:cs="Calibri"/>
          <w:lang w:val="es-MX"/>
        </w:rPr>
      </w:pPr>
      <w:r>
        <w:rPr>
          <w:rFonts w:ascii="Calibri" w:hAnsi="Calibri" w:cs="Calibri"/>
          <w:lang w:val="es-MX"/>
        </w:rPr>
        <w:t>SEMARNAT</w:t>
      </w:r>
      <w:r w:rsidR="009F0BDF">
        <w:rPr>
          <w:rFonts w:ascii="Calibri" w:hAnsi="Calibri" w:cs="Calibri"/>
          <w:lang w:val="es-MX"/>
        </w:rPr>
        <w:t xml:space="preserve"> y CFE</w:t>
      </w:r>
      <w:r>
        <w:rPr>
          <w:rFonts w:ascii="Calibri" w:hAnsi="Calibri" w:cs="Calibri"/>
          <w:lang w:val="es-MX"/>
        </w:rPr>
        <w:t xml:space="preserve"> (Secretarí</w:t>
      </w:r>
      <w:r w:rsidR="00E55C79" w:rsidRPr="001A01AB">
        <w:rPr>
          <w:rFonts w:ascii="Calibri" w:hAnsi="Calibri" w:cs="Calibri"/>
          <w:lang w:val="es-MX"/>
        </w:rPr>
        <w:t xml:space="preserve">a de Medio Ambiente y Recursos Naturales </w:t>
      </w:r>
      <w:r w:rsidR="009F0BDF">
        <w:rPr>
          <w:rFonts w:ascii="Calibri" w:hAnsi="Calibri" w:cs="Calibri"/>
          <w:lang w:val="es-MX"/>
        </w:rPr>
        <w:t xml:space="preserve"> y </w:t>
      </w:r>
      <w:r w:rsidR="00E55C79" w:rsidRPr="001A01AB">
        <w:rPr>
          <w:rFonts w:ascii="Calibri" w:hAnsi="Calibri" w:cs="Calibri"/>
          <w:lang w:val="es-MX"/>
        </w:rPr>
        <w:t xml:space="preserve">Comisión Federal de Electricidad). </w:t>
      </w:r>
      <w:r w:rsidR="009F0BDF">
        <w:rPr>
          <w:rFonts w:ascii="Calibri" w:hAnsi="Calibri" w:cs="Calibri"/>
          <w:lang w:val="es-MX"/>
        </w:rPr>
        <w:t>(</w:t>
      </w:r>
      <w:r w:rsidR="00E55C79" w:rsidRPr="001A01AB">
        <w:rPr>
          <w:rFonts w:ascii="Calibri" w:hAnsi="Calibri" w:cs="Calibri"/>
          <w:lang w:val="es-MX"/>
        </w:rPr>
        <w:t>2001</w:t>
      </w:r>
      <w:r w:rsidR="009F0BDF">
        <w:rPr>
          <w:rFonts w:ascii="Calibri" w:hAnsi="Calibri" w:cs="Calibri"/>
          <w:lang w:val="es-MX"/>
        </w:rPr>
        <w:t>)</w:t>
      </w:r>
      <w:r w:rsidR="00E55C79" w:rsidRPr="001A01AB">
        <w:rPr>
          <w:rFonts w:ascii="Calibri" w:hAnsi="Calibri" w:cs="Calibri"/>
          <w:lang w:val="es-MX"/>
        </w:rPr>
        <w:t xml:space="preserve">. </w:t>
      </w:r>
      <w:r w:rsidR="00E55C79" w:rsidRPr="001A01AB">
        <w:rPr>
          <w:rFonts w:ascii="Calibri" w:hAnsi="Calibri" w:cs="Calibri"/>
          <w:bCs/>
          <w:i/>
          <w:lang w:val="es-GT"/>
        </w:rPr>
        <w:t>Reporte de seguimiento de la “</w:t>
      </w:r>
      <w:r w:rsidR="009F0BDF">
        <w:rPr>
          <w:rFonts w:ascii="Calibri" w:hAnsi="Calibri" w:cs="Calibri"/>
          <w:bCs/>
          <w:i/>
          <w:lang w:val="es-GT"/>
        </w:rPr>
        <w:t>I</w:t>
      </w:r>
      <w:r w:rsidR="009F0BDF" w:rsidRPr="001A01AB">
        <w:rPr>
          <w:rFonts w:ascii="Calibri" w:hAnsi="Calibri" w:cs="Calibri"/>
          <w:bCs/>
          <w:i/>
          <w:lang w:val="es-GT"/>
        </w:rPr>
        <w:t>mplementación de la evaluación ambiental estratégica en un programa piloto del sector eléctrico federal</w:t>
      </w:r>
      <w:r w:rsidR="00E55C79" w:rsidRPr="001A01AB">
        <w:rPr>
          <w:rFonts w:ascii="Calibri" w:hAnsi="Calibri" w:cs="Calibri"/>
          <w:bCs/>
          <w:i/>
          <w:lang w:val="es-GT"/>
        </w:rPr>
        <w:t>”</w:t>
      </w:r>
      <w:r>
        <w:rPr>
          <w:rFonts w:ascii="Calibri" w:hAnsi="Calibri" w:cs="Calibri"/>
          <w:bCs/>
          <w:lang w:val="es-GT"/>
        </w:rPr>
        <w:t>. México, D.F.: A</w:t>
      </w:r>
      <w:r w:rsidR="00E55C79" w:rsidRPr="001A01AB">
        <w:rPr>
          <w:rFonts w:ascii="Calibri" w:hAnsi="Calibri" w:cs="Calibri"/>
          <w:bCs/>
          <w:lang w:val="es-GT"/>
        </w:rPr>
        <w:t>utores.</w:t>
      </w:r>
    </w:p>
    <w:p w:rsidR="00E55C79" w:rsidRPr="001A01AB" w:rsidRDefault="00E55C79" w:rsidP="00E55C79">
      <w:pPr>
        <w:autoSpaceDE w:val="0"/>
        <w:autoSpaceDN w:val="0"/>
        <w:adjustRightInd w:val="0"/>
        <w:spacing w:after="200"/>
        <w:jc w:val="both"/>
        <w:rPr>
          <w:rFonts w:ascii="Calibri" w:hAnsi="Calibri" w:cs="Calibri"/>
          <w:lang w:eastAsia="es-GT"/>
        </w:rPr>
      </w:pPr>
      <w:r w:rsidRPr="001A01AB">
        <w:rPr>
          <w:rFonts w:ascii="Calibri" w:hAnsi="Calibri" w:cs="Calibri"/>
          <w:lang w:val="es-GT" w:eastAsia="es-GT"/>
        </w:rPr>
        <w:t xml:space="preserve">Sen, A. (2006). </w:t>
      </w:r>
      <w:r w:rsidRPr="001A01AB">
        <w:rPr>
          <w:rFonts w:ascii="Calibri" w:hAnsi="Calibri" w:cs="Calibri"/>
          <w:i/>
          <w:iCs/>
          <w:lang w:val="es-GT" w:eastAsia="es-GT"/>
        </w:rPr>
        <w:t xml:space="preserve">Desarrollo </w:t>
      </w:r>
      <w:r w:rsidRPr="001A01AB">
        <w:rPr>
          <w:rFonts w:ascii="Calibri" w:hAnsi="Calibri" w:cs="Calibri"/>
          <w:lang w:val="es-GT" w:eastAsia="es-GT"/>
        </w:rPr>
        <w:t xml:space="preserve">y </w:t>
      </w:r>
      <w:r w:rsidRPr="001A01AB">
        <w:rPr>
          <w:rFonts w:ascii="Calibri" w:hAnsi="Calibri" w:cs="Calibri"/>
          <w:i/>
          <w:iCs/>
          <w:lang w:val="es-GT" w:eastAsia="es-GT"/>
        </w:rPr>
        <w:t xml:space="preserve">libertad. </w:t>
      </w:r>
      <w:r w:rsidRPr="001A01AB">
        <w:rPr>
          <w:rFonts w:ascii="Calibri" w:hAnsi="Calibri" w:cs="Calibri"/>
          <w:lang w:val="es-GT" w:eastAsia="es-GT"/>
        </w:rPr>
        <w:t xml:space="preserve">(8va reimpresión). E. Rabasco y L. Toharia. </w:t>
      </w:r>
      <w:r w:rsidRPr="001A01AB">
        <w:rPr>
          <w:rFonts w:ascii="Calibri" w:hAnsi="Calibri" w:cs="Calibri"/>
          <w:lang w:eastAsia="es-GT"/>
        </w:rPr>
        <w:t>(Trads.). Colombia: Planeta Colombiana, S.A.</w:t>
      </w:r>
    </w:p>
    <w:p w:rsidR="00E55C79" w:rsidRPr="002664F2" w:rsidRDefault="00E55C79" w:rsidP="00E55C79">
      <w:pPr>
        <w:autoSpaceDE w:val="0"/>
        <w:autoSpaceDN w:val="0"/>
        <w:adjustRightInd w:val="0"/>
        <w:spacing w:after="200"/>
        <w:jc w:val="both"/>
        <w:rPr>
          <w:rFonts w:ascii="Calibri" w:hAnsi="Calibri" w:cs="Calibri"/>
          <w:lang w:val="es-GT" w:eastAsia="es-GT"/>
        </w:rPr>
      </w:pPr>
      <w:r w:rsidRPr="001A01AB">
        <w:rPr>
          <w:rFonts w:ascii="Calibri" w:hAnsi="Calibri" w:cs="Calibri"/>
          <w:lang w:eastAsia="es-GT"/>
        </w:rPr>
        <w:t xml:space="preserve">Stiglitz, J. (2006). </w:t>
      </w:r>
      <w:r w:rsidRPr="001A01AB">
        <w:rPr>
          <w:rFonts w:ascii="Calibri" w:hAnsi="Calibri" w:cs="Calibri"/>
          <w:i/>
          <w:iCs/>
          <w:lang w:eastAsia="es-GT"/>
        </w:rPr>
        <w:t xml:space="preserve">Making globalization work. </w:t>
      </w:r>
      <w:r w:rsidRPr="002664F2">
        <w:rPr>
          <w:rFonts w:ascii="Calibri" w:hAnsi="Calibri" w:cs="Calibri"/>
          <w:lang w:val="es-GT" w:eastAsia="es-GT"/>
        </w:rPr>
        <w:t>New York: WW Norton.</w:t>
      </w:r>
    </w:p>
    <w:p w:rsidR="00E55C79" w:rsidRDefault="009F0BDF" w:rsidP="00E55C79">
      <w:pPr>
        <w:autoSpaceDE w:val="0"/>
        <w:autoSpaceDN w:val="0"/>
        <w:adjustRightInd w:val="0"/>
        <w:spacing w:after="200"/>
        <w:jc w:val="both"/>
        <w:rPr>
          <w:rFonts w:ascii="Calibri" w:eastAsia="Calibri" w:hAnsi="Calibri" w:cs="Calibri"/>
          <w:lang w:val="es-GT"/>
        </w:rPr>
      </w:pPr>
      <w:r>
        <w:rPr>
          <w:rFonts w:ascii="Calibri" w:eastAsia="Calibri" w:hAnsi="Calibri" w:cs="Calibri"/>
          <w:lang w:val="es-GT"/>
        </w:rPr>
        <w:t>UICN-</w:t>
      </w:r>
      <w:r w:rsidR="00E55C79" w:rsidRPr="001A01AB">
        <w:rPr>
          <w:rFonts w:ascii="Calibri" w:eastAsia="Calibri" w:hAnsi="Calibri" w:cs="Calibri"/>
          <w:lang w:val="es-GT"/>
        </w:rPr>
        <w:t xml:space="preserve">ORMA (Unión Internacional para la Conservación de la Naturaleza-Oficina Regional para Mesoamérica). </w:t>
      </w:r>
      <w:r>
        <w:rPr>
          <w:rFonts w:ascii="Calibri" w:eastAsia="Calibri" w:hAnsi="Calibri" w:cs="Calibri"/>
          <w:lang w:val="es-GT"/>
        </w:rPr>
        <w:t>(</w:t>
      </w:r>
      <w:r w:rsidR="00E55C79" w:rsidRPr="001A01AB">
        <w:rPr>
          <w:rFonts w:ascii="Calibri" w:eastAsia="Calibri" w:hAnsi="Calibri" w:cs="Calibri"/>
          <w:lang w:val="es-GT"/>
        </w:rPr>
        <w:t>2007</w:t>
      </w:r>
      <w:r>
        <w:rPr>
          <w:rFonts w:ascii="Calibri" w:eastAsia="Calibri" w:hAnsi="Calibri" w:cs="Calibri"/>
          <w:lang w:val="es-GT"/>
        </w:rPr>
        <w:t>)</w:t>
      </w:r>
      <w:r w:rsidR="00E55C79" w:rsidRPr="001A01AB">
        <w:rPr>
          <w:rFonts w:ascii="Calibri" w:eastAsia="Calibri" w:hAnsi="Calibri" w:cs="Calibri"/>
          <w:lang w:val="es-GT"/>
        </w:rPr>
        <w:t xml:space="preserve">. </w:t>
      </w:r>
      <w:r w:rsidR="00E55C79" w:rsidRPr="001A01AB">
        <w:rPr>
          <w:rFonts w:ascii="Calibri" w:eastAsia="Calibri" w:hAnsi="Calibri" w:cs="Calibri"/>
          <w:i/>
          <w:lang w:val="es-GT"/>
        </w:rPr>
        <w:t xml:space="preserve">Lineamientos para la aplicación de la </w:t>
      </w:r>
      <w:r w:rsidRPr="001A01AB">
        <w:rPr>
          <w:rFonts w:ascii="Calibri" w:eastAsia="Calibri" w:hAnsi="Calibri" w:cs="Calibri"/>
          <w:i/>
          <w:lang w:val="es-GT"/>
        </w:rPr>
        <w:t xml:space="preserve">evaluación ambiental estratégica </w:t>
      </w:r>
      <w:r w:rsidR="00E55C79" w:rsidRPr="001A01AB">
        <w:rPr>
          <w:rFonts w:ascii="Calibri" w:eastAsia="Calibri" w:hAnsi="Calibri" w:cs="Calibri"/>
          <w:i/>
          <w:lang w:val="es-GT"/>
        </w:rPr>
        <w:t>en Centroamérica</w:t>
      </w:r>
      <w:r w:rsidR="00E55C79" w:rsidRPr="001A01AB">
        <w:rPr>
          <w:rFonts w:ascii="Calibri" w:eastAsia="Calibri" w:hAnsi="Calibri" w:cs="Calibri"/>
          <w:lang w:val="es-GT"/>
        </w:rPr>
        <w:t xml:space="preserve">. San José, Costa Rica: </w:t>
      </w:r>
      <w:r w:rsidR="008C1EE0">
        <w:rPr>
          <w:rFonts w:ascii="Calibri" w:eastAsia="Calibri" w:hAnsi="Calibri" w:cs="Calibri"/>
          <w:lang w:val="es-GT"/>
        </w:rPr>
        <w:t>A</w:t>
      </w:r>
      <w:r w:rsidR="00E55C79" w:rsidRPr="001A01AB">
        <w:rPr>
          <w:rFonts w:ascii="Calibri" w:eastAsia="Calibri" w:hAnsi="Calibri" w:cs="Calibri"/>
          <w:lang w:val="es-GT"/>
        </w:rPr>
        <w:t>utor.</w:t>
      </w:r>
    </w:p>
    <w:p w:rsidR="00253520" w:rsidRDefault="00253520" w:rsidP="00E55C79">
      <w:pPr>
        <w:autoSpaceDE w:val="0"/>
        <w:autoSpaceDN w:val="0"/>
        <w:adjustRightInd w:val="0"/>
        <w:spacing w:after="200"/>
        <w:jc w:val="both"/>
        <w:rPr>
          <w:rFonts w:ascii="Calibri" w:eastAsia="Calibri" w:hAnsi="Calibri" w:cs="Calibri"/>
          <w:lang w:val="es-GT"/>
        </w:rPr>
      </w:pPr>
      <w:r w:rsidRPr="00253520">
        <w:rPr>
          <w:rFonts w:ascii="Calibri" w:eastAsia="Calibri" w:hAnsi="Calibri" w:cs="Calibri"/>
        </w:rPr>
        <w:t xml:space="preserve">UNDP, FAO &amp; UNEP (Inited Nations Development Programme, Food and Agriculture Organizarion of the United Nations &amp; United Nations Environment Programme). </w:t>
      </w:r>
      <w:r w:rsidRPr="00253520">
        <w:rPr>
          <w:rFonts w:ascii="Calibri" w:eastAsia="Calibri" w:hAnsi="Calibri" w:cs="Calibri"/>
          <w:lang w:val="es-GT"/>
        </w:rPr>
        <w:t xml:space="preserve">(2010). </w:t>
      </w:r>
      <w:r w:rsidRPr="00253520">
        <w:rPr>
          <w:rFonts w:ascii="Calibri" w:eastAsia="Calibri" w:hAnsi="Calibri" w:cs="Calibri"/>
          <w:i/>
          <w:lang w:val="es-GT"/>
        </w:rPr>
        <w:t xml:space="preserve">The UN-REDD Program Strategy 2011-2015. </w:t>
      </w:r>
      <w:r w:rsidRPr="00253520">
        <w:rPr>
          <w:rFonts w:ascii="Calibri" w:eastAsia="Calibri" w:hAnsi="Calibri" w:cs="Calibri"/>
          <w:lang w:val="es-GT"/>
        </w:rPr>
        <w:t>Switzerland: Author.</w:t>
      </w:r>
    </w:p>
    <w:p w:rsidR="00253520" w:rsidRDefault="00253520" w:rsidP="00E55C79">
      <w:pPr>
        <w:autoSpaceDE w:val="0"/>
        <w:autoSpaceDN w:val="0"/>
        <w:adjustRightInd w:val="0"/>
        <w:spacing w:after="200"/>
        <w:jc w:val="both"/>
        <w:rPr>
          <w:rFonts w:ascii="Calibri" w:eastAsia="Calibri" w:hAnsi="Calibri" w:cs="Calibri"/>
          <w:lang w:val="es-GT"/>
        </w:rPr>
      </w:pPr>
      <w:r w:rsidRPr="00253520">
        <w:rPr>
          <w:rFonts w:ascii="Calibri" w:eastAsia="Calibri" w:hAnsi="Calibri" w:cs="Calibri"/>
          <w:lang w:val="es-GT"/>
        </w:rPr>
        <w:t xml:space="preserve">UNIPESCA-MAGA (Unidad para el Manejo de la Pesca y la Acuicultura del Ministerio de Agricultura, Ganadería y Alimentación). (2008). </w:t>
      </w:r>
      <w:r w:rsidRPr="00253520">
        <w:rPr>
          <w:rFonts w:ascii="Calibri" w:eastAsia="Calibri" w:hAnsi="Calibri" w:cs="Calibri"/>
          <w:i/>
          <w:lang w:val="es-GT"/>
        </w:rPr>
        <w:t xml:space="preserve">Informe de la pesca y la acuicultura en Guatemala </w:t>
      </w:r>
      <w:r w:rsidRPr="00253520">
        <w:rPr>
          <w:rFonts w:ascii="Calibri" w:eastAsia="Calibri" w:hAnsi="Calibri" w:cs="Calibri"/>
          <w:lang w:val="es-GT"/>
        </w:rPr>
        <w:t>(documento técnico 1). Guatemala: Autor.</w:t>
      </w:r>
    </w:p>
    <w:p w:rsidR="00253520" w:rsidRDefault="00253520" w:rsidP="00E55C79">
      <w:pPr>
        <w:autoSpaceDE w:val="0"/>
        <w:autoSpaceDN w:val="0"/>
        <w:adjustRightInd w:val="0"/>
        <w:spacing w:after="200"/>
        <w:jc w:val="both"/>
        <w:rPr>
          <w:rFonts w:ascii="Calibri" w:eastAsia="Calibri" w:hAnsi="Calibri" w:cs="Calibri"/>
          <w:lang w:val="es-GT"/>
        </w:rPr>
      </w:pPr>
      <w:r w:rsidRPr="00253520">
        <w:rPr>
          <w:rFonts w:ascii="Calibri" w:eastAsia="Calibri" w:hAnsi="Calibri" w:cs="Calibri"/>
          <w:lang w:val="es-GT"/>
        </w:rPr>
        <w:t xml:space="preserve">UVG, INAB, CONAP y URL (Universidad Del Valle de Guatemala, Instituto Nacional de Bosques, Consejo Nacional de Áreas Protegidas y Universidad Rafael Landívar). (2011). </w:t>
      </w:r>
      <w:r w:rsidRPr="00253520">
        <w:rPr>
          <w:rFonts w:ascii="Calibri" w:eastAsia="Calibri" w:hAnsi="Calibri" w:cs="Calibri"/>
          <w:i/>
          <w:lang w:val="es-GT"/>
        </w:rPr>
        <w:t>Mapa de cobertura forestal de Guatemala 2006 y dinámica de la cobertura forestal 2001-2006.</w:t>
      </w:r>
      <w:r w:rsidRPr="00253520">
        <w:rPr>
          <w:rFonts w:ascii="Calibri" w:eastAsia="Calibri" w:hAnsi="Calibri" w:cs="Calibri"/>
          <w:lang w:val="es-GT"/>
        </w:rPr>
        <w:t xml:space="preserve"> Guatemala: Autor.</w:t>
      </w:r>
    </w:p>
    <w:p w:rsidR="005B64A5" w:rsidRDefault="005B64A5" w:rsidP="00E55C79">
      <w:pPr>
        <w:autoSpaceDE w:val="0"/>
        <w:autoSpaceDN w:val="0"/>
        <w:adjustRightInd w:val="0"/>
        <w:spacing w:after="200"/>
        <w:jc w:val="both"/>
        <w:rPr>
          <w:rFonts w:ascii="Calibri" w:eastAsia="Calibri" w:hAnsi="Calibri" w:cs="Calibri"/>
          <w:lang w:val="es-GT"/>
        </w:rPr>
      </w:pPr>
      <w:r w:rsidRPr="005B64A5">
        <w:rPr>
          <w:rFonts w:ascii="Calibri" w:eastAsia="Calibri" w:hAnsi="Calibri" w:cs="Calibri"/>
          <w:lang w:val="es-GT"/>
        </w:rPr>
        <w:t>Vargas, H.</w:t>
      </w:r>
      <w:r>
        <w:rPr>
          <w:rFonts w:ascii="Calibri" w:eastAsia="Calibri" w:hAnsi="Calibri" w:cs="Calibri"/>
          <w:lang w:val="es-GT"/>
        </w:rPr>
        <w:t xml:space="preserve"> (2005). </w:t>
      </w:r>
      <w:r w:rsidRPr="005B64A5">
        <w:rPr>
          <w:rFonts w:ascii="Calibri" w:eastAsia="Calibri" w:hAnsi="Calibri" w:cs="Calibri"/>
          <w:i/>
          <w:lang w:val="es-GT"/>
        </w:rPr>
        <w:t>Desempeño competitivo de la producción agrícola y agroindustrial guatemalteca: ventajas comparativas reveladas</w:t>
      </w:r>
      <w:r w:rsidRPr="005B64A5">
        <w:rPr>
          <w:rFonts w:ascii="Calibri" w:eastAsia="Calibri" w:hAnsi="Calibri" w:cs="Calibri"/>
          <w:lang w:val="es-GT"/>
        </w:rPr>
        <w:t xml:space="preserve"> [versión electrónica]. Guatemala: Instituto Interamericano de Cooperación para la Agricultura.</w:t>
      </w:r>
    </w:p>
    <w:p w:rsidR="006A1183" w:rsidRPr="001A01AB" w:rsidRDefault="006A1183" w:rsidP="006A1183">
      <w:pPr>
        <w:spacing w:after="200"/>
        <w:jc w:val="both"/>
        <w:rPr>
          <w:rFonts w:ascii="Calibri" w:hAnsi="Calibri" w:cs="Calibri"/>
          <w:lang w:val="es-GT"/>
        </w:rPr>
      </w:pPr>
      <w:r w:rsidRPr="0033045E">
        <w:rPr>
          <w:rFonts w:ascii="Calibri" w:hAnsi="Calibri" w:cs="Calibri"/>
          <w:highlight w:val="magenta"/>
          <w:lang w:val="es-GT"/>
        </w:rPr>
        <w:t>Memorias Anuales de Epidemiología. (CNE 2002-2007).</w:t>
      </w:r>
      <w:r>
        <w:rPr>
          <w:rFonts w:ascii="Calibri" w:hAnsi="Calibri" w:cs="Calibri"/>
          <w:lang w:val="es-GT"/>
        </w:rPr>
        <w:t xml:space="preserve"> </w:t>
      </w:r>
      <w:r w:rsidRPr="006A1183">
        <w:rPr>
          <w:rFonts w:ascii="Calibri" w:hAnsi="Calibri" w:cs="Calibri"/>
          <w:color w:val="FF0000"/>
          <w:lang w:val="es-GT"/>
        </w:rPr>
        <w:t>Poner la bibliografía completa, no sé quién es el autor, por eso no lo puse en orden alfabético</w:t>
      </w:r>
    </w:p>
    <w:p w:rsidR="006A1183" w:rsidRDefault="006A1183" w:rsidP="00E55C79">
      <w:pPr>
        <w:autoSpaceDE w:val="0"/>
        <w:autoSpaceDN w:val="0"/>
        <w:adjustRightInd w:val="0"/>
        <w:spacing w:after="200"/>
        <w:jc w:val="both"/>
        <w:rPr>
          <w:rFonts w:ascii="Calibri" w:eastAsia="Calibri" w:hAnsi="Calibri" w:cs="Calibri"/>
          <w:highlight w:val="green"/>
          <w:lang w:val="es-GT"/>
        </w:rPr>
      </w:pPr>
    </w:p>
    <w:p w:rsidR="006A1183" w:rsidRDefault="006A1183" w:rsidP="00E55C79">
      <w:pPr>
        <w:autoSpaceDE w:val="0"/>
        <w:autoSpaceDN w:val="0"/>
        <w:adjustRightInd w:val="0"/>
        <w:spacing w:after="200"/>
        <w:jc w:val="both"/>
        <w:rPr>
          <w:rFonts w:ascii="Calibri" w:eastAsia="Calibri" w:hAnsi="Calibri" w:cs="Calibri"/>
          <w:highlight w:val="green"/>
          <w:lang w:val="es-GT"/>
        </w:rPr>
      </w:pPr>
    </w:p>
    <w:p w:rsidR="006A1183" w:rsidRDefault="006A1183" w:rsidP="00E55C79">
      <w:pPr>
        <w:autoSpaceDE w:val="0"/>
        <w:autoSpaceDN w:val="0"/>
        <w:adjustRightInd w:val="0"/>
        <w:spacing w:after="200"/>
        <w:jc w:val="both"/>
        <w:rPr>
          <w:rFonts w:ascii="Calibri" w:eastAsia="Calibri" w:hAnsi="Calibri" w:cs="Calibri"/>
          <w:highlight w:val="green"/>
          <w:lang w:val="es-GT"/>
        </w:rPr>
      </w:pPr>
    </w:p>
    <w:p w:rsidR="006A1183" w:rsidRDefault="006A1183" w:rsidP="00E55C79">
      <w:pPr>
        <w:autoSpaceDE w:val="0"/>
        <w:autoSpaceDN w:val="0"/>
        <w:adjustRightInd w:val="0"/>
        <w:spacing w:after="200"/>
        <w:jc w:val="both"/>
        <w:rPr>
          <w:rFonts w:ascii="Calibri" w:eastAsia="Calibri" w:hAnsi="Calibri" w:cs="Calibri"/>
          <w:highlight w:val="green"/>
          <w:lang w:val="es-GT"/>
        </w:rPr>
      </w:pPr>
    </w:p>
    <w:p w:rsidR="006A1183" w:rsidRDefault="006A1183" w:rsidP="00E55C79">
      <w:pPr>
        <w:autoSpaceDE w:val="0"/>
        <w:autoSpaceDN w:val="0"/>
        <w:adjustRightInd w:val="0"/>
        <w:spacing w:after="200"/>
        <w:jc w:val="both"/>
        <w:rPr>
          <w:rFonts w:ascii="Calibri" w:eastAsia="Calibri" w:hAnsi="Calibri" w:cs="Calibri"/>
          <w:highlight w:val="green"/>
          <w:lang w:val="es-GT"/>
        </w:rPr>
      </w:pPr>
    </w:p>
    <w:p w:rsidR="00E55C79" w:rsidRPr="001A01AB" w:rsidRDefault="00E55C79" w:rsidP="00E55C79">
      <w:pPr>
        <w:jc w:val="both"/>
        <w:rPr>
          <w:rFonts w:ascii="Calibri" w:hAnsi="Calibri" w:cs="Calibri"/>
          <w:lang w:val="es-GT"/>
        </w:rPr>
      </w:pPr>
    </w:p>
    <w:p w:rsidR="00C933DB" w:rsidRPr="001A01AB" w:rsidRDefault="00C933DB" w:rsidP="004E2482">
      <w:pPr>
        <w:pStyle w:val="Prrafodelista"/>
        <w:numPr>
          <w:ilvl w:val="0"/>
          <w:numId w:val="55"/>
        </w:numPr>
        <w:pBdr>
          <w:bottom w:val="single" w:sz="12" w:space="1" w:color="365F91"/>
        </w:pBdr>
        <w:autoSpaceDE w:val="0"/>
        <w:autoSpaceDN w:val="0"/>
        <w:adjustRightInd w:val="0"/>
        <w:spacing w:after="120" w:line="264" w:lineRule="auto"/>
        <w:ind w:left="720" w:hanging="720"/>
        <w:jc w:val="both"/>
        <w:outlineLvl w:val="0"/>
        <w:rPr>
          <w:rFonts w:cs="Calibri"/>
          <w:b/>
          <w:color w:val="365F91"/>
          <w:sz w:val="36"/>
          <w:lang w:eastAsia="es-GT"/>
        </w:rPr>
      </w:pPr>
      <w:bookmarkStart w:id="198" w:name="_Toc340065179"/>
      <w:bookmarkStart w:id="199" w:name="_Toc340065271"/>
      <w:bookmarkStart w:id="200" w:name="_Toc340565864"/>
      <w:bookmarkStart w:id="201" w:name="_Toc347841314"/>
      <w:r w:rsidRPr="001A01AB">
        <w:rPr>
          <w:rFonts w:cs="Calibri"/>
          <w:b/>
          <w:color w:val="365F91"/>
          <w:sz w:val="36"/>
          <w:lang w:eastAsia="es-GT"/>
        </w:rPr>
        <w:lastRenderedPageBreak/>
        <w:t>Anexos</w:t>
      </w:r>
      <w:bookmarkEnd w:id="198"/>
      <w:bookmarkEnd w:id="199"/>
      <w:bookmarkEnd w:id="200"/>
      <w:bookmarkEnd w:id="201"/>
    </w:p>
    <w:p w:rsidR="00C933DB" w:rsidRPr="001A01AB" w:rsidRDefault="00C933DB" w:rsidP="002E085A">
      <w:pPr>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bCs/>
          <w:color w:val="365F91"/>
          <w:sz w:val="36"/>
          <w:szCs w:val="36"/>
          <w:lang w:val="es-GT"/>
        </w:rPr>
      </w:pPr>
      <w:r w:rsidRPr="001A01AB">
        <w:rPr>
          <w:rFonts w:ascii="Calibri" w:hAnsi="Calibri" w:cs="Calibri"/>
          <w:b/>
          <w:bCs/>
          <w:color w:val="365F91"/>
          <w:sz w:val="36"/>
          <w:szCs w:val="36"/>
          <w:lang w:val="es-GT"/>
        </w:rPr>
        <w:t>Anexo 1. Evaluación de los factores críticos para la decisión (FCD) a través de la construcción del perfil socio-ambiental estratégico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perfil socio ambiental estratégico es la plataforma para la evaluación de los Factores Críticos para la Decisión.</w:t>
      </w:r>
      <w:r w:rsidR="00141A70">
        <w:rPr>
          <w:rFonts w:ascii="Calibri" w:hAnsi="Calibri" w:cs="Calibri"/>
          <w:lang w:val="es-GT"/>
        </w:rPr>
        <w:t xml:space="preserve"> </w:t>
      </w:r>
      <w:r w:rsidRPr="001A01AB">
        <w:rPr>
          <w:rFonts w:ascii="Calibri" w:hAnsi="Calibri" w:cs="Calibri"/>
          <w:lang w:val="es-GT"/>
        </w:rPr>
        <w:t>El mismo se construye a través de la caracterización de cada uno de dichos factores, mediante el desarrollo de criterios e indicadores de evaluación.</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Para la elaboración de este perfil, el grupo de trabajo consideró, además de la información estadística y documental recopilada, la información recabada durante las entrevistas con los actores clave y que se considera como relevante para la caracterización de los Factores Críticos de Decisión.</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construcción del perfil socio-ambiental estratégico se desarrolló con base en los FCD identificados en la etapa anterior, mediante la realización de las siguientes actividades: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B150B0" w:rsidP="006B0A31">
      <w:pPr>
        <w:numPr>
          <w:ilvl w:val="0"/>
          <w:numId w:val="32"/>
        </w:numPr>
        <w:autoSpaceDE w:val="0"/>
        <w:autoSpaceDN w:val="0"/>
        <w:adjustRightInd w:val="0"/>
        <w:jc w:val="both"/>
        <w:rPr>
          <w:rFonts w:ascii="Calibri" w:hAnsi="Calibri" w:cs="Calibri"/>
          <w:lang w:val="es-GT"/>
        </w:rPr>
      </w:pPr>
      <w:r>
        <w:rPr>
          <w:rFonts w:ascii="Calibri" w:hAnsi="Calibri" w:cs="Calibri"/>
          <w:lang w:val="es-GT"/>
        </w:rPr>
        <w:t>C</w:t>
      </w:r>
      <w:r w:rsidR="008327B2" w:rsidRPr="001A01AB">
        <w:rPr>
          <w:rFonts w:ascii="Calibri" w:hAnsi="Calibri" w:cs="Calibri"/>
          <w:lang w:val="es-GT"/>
        </w:rPr>
        <w:t xml:space="preserve">aracterización y </w:t>
      </w:r>
      <w:r>
        <w:rPr>
          <w:rFonts w:ascii="Calibri" w:hAnsi="Calibri" w:cs="Calibri"/>
          <w:lang w:val="es-GT"/>
        </w:rPr>
        <w:t>análisis tendencial de los FCD;</w:t>
      </w:r>
    </w:p>
    <w:p w:rsidR="008327B2" w:rsidRPr="001A01AB" w:rsidRDefault="00B150B0" w:rsidP="006B0A31">
      <w:pPr>
        <w:numPr>
          <w:ilvl w:val="0"/>
          <w:numId w:val="32"/>
        </w:numPr>
        <w:autoSpaceDE w:val="0"/>
        <w:autoSpaceDN w:val="0"/>
        <w:adjustRightInd w:val="0"/>
        <w:jc w:val="both"/>
        <w:rPr>
          <w:rFonts w:ascii="Calibri" w:hAnsi="Calibri" w:cs="Calibri"/>
          <w:lang w:val="es-GT"/>
        </w:rPr>
      </w:pPr>
      <w:r>
        <w:rPr>
          <w:rFonts w:ascii="Calibri" w:hAnsi="Calibri" w:cs="Calibri"/>
          <w:lang w:val="es-GT"/>
        </w:rPr>
        <w:t>I</w:t>
      </w:r>
      <w:r w:rsidR="008327B2" w:rsidRPr="001A01AB">
        <w:rPr>
          <w:rFonts w:ascii="Calibri" w:hAnsi="Calibri" w:cs="Calibri"/>
          <w:lang w:val="es-GT"/>
        </w:rPr>
        <w:t xml:space="preserve">dentificación de escenarios de </w:t>
      </w:r>
      <w:r>
        <w:rPr>
          <w:rFonts w:ascii="Calibri" w:hAnsi="Calibri" w:cs="Calibri"/>
          <w:lang w:val="es-GT"/>
        </w:rPr>
        <w:t>desarrollo regional;</w:t>
      </w:r>
    </w:p>
    <w:p w:rsidR="008327B2" w:rsidRPr="001A01AB" w:rsidRDefault="00B150B0" w:rsidP="006B0A31">
      <w:pPr>
        <w:numPr>
          <w:ilvl w:val="0"/>
          <w:numId w:val="32"/>
        </w:numPr>
        <w:autoSpaceDE w:val="0"/>
        <w:autoSpaceDN w:val="0"/>
        <w:adjustRightInd w:val="0"/>
        <w:jc w:val="both"/>
        <w:rPr>
          <w:rFonts w:ascii="Calibri" w:hAnsi="Calibri" w:cs="Calibri"/>
          <w:lang w:val="es-GT"/>
        </w:rPr>
      </w:pPr>
      <w:r>
        <w:rPr>
          <w:rFonts w:ascii="Calibri" w:hAnsi="Calibri" w:cs="Calibri"/>
          <w:lang w:val="es-GT"/>
        </w:rPr>
        <w:t>I</w:t>
      </w:r>
      <w:r w:rsidR="008327B2" w:rsidRPr="001A01AB">
        <w:rPr>
          <w:rFonts w:ascii="Calibri" w:hAnsi="Calibri" w:cs="Calibri"/>
          <w:lang w:val="es-GT"/>
        </w:rPr>
        <w:t xml:space="preserve">dentificación de </w:t>
      </w:r>
      <w:r>
        <w:rPr>
          <w:rFonts w:ascii="Calibri" w:hAnsi="Calibri" w:cs="Calibri"/>
          <w:lang w:val="es-GT"/>
        </w:rPr>
        <w:t>problemas socio – ambientales;</w:t>
      </w:r>
    </w:p>
    <w:p w:rsidR="008327B2" w:rsidRPr="001A01AB" w:rsidRDefault="00B150B0" w:rsidP="006B0A31">
      <w:pPr>
        <w:numPr>
          <w:ilvl w:val="0"/>
          <w:numId w:val="32"/>
        </w:numPr>
        <w:autoSpaceDE w:val="0"/>
        <w:autoSpaceDN w:val="0"/>
        <w:adjustRightInd w:val="0"/>
        <w:jc w:val="both"/>
        <w:rPr>
          <w:rFonts w:ascii="Calibri" w:hAnsi="Calibri" w:cs="Calibri"/>
          <w:lang w:val="es-GT"/>
        </w:rPr>
      </w:pPr>
      <w:r>
        <w:rPr>
          <w:rFonts w:ascii="Calibri" w:hAnsi="Calibri" w:cs="Calibri"/>
          <w:lang w:val="es-GT"/>
        </w:rPr>
        <w:t>A</w:t>
      </w:r>
      <w:r w:rsidR="008327B2" w:rsidRPr="001A01AB">
        <w:rPr>
          <w:rFonts w:ascii="Calibri" w:hAnsi="Calibri" w:cs="Calibri"/>
          <w:lang w:val="es-GT"/>
        </w:rPr>
        <w:t>nálisis de la plan</w:t>
      </w:r>
      <w:r>
        <w:rPr>
          <w:rFonts w:ascii="Calibri" w:hAnsi="Calibri" w:cs="Calibri"/>
          <w:lang w:val="es-GT"/>
        </w:rPr>
        <w:t>eación concurrente de la región; y</w:t>
      </w:r>
    </w:p>
    <w:p w:rsidR="008327B2" w:rsidRPr="001A01AB" w:rsidRDefault="00B150B0" w:rsidP="006B0A31">
      <w:pPr>
        <w:numPr>
          <w:ilvl w:val="0"/>
          <w:numId w:val="32"/>
        </w:numPr>
        <w:autoSpaceDE w:val="0"/>
        <w:autoSpaceDN w:val="0"/>
        <w:adjustRightInd w:val="0"/>
        <w:jc w:val="both"/>
        <w:rPr>
          <w:rFonts w:ascii="Calibri" w:hAnsi="Calibri" w:cs="Calibri"/>
          <w:lang w:val="es-GT"/>
        </w:rPr>
      </w:pPr>
      <w:r>
        <w:rPr>
          <w:rFonts w:ascii="Calibri" w:hAnsi="Calibri" w:cs="Calibri"/>
          <w:lang w:val="es-GT"/>
        </w:rPr>
        <w:t>I</w:t>
      </w:r>
      <w:r w:rsidR="008327B2" w:rsidRPr="001A01AB">
        <w:rPr>
          <w:rFonts w:ascii="Calibri" w:hAnsi="Calibri" w:cs="Calibri"/>
          <w:lang w:val="es-GT"/>
        </w:rPr>
        <w:t>dentificación de conflictos existentes y potenciales.</w:t>
      </w:r>
    </w:p>
    <w:p w:rsidR="008327B2" w:rsidRPr="001A01AB" w:rsidRDefault="008327B2" w:rsidP="008327B2">
      <w:pPr>
        <w:autoSpaceDE w:val="0"/>
        <w:autoSpaceDN w:val="0"/>
        <w:adjustRightInd w:val="0"/>
        <w:ind w:left="36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1A01AB">
      <w:pPr>
        <w:pBdr>
          <w:bottom w:val="single" w:sz="4" w:space="1" w:color="365F91"/>
        </w:pBdr>
        <w:autoSpaceDE w:val="0"/>
        <w:autoSpaceDN w:val="0"/>
        <w:adjustRightInd w:val="0"/>
        <w:jc w:val="both"/>
        <w:rPr>
          <w:rFonts w:ascii="Calibri" w:hAnsi="Calibri" w:cs="Calibri"/>
          <w:b/>
          <w:color w:val="365F91"/>
          <w:sz w:val="32"/>
          <w:lang w:val="es-GT"/>
        </w:rPr>
      </w:pPr>
      <w:r w:rsidRPr="001A01AB">
        <w:rPr>
          <w:rFonts w:ascii="Calibri" w:hAnsi="Calibri" w:cs="Calibri"/>
          <w:lang w:val="es-GT"/>
        </w:rPr>
        <w:br w:type="page"/>
      </w:r>
      <w:r w:rsidRPr="001A01AB">
        <w:rPr>
          <w:rFonts w:ascii="Calibri" w:hAnsi="Calibri" w:cs="Calibri"/>
          <w:b/>
          <w:color w:val="365F91"/>
          <w:sz w:val="32"/>
          <w:lang w:val="es-GT"/>
        </w:rPr>
        <w:lastRenderedPageBreak/>
        <w:t xml:space="preserve">FCD 1: Recursos </w:t>
      </w:r>
      <w:r w:rsidR="00B150B0" w:rsidRPr="001A01AB">
        <w:rPr>
          <w:rFonts w:ascii="Calibri" w:hAnsi="Calibri" w:cs="Calibri"/>
          <w:b/>
          <w:color w:val="365F91"/>
          <w:sz w:val="32"/>
          <w:lang w:val="es-GT"/>
        </w:rPr>
        <w:t xml:space="preserve">naturales estratégicos </w:t>
      </w:r>
      <w:r w:rsidRPr="001A01AB">
        <w:rPr>
          <w:rFonts w:ascii="Calibri" w:hAnsi="Calibri" w:cs="Calibri"/>
          <w:b/>
          <w:color w:val="365F91"/>
          <w:sz w:val="32"/>
          <w:lang w:val="es-GT"/>
        </w:rPr>
        <w:t>(</w:t>
      </w:r>
      <w:r w:rsidR="00B150B0">
        <w:rPr>
          <w:rFonts w:ascii="Calibri" w:hAnsi="Calibri" w:cs="Calibri"/>
          <w:b/>
          <w:color w:val="365F91"/>
          <w:sz w:val="32"/>
          <w:lang w:val="es-GT"/>
        </w:rPr>
        <w:t>a</w:t>
      </w:r>
      <w:r w:rsidRPr="001A01AB">
        <w:rPr>
          <w:rFonts w:ascii="Calibri" w:hAnsi="Calibri" w:cs="Calibri"/>
          <w:b/>
          <w:color w:val="365F91"/>
          <w:sz w:val="32"/>
          <w:lang w:val="es-GT"/>
        </w:rPr>
        <w:t>gua, suelo y bosque)</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Enfoque:</w:t>
      </w:r>
    </w:p>
    <w:p w:rsidR="008327B2" w:rsidRPr="001A01AB" w:rsidRDefault="008327B2" w:rsidP="006B0A31">
      <w:pPr>
        <w:numPr>
          <w:ilvl w:val="0"/>
          <w:numId w:val="33"/>
        </w:numPr>
        <w:tabs>
          <w:tab w:val="clear" w:pos="720"/>
          <w:tab w:val="num" w:pos="360"/>
        </w:tabs>
        <w:autoSpaceDE w:val="0"/>
        <w:autoSpaceDN w:val="0"/>
        <w:adjustRightInd w:val="0"/>
        <w:ind w:left="360"/>
        <w:jc w:val="both"/>
        <w:rPr>
          <w:rFonts w:ascii="Calibri" w:hAnsi="Calibri" w:cs="Calibri"/>
          <w:lang w:val="es-GT"/>
        </w:rPr>
      </w:pPr>
      <w:r w:rsidRPr="001A01AB">
        <w:rPr>
          <w:rFonts w:ascii="Calibri" w:hAnsi="Calibri" w:cs="Calibri"/>
          <w:lang w:val="es-GT"/>
        </w:rPr>
        <w:t>R</w:t>
      </w:r>
      <w:r w:rsidR="00B150B0">
        <w:rPr>
          <w:rFonts w:ascii="Calibri" w:hAnsi="Calibri" w:cs="Calibri"/>
          <w:lang w:val="es-GT"/>
        </w:rPr>
        <w:t xml:space="preserve">ecursos naturales </w:t>
      </w:r>
      <w:r w:rsidRPr="001A01AB">
        <w:rPr>
          <w:rFonts w:ascii="Calibri" w:hAnsi="Calibri" w:cs="Calibri"/>
          <w:lang w:val="es-GT"/>
        </w:rPr>
        <w:t>estratégicos para revitalizar los sistemas productivos de los productores de los segmento</w:t>
      </w:r>
      <w:r w:rsidR="00B150B0">
        <w:rPr>
          <w:rFonts w:ascii="Calibri" w:hAnsi="Calibri" w:cs="Calibri"/>
          <w:lang w:val="es-GT"/>
        </w:rPr>
        <w:t>s</w:t>
      </w:r>
      <w:r w:rsidRPr="001A01AB">
        <w:rPr>
          <w:rFonts w:ascii="Calibri" w:hAnsi="Calibri" w:cs="Calibri"/>
          <w:lang w:val="es-GT"/>
        </w:rPr>
        <w:t xml:space="preserve"> en infrasubsistencia, subsistencia y pequeños excedentarios. </w:t>
      </w:r>
    </w:p>
    <w:p w:rsidR="008327B2" w:rsidRPr="001A01AB" w:rsidRDefault="008327B2" w:rsidP="006B0A31">
      <w:pPr>
        <w:numPr>
          <w:ilvl w:val="0"/>
          <w:numId w:val="33"/>
        </w:numPr>
        <w:tabs>
          <w:tab w:val="clear" w:pos="720"/>
          <w:tab w:val="num" w:pos="360"/>
        </w:tabs>
        <w:autoSpaceDE w:val="0"/>
        <w:autoSpaceDN w:val="0"/>
        <w:adjustRightInd w:val="0"/>
        <w:ind w:left="360"/>
        <w:jc w:val="both"/>
        <w:rPr>
          <w:rFonts w:ascii="Calibri" w:hAnsi="Calibri" w:cs="Calibri"/>
          <w:lang w:val="es-GT"/>
        </w:rPr>
      </w:pPr>
      <w:r w:rsidRPr="001A01AB">
        <w:rPr>
          <w:rFonts w:ascii="Calibri" w:hAnsi="Calibri" w:cs="Calibri"/>
          <w:lang w:val="es-GT"/>
        </w:rPr>
        <w:t>Reducir la presión de los sistema</w:t>
      </w:r>
      <w:r w:rsidR="00B150B0">
        <w:rPr>
          <w:rFonts w:ascii="Calibri" w:hAnsi="Calibri" w:cs="Calibri"/>
          <w:lang w:val="es-GT"/>
        </w:rPr>
        <w:t>s</w:t>
      </w:r>
      <w:r w:rsidRPr="001A01AB">
        <w:rPr>
          <w:rFonts w:ascii="Calibri" w:hAnsi="Calibri" w:cs="Calibri"/>
          <w:lang w:val="es-GT"/>
        </w:rPr>
        <w:t xml:space="preserve"> productivos sobre los </w:t>
      </w:r>
      <w:r w:rsidR="00B150B0">
        <w:rPr>
          <w:rFonts w:ascii="Calibri" w:hAnsi="Calibri" w:cs="Calibri"/>
          <w:lang w:val="es-GT"/>
        </w:rPr>
        <w:t>recursos naturales.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b/>
          <w:color w:val="365F91"/>
          <w:sz w:val="28"/>
          <w:lang w:val="es-GT"/>
        </w:rPr>
        <w:t>1.1</w:t>
      </w:r>
      <w:r w:rsidRPr="001A01AB">
        <w:rPr>
          <w:rFonts w:ascii="Calibri" w:hAnsi="Calibri" w:cs="Calibri"/>
          <w:b/>
          <w:color w:val="365F91"/>
          <w:sz w:val="28"/>
          <w:lang w:val="es-GT"/>
        </w:rPr>
        <w:tab/>
        <w:t>Criterio de evaluación: B</w:t>
      </w:r>
      <w:r w:rsidR="00B150B0" w:rsidRPr="001A01AB">
        <w:rPr>
          <w:rFonts w:ascii="Calibri" w:hAnsi="Calibri" w:cs="Calibri"/>
          <w:b/>
          <w:color w:val="365F91"/>
          <w:sz w:val="28"/>
          <w:lang w:val="es-GT"/>
        </w:rPr>
        <w:t>osques</w:t>
      </w:r>
    </w:p>
    <w:p w:rsidR="008327B2" w:rsidRPr="001A01AB" w:rsidRDefault="008327B2" w:rsidP="008327B2">
      <w:pPr>
        <w:autoSpaceDE w:val="0"/>
        <w:autoSpaceDN w:val="0"/>
        <w:adjustRightInd w:val="0"/>
        <w:jc w:val="both"/>
        <w:rPr>
          <w:rFonts w:ascii="Calibri" w:hAnsi="Calibri" w:cs="Calibri"/>
          <w:lang w:val="es-GT"/>
        </w:rPr>
      </w:pPr>
    </w:p>
    <w:p w:rsidR="008327B2" w:rsidRPr="00F175E4"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estudio de dinámica de cobertura forestal de Guatemala, publicado en 2012, estimó la cobertura forestal al año 2010 en 3,722,595 ha, correspondientes a un 34.2% del territorio nacional. En 2006, la cobertura forestal era de 3,866,383 ha, un 35.5% del territorio nacional.</w:t>
      </w:r>
      <w:r w:rsidR="00141A70">
        <w:rPr>
          <w:rFonts w:ascii="Calibri" w:hAnsi="Calibri" w:cs="Calibri"/>
          <w:lang w:val="es-GT"/>
        </w:rPr>
        <w:t xml:space="preserve"> </w:t>
      </w:r>
      <w:r w:rsidRPr="001A01AB">
        <w:rPr>
          <w:rFonts w:ascii="Calibri" w:hAnsi="Calibri" w:cs="Calibri"/>
          <w:lang w:val="es-GT"/>
        </w:rPr>
        <w:t xml:space="preserve">Esto representa una pérdida neta anual de 38,597 ha, equivalentes a una tasa de deforestación anual de 1.0% durante el periodo 2006-2010, y corresponde a la diferencia entre la pérdida </w:t>
      </w:r>
      <w:r w:rsidRPr="00F175E4">
        <w:rPr>
          <w:rFonts w:ascii="Calibri" w:hAnsi="Calibri" w:cs="Calibri"/>
          <w:lang w:val="es-GT"/>
        </w:rPr>
        <w:t>anual bruta de bosques naturales (132,138 ha/año) y la ganancia de cobertura forestal, compuesta por plantaciones forestales y regeneración natural (93,541 ha/año) (INAB, CONAP, UVG y URL, 2012).</w:t>
      </w:r>
    </w:p>
    <w:p w:rsidR="008327B2" w:rsidRPr="00F175E4"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F175E4">
        <w:rPr>
          <w:rFonts w:ascii="Calibri" w:hAnsi="Calibri" w:cs="Calibri"/>
          <w:lang w:val="es-GT"/>
        </w:rPr>
        <w:t>Dos eventos marcaron la situación de los bosques a nivel nacional para el año 2010. El primero, relacionado con la disminución de incendios forestales. Durante la estación seca del 2010, 9,681 ha fueron afectadas por incendios (de las cuales 7,207 estaban cubiertas por bosque), valor muy por debajo del promedio del periodo 2001-2010, correspondiente a 37,412 ha anuales (INAB, 2012). De acuerdo</w:t>
      </w:r>
      <w:r w:rsidR="00B150B0">
        <w:rPr>
          <w:rFonts w:ascii="Calibri" w:hAnsi="Calibri" w:cs="Calibri"/>
          <w:lang w:val="es-GT"/>
        </w:rPr>
        <w:t xml:space="preserve"> con el Programa de Protección F</w:t>
      </w:r>
      <w:r w:rsidRPr="001A01AB">
        <w:rPr>
          <w:rFonts w:ascii="Calibri" w:hAnsi="Calibri" w:cs="Calibri"/>
          <w:lang w:val="es-GT"/>
        </w:rPr>
        <w:t>orestal del INAB, se presume que las condiciones climáticas favorables son la principal explicación de estos resultados. Sin embargo, durante este mismo periodo, se observó una tendencia a reducir la cantidad de áreas afectadas y el número de eventos en áreas cubiertas de bosque.</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El segundo evento fue la aprobación de la Ley de Incentivos Forestales para Poseedores de Pequeñas Extensiones de Tierra de Vocación Forestal o Agroforestal (PINPEP), según Decreto 51-2010 del Congreso de la </w:t>
      </w:r>
      <w:r w:rsidRPr="00F175E4">
        <w:rPr>
          <w:rFonts w:ascii="Calibri" w:hAnsi="Calibri" w:cs="Calibri"/>
          <w:lang w:val="es-GT"/>
        </w:rPr>
        <w:t>República (Congreso de la República de Guatemala, 2010, diciembre 17); asignándole entre el 0.5% y 1% del</w:t>
      </w:r>
      <w:r w:rsidRPr="001A01AB">
        <w:rPr>
          <w:rFonts w:ascii="Calibri" w:hAnsi="Calibri" w:cs="Calibri"/>
          <w:lang w:val="es-GT"/>
        </w:rPr>
        <w:t xml:space="preserve"> presupuesto de ingresos ordinarios del Estado. Este decreto permitió institucionalizar un programa que se ejecutaba con el apoyo por el Gobierno de Holanda, con una cobertura de 7,700 ha manejadas o recuperadas entre los años 2006 y 2010.</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Por otro lado, los debates mundiales sobre cambio climático se centran cada vez más en la necesidad de reducir las emisiones de gases de efecto invernadero generadas por la deforestación y la degradación de los bosques en los países en vías de desarrollo, que representan cerca del 20% de las emisiones totales de dichos </w:t>
      </w:r>
      <w:r w:rsidRPr="00F175E4">
        <w:rPr>
          <w:rFonts w:ascii="Calibri" w:hAnsi="Calibri" w:cs="Calibri"/>
          <w:lang w:val="es-GT"/>
        </w:rPr>
        <w:t>gases (UNDP, FAO &amp; UNEP, 2010).</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 continuación</w:t>
      </w:r>
      <w:r w:rsidR="00B150B0">
        <w:rPr>
          <w:rFonts w:ascii="Calibri" w:hAnsi="Calibri" w:cs="Calibri"/>
          <w:lang w:val="es-GT"/>
        </w:rPr>
        <w:t>,</w:t>
      </w:r>
      <w:r w:rsidRPr="001A01AB">
        <w:rPr>
          <w:rFonts w:ascii="Calibri" w:hAnsi="Calibri" w:cs="Calibri"/>
          <w:lang w:val="es-GT"/>
        </w:rPr>
        <w:t xml:space="preserve"> se analizan los eventos y tendencias que han impactado a los bosques nacionales en los últimos años, bajo la lógica del sistema socio-ecológico. Los indicadores utilizados en el presente análisis son: </w:t>
      </w:r>
    </w:p>
    <w:p w:rsidR="008327B2" w:rsidRPr="001A01AB" w:rsidRDefault="00B150B0" w:rsidP="008327B2">
      <w:pPr>
        <w:autoSpaceDE w:val="0"/>
        <w:autoSpaceDN w:val="0"/>
        <w:adjustRightInd w:val="0"/>
        <w:jc w:val="both"/>
        <w:rPr>
          <w:rFonts w:ascii="Calibri" w:hAnsi="Calibri" w:cs="Calibri"/>
          <w:lang w:val="es-GT"/>
        </w:rPr>
      </w:pPr>
      <w:r>
        <w:rPr>
          <w:rFonts w:ascii="Calibri" w:hAnsi="Calibri" w:cs="Calibri"/>
          <w:lang w:val="es-GT"/>
        </w:rPr>
        <w:lastRenderedPageBreak/>
        <w:t>a) D</w:t>
      </w:r>
      <w:r w:rsidR="008327B2" w:rsidRPr="001A01AB">
        <w:rPr>
          <w:rFonts w:ascii="Calibri" w:hAnsi="Calibri" w:cs="Calibri"/>
          <w:lang w:val="es-GT"/>
        </w:rPr>
        <w:t xml:space="preserve">inámica de la cobertura forestal, </w:t>
      </w:r>
    </w:p>
    <w:p w:rsidR="008327B2" w:rsidRPr="001A01AB" w:rsidRDefault="00B150B0" w:rsidP="008327B2">
      <w:pPr>
        <w:autoSpaceDE w:val="0"/>
        <w:autoSpaceDN w:val="0"/>
        <w:adjustRightInd w:val="0"/>
        <w:jc w:val="both"/>
        <w:rPr>
          <w:rFonts w:ascii="Calibri" w:hAnsi="Calibri" w:cs="Calibri"/>
          <w:lang w:val="es-GT"/>
        </w:rPr>
      </w:pPr>
      <w:r>
        <w:rPr>
          <w:rFonts w:ascii="Calibri" w:hAnsi="Calibri" w:cs="Calibri"/>
          <w:lang w:val="es-GT"/>
        </w:rPr>
        <w:t>b) D</w:t>
      </w:r>
      <w:r w:rsidR="008327B2" w:rsidRPr="001A01AB">
        <w:rPr>
          <w:rFonts w:ascii="Calibri" w:hAnsi="Calibri" w:cs="Calibri"/>
          <w:lang w:val="es-GT"/>
        </w:rPr>
        <w:t xml:space="preserve">inámica de los aprovechamientos forestales, y </w:t>
      </w:r>
    </w:p>
    <w:p w:rsidR="008327B2" w:rsidRPr="001A01AB" w:rsidRDefault="00B150B0" w:rsidP="008327B2">
      <w:pPr>
        <w:autoSpaceDE w:val="0"/>
        <w:autoSpaceDN w:val="0"/>
        <w:adjustRightInd w:val="0"/>
        <w:jc w:val="both"/>
        <w:rPr>
          <w:rFonts w:ascii="Calibri" w:hAnsi="Calibri" w:cs="Calibri"/>
          <w:lang w:val="es-GT"/>
        </w:rPr>
      </w:pPr>
      <w:r>
        <w:rPr>
          <w:rFonts w:ascii="Calibri" w:hAnsi="Calibri" w:cs="Calibri"/>
          <w:lang w:val="es-GT"/>
        </w:rPr>
        <w:t>c) D</w:t>
      </w:r>
      <w:r w:rsidR="008327B2" w:rsidRPr="001A01AB">
        <w:rPr>
          <w:rFonts w:ascii="Calibri" w:hAnsi="Calibri" w:cs="Calibri"/>
          <w:lang w:val="es-GT"/>
        </w:rPr>
        <w:t>inámica de la inversión pública sectorial.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1.1.1.</w:t>
      </w:r>
      <w:r w:rsidRPr="001A01AB">
        <w:rPr>
          <w:rFonts w:ascii="Calibri" w:hAnsi="Calibri" w:cs="Calibri"/>
          <w:b/>
          <w:color w:val="365F91"/>
          <w:lang w:val="es-GT"/>
        </w:rPr>
        <w:tab/>
        <w:t>Indicador: D</w:t>
      </w:r>
      <w:r w:rsidR="00B150B0" w:rsidRPr="001A01AB">
        <w:rPr>
          <w:rFonts w:ascii="Calibri" w:hAnsi="Calibri" w:cs="Calibri"/>
          <w:b/>
          <w:color w:val="365F91"/>
          <w:lang w:val="es-GT"/>
        </w:rPr>
        <w:t>inámica de la cobertura forestal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El presente análisis muestra datos sobre la tendencia o dinámica de la cobertura forestal en Guatemala durante los </w:t>
      </w:r>
      <w:r w:rsidR="00B150B0">
        <w:rPr>
          <w:rFonts w:ascii="Calibri" w:hAnsi="Calibri" w:cs="Calibri"/>
          <w:lang w:val="es-GT"/>
        </w:rPr>
        <w:t xml:space="preserve">últimos </w:t>
      </w:r>
      <w:r w:rsidRPr="001A01AB">
        <w:rPr>
          <w:rFonts w:ascii="Calibri" w:hAnsi="Calibri" w:cs="Calibri"/>
          <w:lang w:val="es-GT"/>
        </w:rPr>
        <w:t>60 años (1950-2010), expre</w:t>
      </w:r>
      <w:r w:rsidR="00B150B0">
        <w:rPr>
          <w:rFonts w:ascii="Calibri" w:hAnsi="Calibri" w:cs="Calibri"/>
          <w:lang w:val="es-GT"/>
        </w:rPr>
        <w:t>sada</w:t>
      </w:r>
      <w:r w:rsidRPr="001A01AB">
        <w:rPr>
          <w:rFonts w:ascii="Calibri" w:hAnsi="Calibri" w:cs="Calibri"/>
          <w:lang w:val="es-GT"/>
        </w:rPr>
        <w:t xml:space="preserve"> en función del porcentaje del territorio nacional cubierto por bosques en cada período analizado</w:t>
      </w:r>
      <w:r w:rsidR="00F60963">
        <w:rPr>
          <w:rFonts w:ascii="Calibri" w:hAnsi="Calibri" w:cs="Calibri"/>
          <w:lang w:val="es-GT"/>
        </w:rPr>
        <w:t xml:space="preserve"> (Cuadro 12</w:t>
      </w:r>
      <w:r w:rsidR="00836259">
        <w:rPr>
          <w:rFonts w:ascii="Calibri" w:hAnsi="Calibri" w:cs="Calibri"/>
          <w:lang w:val="es-GT"/>
        </w:rPr>
        <w:t>)</w:t>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202" w:name="_Toc340004966"/>
      <w:bookmarkStart w:id="203" w:name="_Toc340032156"/>
      <w:bookmarkStart w:id="204" w:name="_Toc340034433"/>
      <w:bookmarkStart w:id="205" w:name="_Toc343164640"/>
      <w:bookmarkStart w:id="206" w:name="_Toc347841194"/>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12</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Cobertura forestal 1950-2010</w:t>
      </w:r>
      <w:bookmarkEnd w:id="202"/>
      <w:bookmarkEnd w:id="203"/>
      <w:bookmarkEnd w:id="204"/>
      <w:bookmarkEnd w:id="205"/>
      <w:bookmarkEnd w:id="206"/>
    </w:p>
    <w:p w:rsidR="00216872" w:rsidRPr="00216872" w:rsidRDefault="00216872" w:rsidP="00216872">
      <w:pPr>
        <w:rPr>
          <w:lang w:val="es-GT"/>
        </w:rPr>
      </w:pPr>
    </w:p>
    <w:p w:rsidR="008327B2" w:rsidRPr="00120F56" w:rsidRDefault="00544A9F" w:rsidP="008327B2">
      <w:pPr>
        <w:rPr>
          <w:lang w:val="es-GT"/>
        </w:rPr>
      </w:pPr>
      <w:r>
        <w:rPr>
          <w:noProof/>
          <w:lang w:val="es-GT" w:eastAsia="es-GT"/>
        </w:rPr>
        <w:drawing>
          <wp:inline distT="0" distB="0" distL="0" distR="0">
            <wp:extent cx="5943600" cy="781200"/>
            <wp:effectExtent l="0" t="0" r="0" b="0"/>
            <wp:docPr id="22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3"/>
                    <pic:cNvPicPr>
                      <a:picLocks noChangeAspect="1"/>
                    </pic:cNvPicPr>
                  </pic:nvPicPr>
                  <pic:blipFill>
                    <a:blip r:embed="rId59" cstate="print">
                      <a:duotone>
                        <a:schemeClr val="accent1">
                          <a:shade val="45000"/>
                          <a:satMod val="135000"/>
                        </a:schemeClr>
                        <a:prstClr val="white"/>
                      </a:duotone>
                    </a:blip>
                    <a:srcRect l="4487" t="25852" r="2044" b="58781"/>
                    <a:stretch>
                      <a:fillRect/>
                    </a:stretch>
                  </pic:blipFill>
                  <pic:spPr bwMode="auto">
                    <a:xfrm>
                      <a:off x="0" y="0"/>
                      <a:ext cx="5943600" cy="781200"/>
                    </a:xfrm>
                    <a:prstGeom prst="rect">
                      <a:avLst/>
                    </a:prstGeom>
                    <a:noFill/>
                    <a:ln w="9525">
                      <a:noFill/>
                      <a:miter lim="800000"/>
                      <a:headEnd/>
                      <a:tailEnd/>
                    </a:ln>
                  </pic:spPr>
                </pic:pic>
              </a:graphicData>
            </a:graphic>
          </wp:inline>
        </w:drawing>
      </w:r>
    </w:p>
    <w:p w:rsidR="008327B2" w:rsidRDefault="008327B2" w:rsidP="00B150B0">
      <w:pPr>
        <w:autoSpaceDE w:val="0"/>
        <w:autoSpaceDN w:val="0"/>
        <w:adjustRightInd w:val="0"/>
        <w:ind w:right="90"/>
        <w:jc w:val="right"/>
        <w:rPr>
          <w:rFonts w:ascii="Calibri" w:hAnsi="Calibri" w:cs="Calibri"/>
          <w:sz w:val="20"/>
          <w:lang w:val="es-GT"/>
        </w:rPr>
      </w:pPr>
      <w:r w:rsidRPr="001A01AB">
        <w:rPr>
          <w:rFonts w:ascii="Calibri" w:hAnsi="Calibri" w:cs="Calibri"/>
          <w:sz w:val="20"/>
          <w:lang w:val="es-GT"/>
        </w:rPr>
        <w:t xml:space="preserve">Fuente: </w:t>
      </w:r>
      <w:r w:rsidR="00B150B0">
        <w:rPr>
          <w:rFonts w:ascii="Calibri" w:hAnsi="Calibri" w:cs="Calibri"/>
          <w:sz w:val="20"/>
          <w:lang w:val="es-GT"/>
        </w:rPr>
        <w:t>IARNA-URL (2012</w:t>
      </w:r>
      <w:r w:rsidRPr="001A01AB">
        <w:rPr>
          <w:rFonts w:ascii="Calibri" w:hAnsi="Calibri" w:cs="Calibri"/>
          <w:sz w:val="20"/>
          <w:lang w:val="es-GT"/>
        </w:rPr>
        <w:t>.</w:t>
      </w:r>
    </w:p>
    <w:p w:rsidR="00B150B0" w:rsidRPr="001A01AB" w:rsidRDefault="00B150B0" w:rsidP="00B150B0">
      <w:pPr>
        <w:autoSpaceDE w:val="0"/>
        <w:autoSpaceDN w:val="0"/>
        <w:adjustRightInd w:val="0"/>
        <w:ind w:right="90"/>
        <w:jc w:val="right"/>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Para el periodo </w:t>
      </w:r>
      <w:r w:rsidR="00C70457">
        <w:rPr>
          <w:rFonts w:ascii="Calibri" w:hAnsi="Calibri" w:cs="Calibri"/>
          <w:lang w:val="es-GT"/>
        </w:rPr>
        <w:t>1991-2001</w:t>
      </w:r>
      <w:r w:rsidRPr="001A01AB">
        <w:rPr>
          <w:rFonts w:ascii="Calibri" w:hAnsi="Calibri" w:cs="Calibri"/>
          <w:lang w:val="es-GT"/>
        </w:rPr>
        <w:t xml:space="preserve"> se determinó que la pérdida anual de bosques fue de 63,42177 ha, </w:t>
      </w:r>
      <w:r w:rsidR="00C70457">
        <w:rPr>
          <w:rFonts w:ascii="Calibri" w:hAnsi="Calibri" w:cs="Calibri"/>
          <w:lang w:val="es-GT"/>
        </w:rPr>
        <w:t>la cual</w:t>
      </w:r>
      <w:r w:rsidRPr="001A01AB">
        <w:rPr>
          <w:rFonts w:ascii="Calibri" w:hAnsi="Calibri" w:cs="Calibri"/>
          <w:lang w:val="es-GT"/>
        </w:rPr>
        <w:t xml:space="preserve"> fue estimada a partir de la diferencia entre la pérdida bruta (80,752 ha), menos la </w:t>
      </w:r>
      <w:r w:rsidR="00C70457">
        <w:rPr>
          <w:rFonts w:ascii="Calibri" w:hAnsi="Calibri" w:cs="Calibri"/>
          <w:lang w:val="es-GT"/>
        </w:rPr>
        <w:t>recuperación (17,331 ha anuales,</w:t>
      </w:r>
      <w:r w:rsidRPr="001A01AB">
        <w:rPr>
          <w:rFonts w:ascii="Calibri" w:hAnsi="Calibri" w:cs="Calibri"/>
          <w:lang w:val="es-GT"/>
        </w:rPr>
        <w:t xml:space="preserve"> principalmente por regeneración de bosque natural y establecimiento de plantaciones, incluyendo el hule</w:t>
      </w:r>
      <w:r w:rsidR="00C70457">
        <w:rPr>
          <w:rFonts w:ascii="Calibri" w:hAnsi="Calibri" w:cs="Calibri"/>
          <w:lang w:val="es-GT"/>
        </w:rPr>
        <w:t>)</w:t>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El análisis de la dinámica forestal entre el 2001 y </w:t>
      </w:r>
      <w:r w:rsidRPr="00F175E4">
        <w:rPr>
          <w:rFonts w:ascii="Calibri" w:hAnsi="Calibri" w:cs="Calibri"/>
          <w:lang w:val="es-GT"/>
        </w:rPr>
        <w:t>2006 (UVG, INAB, CONAP y URL, 2011) revela</w:t>
      </w:r>
      <w:r w:rsidRPr="001A01AB">
        <w:rPr>
          <w:rFonts w:ascii="Calibri" w:hAnsi="Calibri" w:cs="Calibri"/>
          <w:lang w:val="es-GT"/>
        </w:rPr>
        <w:t xml:space="preserve"> que se ha acentuado el ritmo de la deforestación, ya que de 93,127 ha anuales de bosques naturales se elevó a 101,869 ha, tendencia que se mantuvo durante el periodo 2006-2010, que presenta una pérdida de 132,138 ha anuales (INAB, CONAP, UVG y URL, 2012). El Cuadro </w:t>
      </w:r>
      <w:r w:rsidR="00836259">
        <w:rPr>
          <w:rFonts w:ascii="Calibri" w:hAnsi="Calibri" w:cs="Calibri"/>
          <w:lang w:val="es-GT"/>
        </w:rPr>
        <w:t>1</w:t>
      </w:r>
      <w:r w:rsidR="00F60963">
        <w:rPr>
          <w:rFonts w:ascii="Calibri" w:hAnsi="Calibri" w:cs="Calibri"/>
          <w:lang w:val="es-GT"/>
        </w:rPr>
        <w:t>3</w:t>
      </w:r>
      <w:r w:rsidRPr="001A01AB">
        <w:rPr>
          <w:rFonts w:ascii="Calibri" w:hAnsi="Calibri" w:cs="Calibri"/>
          <w:lang w:val="es-GT"/>
        </w:rPr>
        <w:t xml:space="preserve"> muestra los ritmos de deforestación en Guatemala durante diferentes periodos.</w:t>
      </w:r>
    </w:p>
    <w:p w:rsidR="008327B2" w:rsidRPr="001A01AB" w:rsidRDefault="008327B2" w:rsidP="008327B2">
      <w:pPr>
        <w:autoSpaceDE w:val="0"/>
        <w:autoSpaceDN w:val="0"/>
        <w:adjustRightInd w:val="0"/>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207" w:name="_Toc340004967"/>
      <w:bookmarkStart w:id="208" w:name="_Toc340032157"/>
      <w:bookmarkStart w:id="209" w:name="_Toc340034434"/>
      <w:bookmarkStart w:id="210" w:name="_Toc343164641"/>
      <w:bookmarkStart w:id="211" w:name="_Toc347841195"/>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13</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Tendencia histórica de la deforestación</w:t>
      </w:r>
      <w:r w:rsidR="00836259" w:rsidRPr="00216872">
        <w:rPr>
          <w:rFonts w:asciiTheme="minorHAnsi" w:hAnsiTheme="minorHAnsi" w:cstheme="minorHAnsi"/>
          <w:color w:val="365F91" w:themeColor="accent1" w:themeShade="BF"/>
          <w:sz w:val="22"/>
          <w:szCs w:val="22"/>
          <w:lang w:val="es-GT"/>
        </w:rPr>
        <w:t>. Periodo</w:t>
      </w:r>
      <w:r w:rsidR="008327B2" w:rsidRPr="00216872">
        <w:rPr>
          <w:rFonts w:asciiTheme="minorHAnsi" w:hAnsiTheme="minorHAnsi" w:cstheme="minorHAnsi"/>
          <w:color w:val="365F91" w:themeColor="accent1" w:themeShade="BF"/>
          <w:sz w:val="22"/>
          <w:szCs w:val="22"/>
          <w:lang w:val="es-GT"/>
        </w:rPr>
        <w:t xml:space="preserve"> 1950-2010</w:t>
      </w:r>
      <w:bookmarkEnd w:id="207"/>
      <w:bookmarkEnd w:id="208"/>
      <w:bookmarkEnd w:id="209"/>
      <w:bookmarkEnd w:id="210"/>
      <w:bookmarkEnd w:id="211"/>
    </w:p>
    <w:p w:rsidR="00216872" w:rsidRPr="00216872" w:rsidRDefault="00216872" w:rsidP="00216872">
      <w:pPr>
        <w:rPr>
          <w:lang w:val="es-GT"/>
        </w:rPr>
      </w:pPr>
    </w:p>
    <w:p w:rsidR="008327B2" w:rsidRPr="001A01AB" w:rsidRDefault="00544A9F" w:rsidP="008327B2">
      <w:pPr>
        <w:autoSpaceDE w:val="0"/>
        <w:autoSpaceDN w:val="0"/>
        <w:adjustRightInd w:val="0"/>
        <w:jc w:val="both"/>
        <w:rPr>
          <w:rFonts w:ascii="Calibri" w:hAnsi="Calibri" w:cs="Calibri"/>
          <w:noProof/>
          <w:lang w:val="es-GT" w:eastAsia="es-GT"/>
        </w:rPr>
      </w:pPr>
      <w:r>
        <w:rPr>
          <w:rFonts w:ascii="Calibri" w:hAnsi="Calibri" w:cs="Calibri"/>
          <w:noProof/>
          <w:lang w:val="es-GT" w:eastAsia="es-GT"/>
        </w:rPr>
        <w:drawing>
          <wp:inline distT="0" distB="0" distL="0" distR="0">
            <wp:extent cx="5947773" cy="1216141"/>
            <wp:effectExtent l="19050" t="19050" r="15240" b="22225"/>
            <wp:docPr id="2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Picture 14"/>
                    <pic:cNvPicPr>
                      <a:picLocks noChangeAspect="1" noChangeArrowheads="1"/>
                    </pic:cNvPicPr>
                  </pic:nvPicPr>
                  <pic:blipFill>
                    <a:blip r:embed="rId60" cstate="print">
                      <a:duotone>
                        <a:schemeClr val="accent1">
                          <a:shade val="45000"/>
                          <a:satMod val="135000"/>
                        </a:schemeClr>
                        <a:prstClr val="white"/>
                      </a:duotone>
                    </a:blip>
                    <a:srcRect l="4375" t="23438" r="2236" b="52688"/>
                    <a:stretch>
                      <a:fillRect/>
                    </a:stretch>
                  </pic:blipFill>
                  <pic:spPr bwMode="auto">
                    <a:xfrm>
                      <a:off x="0" y="0"/>
                      <a:ext cx="5947410" cy="1216025"/>
                    </a:xfrm>
                    <a:prstGeom prst="rect">
                      <a:avLst/>
                    </a:prstGeom>
                    <a:noFill/>
                    <a:ln w="9525">
                      <a:solidFill>
                        <a:schemeClr val="tx2">
                          <a:lumMod val="20000"/>
                          <a:lumOff val="80000"/>
                        </a:schemeClr>
                      </a:solidFill>
                      <a:miter lim="800000"/>
                      <a:headEnd/>
                      <a:tailEnd/>
                    </a:ln>
                  </pic:spPr>
                </pic:pic>
              </a:graphicData>
            </a:graphic>
          </wp:inline>
        </w:drawing>
      </w:r>
    </w:p>
    <w:p w:rsidR="008327B2" w:rsidRPr="001A01AB" w:rsidRDefault="008327B2" w:rsidP="008327B2">
      <w:pPr>
        <w:autoSpaceDE w:val="0"/>
        <w:autoSpaceDN w:val="0"/>
        <w:adjustRightInd w:val="0"/>
        <w:ind w:right="90"/>
        <w:jc w:val="right"/>
        <w:rPr>
          <w:rFonts w:ascii="Calibri" w:hAnsi="Calibri" w:cs="Calibri"/>
          <w:sz w:val="20"/>
          <w:lang w:val="es-GT"/>
        </w:rPr>
      </w:pPr>
      <w:r w:rsidRPr="001A01AB">
        <w:rPr>
          <w:rFonts w:ascii="Calibri" w:hAnsi="Calibri" w:cs="Calibri"/>
          <w:sz w:val="20"/>
          <w:lang w:val="es-GT"/>
        </w:rPr>
        <w:t xml:space="preserve">Fuente: </w:t>
      </w:r>
      <w:r w:rsidR="00836259">
        <w:rPr>
          <w:rFonts w:ascii="Calibri" w:hAnsi="Calibri" w:cs="Calibri"/>
          <w:sz w:val="20"/>
          <w:lang w:val="es-GT"/>
        </w:rPr>
        <w:t>IARNA-URL (</w:t>
      </w:r>
      <w:r w:rsidRPr="001A01AB">
        <w:rPr>
          <w:rFonts w:ascii="Calibri" w:hAnsi="Calibri" w:cs="Calibri"/>
          <w:sz w:val="20"/>
          <w:lang w:val="es-GT"/>
        </w:rPr>
        <w:t>2012).</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distribución espacial de los bosques en el territorio nacional</w:t>
      </w:r>
      <w:r w:rsidR="00836259">
        <w:rPr>
          <w:rFonts w:ascii="Calibri" w:hAnsi="Calibri" w:cs="Calibri"/>
          <w:lang w:val="es-GT"/>
        </w:rPr>
        <w:t>,</w:t>
      </w:r>
      <w:r w:rsidRPr="001A01AB">
        <w:rPr>
          <w:rFonts w:ascii="Calibri" w:hAnsi="Calibri" w:cs="Calibri"/>
          <w:lang w:val="es-GT"/>
        </w:rPr>
        <w:t xml:space="preserve"> así como el avance de la deforestación en las distintas regiones ha sido evaluada utilizando imágenes de sensores remotos desde 1991</w:t>
      </w:r>
      <w:r w:rsidR="00836259">
        <w:rPr>
          <w:rFonts w:ascii="Calibri" w:hAnsi="Calibri" w:cs="Calibri"/>
          <w:lang w:val="es-GT"/>
        </w:rPr>
        <w:t xml:space="preserve"> </w:t>
      </w:r>
      <w:r w:rsidRPr="001A01AB">
        <w:rPr>
          <w:rFonts w:ascii="Calibri" w:hAnsi="Calibri" w:cs="Calibri"/>
          <w:lang w:val="es-GT"/>
        </w:rPr>
        <w:t>(INAB, CONAP, UVG y URL, 2012). La siguiente serie de mapas muestra la tendencia histórica</w:t>
      </w:r>
      <w:r w:rsidR="00836259">
        <w:rPr>
          <w:rFonts w:ascii="Calibri" w:hAnsi="Calibri" w:cs="Calibri"/>
          <w:lang w:val="es-GT"/>
        </w:rPr>
        <w:t xml:space="preserve"> (Figura 27)</w:t>
      </w:r>
      <w:r w:rsidRPr="001A01AB">
        <w:rPr>
          <w:rFonts w:ascii="Calibri" w:hAnsi="Calibri" w:cs="Calibri"/>
          <w:lang w:val="es-GT"/>
        </w:rPr>
        <w:t>.</w:t>
      </w:r>
    </w:p>
    <w:p w:rsidR="008327B2" w:rsidRPr="00224B57" w:rsidRDefault="008327B2" w:rsidP="00224B57">
      <w:pPr>
        <w:spacing w:after="120"/>
        <w:jc w:val="center"/>
        <w:rPr>
          <w:rFonts w:ascii="Calibri" w:eastAsia="Calibri" w:hAnsi="Calibri" w:cs="Calibri"/>
          <w:b/>
          <w:color w:val="365F91"/>
          <w:sz w:val="22"/>
          <w:szCs w:val="22"/>
          <w:lang w:val="es-GT"/>
        </w:rPr>
      </w:pPr>
      <w:bookmarkStart w:id="212" w:name="_Toc340005080"/>
      <w:bookmarkStart w:id="213" w:name="_Toc340034495"/>
      <w:bookmarkStart w:id="214" w:name="_Toc343098409"/>
      <w:bookmarkStart w:id="215" w:name="_Toc343098517"/>
      <w:bookmarkStart w:id="216" w:name="_Toc347841250"/>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27</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Tendencia histórica de la distribución de los bosques</w:t>
      </w:r>
      <w:r w:rsidR="00836259" w:rsidRPr="00224B57">
        <w:rPr>
          <w:rFonts w:ascii="Calibri" w:eastAsia="Calibri" w:hAnsi="Calibri" w:cs="Calibri"/>
          <w:b/>
          <w:color w:val="365F91"/>
          <w:sz w:val="22"/>
          <w:szCs w:val="22"/>
          <w:lang w:val="es-GT"/>
        </w:rPr>
        <w:t>. Periodo</w:t>
      </w:r>
      <w:r w:rsidRPr="00224B57">
        <w:rPr>
          <w:rFonts w:ascii="Calibri" w:eastAsia="Calibri" w:hAnsi="Calibri" w:cs="Calibri"/>
          <w:b/>
          <w:color w:val="365F91"/>
          <w:sz w:val="22"/>
          <w:szCs w:val="22"/>
          <w:lang w:val="es-GT"/>
        </w:rPr>
        <w:t xml:space="preserve"> 1991-2010</w:t>
      </w:r>
      <w:bookmarkEnd w:id="212"/>
      <w:bookmarkEnd w:id="213"/>
      <w:bookmarkEnd w:id="214"/>
      <w:bookmarkEnd w:id="215"/>
      <w:bookmarkEnd w:id="216"/>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943600" cy="2057400"/>
            <wp:effectExtent l="0" t="0" r="0" b="0"/>
            <wp:docPr id="2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a:ln>
                      <a:noFill/>
                    </a:ln>
                  </pic:spPr>
                </pic:pic>
              </a:graphicData>
            </a:graphic>
          </wp:inline>
        </w:drawing>
      </w:r>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943600" cy="2057400"/>
            <wp:effectExtent l="0" t="0" r="0" b="0"/>
            <wp:docPr id="2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a:ln>
                      <a:noFill/>
                    </a:ln>
                  </pic:spPr>
                </pic:pic>
              </a:graphicData>
            </a:graphic>
          </wp:inline>
        </w:drawing>
      </w:r>
    </w:p>
    <w:p w:rsidR="008327B2" w:rsidRPr="001A01AB" w:rsidRDefault="00836259" w:rsidP="008327B2">
      <w:pPr>
        <w:autoSpaceDE w:val="0"/>
        <w:autoSpaceDN w:val="0"/>
        <w:adjustRightInd w:val="0"/>
        <w:ind w:right="90"/>
        <w:jc w:val="right"/>
        <w:rPr>
          <w:rFonts w:ascii="Calibri" w:hAnsi="Calibri" w:cs="Calibri"/>
          <w:sz w:val="20"/>
          <w:lang w:val="es-GT"/>
        </w:rPr>
      </w:pPr>
      <w:r>
        <w:rPr>
          <w:rFonts w:ascii="Calibri" w:hAnsi="Calibri" w:cs="Calibri"/>
          <w:sz w:val="20"/>
          <w:lang w:val="es-GT"/>
        </w:rPr>
        <w:t>Fuente: INAB, CONAP, UVG y URL (</w:t>
      </w:r>
      <w:r w:rsidR="008327B2" w:rsidRPr="001A01AB">
        <w:rPr>
          <w:rFonts w:ascii="Calibri" w:hAnsi="Calibri" w:cs="Calibri"/>
          <w:sz w:val="20"/>
          <w:lang w:val="es-GT"/>
        </w:rPr>
        <w:t>2012</w:t>
      </w:r>
      <w:r>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análisis de la dinámica de la cobertura forestal durante el periodo 2006-2010 muestra que los departamentos con mayores pérdidas de cobertura (cambio neto) son, en su orden: Petén, Izabal, Chiquimula, Baja Verapaz y Guatemala.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Petén significó un 35% de la pérdida bruta de cobertura durante dicho periodo. Los departamentos que han obtenido ganancia de cobertura son: Huehuetenango, Quiché, Escuintla, Alta Verapaz y Suchitepéquez.</w:t>
      </w:r>
      <w:r w:rsidR="00141A70">
        <w:rPr>
          <w:rFonts w:ascii="Calibri" w:hAnsi="Calibri" w:cs="Calibri"/>
          <w:lang w:val="es-GT"/>
        </w:rPr>
        <w:t xml:space="preserve"> </w:t>
      </w:r>
      <w:r w:rsidRPr="001A01AB">
        <w:rPr>
          <w:rFonts w:ascii="Calibri" w:hAnsi="Calibri" w:cs="Calibri"/>
          <w:lang w:val="es-GT"/>
        </w:rPr>
        <w:t xml:space="preserve">El Cuadro </w:t>
      </w:r>
      <w:r w:rsidR="00F60963">
        <w:rPr>
          <w:rFonts w:ascii="Calibri" w:hAnsi="Calibri" w:cs="Calibri"/>
          <w:lang w:val="es-GT"/>
        </w:rPr>
        <w:t>14</w:t>
      </w:r>
      <w:r w:rsidRPr="001A01AB">
        <w:rPr>
          <w:rFonts w:ascii="Calibri" w:hAnsi="Calibri" w:cs="Calibri"/>
          <w:lang w:val="es-GT"/>
        </w:rPr>
        <w:t xml:space="preserve"> muestra </w:t>
      </w:r>
      <w:r w:rsidR="00836259">
        <w:rPr>
          <w:rFonts w:ascii="Calibri" w:hAnsi="Calibri" w:cs="Calibri"/>
          <w:lang w:val="es-GT"/>
        </w:rPr>
        <w:t>las cifras de la pé</w:t>
      </w:r>
      <w:r w:rsidRPr="001A01AB">
        <w:rPr>
          <w:rFonts w:ascii="Calibri" w:hAnsi="Calibri" w:cs="Calibri"/>
          <w:lang w:val="es-GT"/>
        </w:rPr>
        <w:t>rdida bruta de cobertura forestal en los 22 departamentos.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sectPr w:rsidR="008327B2" w:rsidRPr="001A01AB" w:rsidSect="008327B2">
          <w:pgSz w:w="12240" w:h="15840"/>
          <w:pgMar w:top="1440" w:right="1080" w:bottom="1440" w:left="1800" w:header="720" w:footer="720" w:gutter="0"/>
          <w:cols w:space="720"/>
          <w:docGrid w:linePitch="360"/>
        </w:sectPr>
      </w:pPr>
    </w:p>
    <w:p w:rsidR="00216872" w:rsidRPr="00216872" w:rsidRDefault="00C54ACC" w:rsidP="000D70BF">
      <w:pPr>
        <w:pStyle w:val="Epgrafe"/>
        <w:jc w:val="center"/>
        <w:rPr>
          <w:lang w:val="es-GT"/>
        </w:rPr>
      </w:pPr>
      <w:bookmarkStart w:id="217" w:name="_Toc340004968"/>
      <w:bookmarkStart w:id="218" w:name="_Toc340032158"/>
      <w:bookmarkStart w:id="219" w:name="_Toc340034435"/>
      <w:bookmarkStart w:id="220" w:name="_Toc343164642"/>
      <w:bookmarkStart w:id="221" w:name="_Toc347841196"/>
      <w:r w:rsidRPr="00216872">
        <w:rPr>
          <w:rFonts w:asciiTheme="minorHAnsi" w:hAnsiTheme="minorHAnsi" w:cstheme="minorHAnsi"/>
          <w:color w:val="365F91" w:themeColor="accent1" w:themeShade="BF"/>
          <w:sz w:val="22"/>
          <w:szCs w:val="22"/>
          <w:lang w:val="es-GT"/>
        </w:rPr>
        <w:lastRenderedPageBreak/>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14</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Dinámica de la cobertura forestal (2006-2010) por departamento</w:t>
      </w:r>
      <w:bookmarkEnd w:id="217"/>
      <w:bookmarkEnd w:id="218"/>
      <w:bookmarkEnd w:id="219"/>
      <w:bookmarkEnd w:id="220"/>
      <w:bookmarkEnd w:id="221"/>
    </w:p>
    <w:p w:rsidR="008327B2" w:rsidRPr="001A01AB" w:rsidRDefault="00544A9F" w:rsidP="008327B2">
      <w:pPr>
        <w:autoSpaceDE w:val="0"/>
        <w:autoSpaceDN w:val="0"/>
        <w:adjustRightInd w:val="0"/>
        <w:jc w:val="both"/>
        <w:rPr>
          <w:rFonts w:ascii="Calibri" w:hAnsi="Calibri" w:cs="Calibri"/>
          <w:lang w:val="es-GT"/>
        </w:rPr>
      </w:pPr>
      <w:r>
        <w:rPr>
          <w:rFonts w:ascii="Calibri" w:hAnsi="Calibri" w:cs="Calibri"/>
          <w:noProof/>
          <w:lang w:val="es-GT" w:eastAsia="es-GT"/>
        </w:rPr>
        <w:drawing>
          <wp:inline distT="0" distB="0" distL="0" distR="0">
            <wp:extent cx="8229600" cy="5514975"/>
            <wp:effectExtent l="0" t="0" r="0" b="9525"/>
            <wp:docPr id="22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15"/>
                    <pic:cNvPicPr>
                      <a:picLocks noChangeAspect="1" noChangeArrowheads="1"/>
                    </pic:cNvPicPr>
                  </pic:nvPicPr>
                  <pic:blipFill>
                    <a:blip r:embed="rId63" cstate="print">
                      <a:duotone>
                        <a:schemeClr val="accent1">
                          <a:shade val="45000"/>
                          <a:satMod val="135000"/>
                        </a:schemeClr>
                        <a:prstClr val="white"/>
                      </a:duotone>
                    </a:blip>
                    <a:srcRect l="5195" t="13992" r="4123" b="9547"/>
                    <a:stretch>
                      <a:fillRect/>
                    </a:stretch>
                  </pic:blipFill>
                  <pic:spPr bwMode="auto">
                    <a:xfrm>
                      <a:off x="0" y="0"/>
                      <a:ext cx="8229600" cy="5514975"/>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right="90"/>
        <w:jc w:val="right"/>
        <w:rPr>
          <w:rFonts w:ascii="Calibri" w:hAnsi="Calibri" w:cs="Calibri"/>
          <w:lang w:val="es-GT"/>
        </w:rPr>
      </w:pPr>
      <w:r w:rsidRPr="001A01AB">
        <w:rPr>
          <w:rFonts w:ascii="Calibri" w:hAnsi="Calibri" w:cs="Calibri"/>
          <w:sz w:val="20"/>
          <w:lang w:val="es-GT"/>
        </w:rPr>
        <w:t xml:space="preserve">Fuente: </w:t>
      </w:r>
      <w:r w:rsidR="00836259">
        <w:rPr>
          <w:rFonts w:ascii="Calibri" w:hAnsi="Calibri" w:cs="Calibri"/>
          <w:sz w:val="20"/>
          <w:lang w:val="es-GT"/>
        </w:rPr>
        <w:t>IARNA-URL</w:t>
      </w:r>
      <w:r w:rsidRPr="001A01AB">
        <w:rPr>
          <w:rFonts w:ascii="Calibri" w:hAnsi="Calibri" w:cs="Calibri"/>
          <w:sz w:val="20"/>
          <w:lang w:val="es-GT"/>
        </w:rPr>
        <w:t xml:space="preserve"> </w:t>
      </w:r>
      <w:r w:rsidR="00836259">
        <w:rPr>
          <w:rFonts w:ascii="Calibri" w:hAnsi="Calibri" w:cs="Calibri"/>
          <w:sz w:val="20"/>
          <w:lang w:val="es-GT"/>
        </w:rPr>
        <w:t>(</w:t>
      </w:r>
      <w:r w:rsidRPr="001A01AB">
        <w:rPr>
          <w:rFonts w:ascii="Calibri" w:hAnsi="Calibri" w:cs="Calibri"/>
          <w:sz w:val="20"/>
          <w:lang w:val="es-GT"/>
        </w:rPr>
        <w:t>2012).</w:t>
      </w:r>
      <w:r w:rsidR="00141A70">
        <w:rPr>
          <w:rFonts w:ascii="Calibri" w:hAnsi="Calibri" w:cs="Calibri"/>
          <w:sz w:val="20"/>
          <w:lang w:val="es-GT"/>
        </w:rPr>
        <w:t xml:space="preserve"> </w:t>
      </w:r>
    </w:p>
    <w:p w:rsidR="008327B2" w:rsidRPr="001A01AB" w:rsidRDefault="008327B2" w:rsidP="008327B2">
      <w:pPr>
        <w:autoSpaceDE w:val="0"/>
        <w:autoSpaceDN w:val="0"/>
        <w:adjustRightInd w:val="0"/>
        <w:jc w:val="both"/>
        <w:rPr>
          <w:rFonts w:ascii="Calibri" w:hAnsi="Calibri" w:cs="Calibri"/>
          <w:lang w:val="es-GT"/>
        </w:rPr>
        <w:sectPr w:rsidR="008327B2" w:rsidRPr="001A01AB" w:rsidSect="008327B2">
          <w:pgSz w:w="15840" w:h="12240" w:orient="landscape"/>
          <w:pgMar w:top="1800" w:right="1440" w:bottom="1080" w:left="1440" w:header="720" w:footer="720" w:gutter="0"/>
          <w:cols w:space="720"/>
          <w:docGrid w:linePitch="360"/>
        </w:sect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lastRenderedPageBreak/>
        <w:t>La ganancia bruta anual de la cobertura forestal obtenida en el periodo 2001-2006 se incrementó significativamente si se compara con el periodo anterior (1991-2001), pues pasó de 19,987 a 53,768 ha anuales. Esta tendencia se mantuvo para el periodo 2006-2010, en el cual s</w:t>
      </w:r>
      <w:r w:rsidR="000A628C">
        <w:rPr>
          <w:rFonts w:ascii="Calibri" w:hAnsi="Calibri" w:cs="Calibri"/>
          <w:lang w:val="es-GT"/>
        </w:rPr>
        <w:t>e registró una ganancia anual de</w:t>
      </w:r>
      <w:r w:rsidRPr="001A01AB">
        <w:rPr>
          <w:rFonts w:ascii="Calibri" w:hAnsi="Calibri" w:cs="Calibri"/>
          <w:lang w:val="es-GT"/>
        </w:rPr>
        <w:t xml:space="preserve"> cobertura forestal equivalente a 93,541 ha.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Estas cifras plantean la siguiente interrogante: ¿La ganancia bruta en tasa de cobertura es una tendencia permanente de la dinámica forestal de Guatemala generada a partir de las políticas públicas, o es una situación que obedece a causas específicas, temporales y al margen de dichas políticas, por lo que no implica una tendencia? Para responder a esta inquietud se debe explorar si este tema está incluido en un plan de país para frenar la deforestación. Dado que la respuesta a esta situación no está documentada en los estudios de dinámica de la cobertura forestal, habrá que recurrir a otras fuentes para conocer algunas dinámicas específicas y hechos que puedan dar una pauta.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En el periodo 1998-2010, las plantaciones incentivadas por el INAB registraron un crecimiento promedio de 7,520 ha por </w:t>
      </w:r>
      <w:r w:rsidRPr="00F175E4">
        <w:rPr>
          <w:rFonts w:ascii="Calibri" w:hAnsi="Calibri" w:cs="Calibri"/>
          <w:lang w:val="es-GT"/>
        </w:rPr>
        <w:t>año (INAB,s.f.). Este</w:t>
      </w:r>
      <w:r w:rsidRPr="001A01AB">
        <w:rPr>
          <w:rFonts w:ascii="Calibri" w:hAnsi="Calibri" w:cs="Calibri"/>
          <w:lang w:val="es-GT"/>
        </w:rPr>
        <w:t xml:space="preserve"> es el resultado de una política pública de largo plazo, que se supone, se mantendrá en el futuro y creará una tendencia positiva en la cobertura forestal del país.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Uno de los cultivos que aporta a la cobertura forestal de Guatemala es el hule, cuya tendencia de expansión es de aproximadamente 1,200 ha anuales. Para el año 2005, el </w:t>
      </w:r>
      <w:r w:rsidRPr="00F175E4">
        <w:rPr>
          <w:rFonts w:ascii="Calibri" w:hAnsi="Calibri" w:cs="Calibri"/>
          <w:lang w:val="es-GT"/>
        </w:rPr>
        <w:t>MAGA (2006)</w:t>
      </w:r>
      <w:r w:rsidRPr="001A01AB">
        <w:rPr>
          <w:rFonts w:ascii="Calibri" w:hAnsi="Calibri" w:cs="Calibri"/>
          <w:lang w:val="es-GT"/>
        </w:rPr>
        <w:t xml:space="preserve"> identificó que en el país existían 61,020 ha cubiertas por este cultivo. Para el año 2009, la Gremial de Huleros (</w:t>
      </w:r>
      <w:r w:rsidRPr="00F175E4">
        <w:rPr>
          <w:rFonts w:ascii="Calibri" w:hAnsi="Calibri" w:cs="Calibri"/>
          <w:lang w:val="es-GT"/>
        </w:rPr>
        <w:t>Gremial de Huleros de Guatemala, 2 mayo, 2011)</w:t>
      </w:r>
      <w:r w:rsidRPr="001A01AB">
        <w:rPr>
          <w:rFonts w:ascii="Calibri" w:hAnsi="Calibri" w:cs="Calibri"/>
          <w:lang w:val="es-GT"/>
        </w:rPr>
        <w:t xml:space="preserve"> reportó 67,000 ha de hule en el país.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Siendo estas las dos únicas fuentes de incremento de masa forestal con información sólida que indica un crecimiento sostenido, se estiman unas 8,200 ha de reforestación/año. Por lo anterior, se infiere que el mayor porcentaje de los </w:t>
      </w:r>
      <w:r w:rsidR="005E3809">
        <w:rPr>
          <w:rFonts w:ascii="Calibri" w:hAnsi="Calibri" w:cs="Calibri"/>
          <w:lang w:val="es-GT"/>
        </w:rPr>
        <w:t>aumentos</w:t>
      </w:r>
      <w:r w:rsidRPr="001A01AB">
        <w:rPr>
          <w:rFonts w:ascii="Calibri" w:hAnsi="Calibri" w:cs="Calibri"/>
          <w:lang w:val="es-GT"/>
        </w:rPr>
        <w:t xml:space="preserve"> en la cobertura forestal corresponde a la regeneración natural. Desafortunadamente, este no es un fenómeno dirigido ni controlado por institución o política alguna.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Los departamentos con regeneración natural a gran escala no reportan programas de apoyo a esta actividad, entonces ¿cuáles son las condiciones que generan esta regeneración? Para interpretar la dinámica de ganancias por regeneración de bosques naturales en los periodos 1991/93-2001 y 2001-2006, se muestra un estudio de caso en el municipio de San Mateo Ixtatán, Huehuetenango, donde se reportan pérdidas y ganancias significativas.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En esta área, los bosques han permanecido relativamente estables debido a la organización comunitaria que los protege (</w:t>
      </w:r>
      <w:r w:rsidRPr="00F175E4">
        <w:rPr>
          <w:rFonts w:ascii="Calibri" w:hAnsi="Calibri" w:cs="Calibri"/>
          <w:lang w:val="es-GT"/>
        </w:rPr>
        <w:t>Elías, 1994). Sin embargo, los incendios forestales de 1997, 1998 y 1999 destruyeron una proporción significativa de los bosques, lo que provocó una disminución de la cobertura, detectada en el mapa del 2001 con 4,939 ha. Para el periodo 2001-2006 se observó una ganancia de 2,021 ha de bosques, la mayoría en áreas donde habían ocurrido los incendios forestales durante el periodo anterior (G. Pérez, comunicación personal, 12 mayo, 2011).</w:t>
      </w:r>
      <w:r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lastRenderedPageBreak/>
        <w:t xml:space="preserve">Esta situación también se registró en otras áreas como el Parque Nacional Sierra del Lacandón, en el municipio de La Libertad, Petén. Del análisis anterior se deduce que el papel de los incendios forestales durante el periodo 1997-1999 fue importante en el incremento de la pérdida detectada en el 2001. Al mismo tiempo, la capacidad de regeneración de esas áreas produjo un aumento en la cobertura forestal </w:t>
      </w:r>
      <w:r w:rsidR="005E3809">
        <w:rPr>
          <w:rFonts w:ascii="Calibri" w:hAnsi="Calibri" w:cs="Calibri"/>
          <w:lang w:val="es-GT"/>
        </w:rPr>
        <w:t>detectada</w:t>
      </w:r>
      <w:r w:rsidRPr="001A01AB">
        <w:rPr>
          <w:rFonts w:ascii="Calibri" w:hAnsi="Calibri" w:cs="Calibri"/>
          <w:lang w:val="es-GT"/>
        </w:rPr>
        <w:t xml:space="preserve"> en el mapa del 2006. Esta dinámica es coyuntural, y no tiene capacidad de sostenerse en el tiempo por ser un evento catastrófico singular.</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mayoría de factores subyacentes de la dinámica forestal que generan ganancias son desconocidos, por lo que no se puede asegurar la capacidad de mantener ese ritmo en el largo plazo. Se infiere que de las 93,541 ha anuales de bosques recuperados durante el periodo 2006-2010, únicamente 8,200 ha anuales tienen un soporte para mantener la tendencia favorable. El resto de ganancias ocurrieron por eventos no planificados, sin control, sin monitoreo y sin predicción. La ganancia, al parecer, depende más de los factores de la naturaleza que de factores relacionados con la política forestal.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deforestación neta promedio anual se es</w:t>
      </w:r>
      <w:r w:rsidRPr="00F175E4">
        <w:rPr>
          <w:rFonts w:ascii="Calibri" w:hAnsi="Calibri" w:cs="Calibri"/>
          <w:lang w:val="es-GT"/>
        </w:rPr>
        <w:t>timó en 48,084 ha para el periodo 2001-2006 (UVG, INAB, CONAP, URL, 2011) y 38,597 ha para</w:t>
      </w:r>
      <w:r w:rsidRPr="001A01AB">
        <w:rPr>
          <w:rFonts w:ascii="Calibri" w:hAnsi="Calibri" w:cs="Calibri"/>
          <w:lang w:val="es-GT"/>
        </w:rPr>
        <w:t xml:space="preserve"> el periodo 2006-2010 (INAB, CONAP, UVG y URL, 2012). Esto es un indicador de los impactos que el cambio de uso de la tierra tiene sobre los recursos forestales. La superficie de poco más de un millón de hectáreas de bosque que se han deforestado en los últimos 20 años, difícilmente van a recuperarse de continuar con los niveles actuales de reforestación.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En un escenario alcanzable, dadas las actuales capacidades sectoriales, en donde se logra evitar un 10% de la deforestación anual acumulada, y se cumple con la meta de reforestar anualmente 10,000 </w:t>
      </w:r>
      <w:r w:rsidRPr="00F175E4">
        <w:rPr>
          <w:rFonts w:ascii="Calibri" w:hAnsi="Calibri" w:cs="Calibri"/>
          <w:lang w:val="es-GT"/>
        </w:rPr>
        <w:t>ha (BANGUAT y IARNA-URL, 2009b), se</w:t>
      </w:r>
      <w:r w:rsidRPr="001A01AB">
        <w:rPr>
          <w:rFonts w:ascii="Calibri" w:hAnsi="Calibri" w:cs="Calibri"/>
          <w:lang w:val="es-GT"/>
        </w:rPr>
        <w:t xml:space="preserve"> espera estabilizar la cobertura forestal en un 35% para el año 2030.</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De hecho, las 7,520 ha que en la actualidad se reforestan anualmente representan un esfuerzo significativo emprendido por las entidades gubernamentales a través de los programas de incentivos forestales. Sin embargo, este ritmo de reforestación se encuentra, en el mejor de los casos, estancado. La aprobación de la denominada Ley del PINPEP (Decreto 51-2010), abre nuevas posibilidades de involucrar a los poseedores de tierras de pequeñas extensiones en este proceso, lo cual incrementa las oportunidades de incorporar áreas deforestadas a los procesos de restauración forestal.</w:t>
      </w:r>
    </w:p>
    <w:p w:rsidR="008327B2" w:rsidRPr="001A01AB" w:rsidRDefault="008327B2" w:rsidP="008327B2">
      <w:pPr>
        <w:autoSpaceDE w:val="0"/>
        <w:autoSpaceDN w:val="0"/>
        <w:adjustRightInd w:val="0"/>
        <w:jc w:val="both"/>
        <w:rPr>
          <w:rFonts w:ascii="Calibri" w:hAnsi="Calibri" w:cs="Calibri"/>
          <w:lang w:val="es-GT"/>
        </w:rPr>
      </w:pPr>
    </w:p>
    <w:p w:rsidR="008327B2"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PINPEP también se visualiza como un instrumento adecuado para atender las actuales y futuras demandas de leña a nivel nacional, siempre y cuando los objetivos del programa se orienten hacia dicho propósito. Promover el establecimiento de bosques energéticos para satisfacer los requerimientos de leña del 95.3% de la población rural, debería considerarse como una alternativa innovadora para atender este tema, invisible en las políticas públicas sectoriales.</w:t>
      </w:r>
    </w:p>
    <w:p w:rsidR="0017736D" w:rsidRPr="001A01AB" w:rsidRDefault="0017736D"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lastRenderedPageBreak/>
        <w:t>1.1.2.</w:t>
      </w:r>
      <w:r w:rsidRPr="001A01AB">
        <w:rPr>
          <w:rFonts w:ascii="Calibri" w:hAnsi="Calibri" w:cs="Calibri"/>
          <w:b/>
          <w:color w:val="365F91"/>
          <w:lang w:val="es-GT"/>
        </w:rPr>
        <w:tab/>
        <w:t>Indicador: F</w:t>
      </w:r>
      <w:r w:rsidR="00B05314" w:rsidRPr="001A01AB">
        <w:rPr>
          <w:rFonts w:ascii="Calibri" w:hAnsi="Calibri" w:cs="Calibri"/>
          <w:b/>
          <w:color w:val="365F91"/>
          <w:lang w:val="es-GT"/>
        </w:rPr>
        <w:t>rentes de deforestación</w:t>
      </w:r>
    </w:p>
    <w:p w:rsidR="008327B2" w:rsidRPr="001A01AB" w:rsidRDefault="008327B2" w:rsidP="008327B2">
      <w:pPr>
        <w:autoSpaceDE w:val="0"/>
        <w:autoSpaceDN w:val="0"/>
        <w:adjustRightInd w:val="0"/>
        <w:jc w:val="both"/>
        <w:rPr>
          <w:rFonts w:ascii="Calibri" w:hAnsi="Calibri" w:cs="Calibri"/>
          <w:b/>
          <w:lang w:val="es-GT"/>
        </w:rPr>
      </w:pPr>
    </w:p>
    <w:p w:rsidR="008327B2"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análisis multi-temporal (1991-2010) de la cobertura forestal muestra que un 42% del total de la deforestación del país ocurre en cinco “frentes de deforestación”</w:t>
      </w:r>
      <w:r w:rsidR="00B05314">
        <w:rPr>
          <w:rFonts w:ascii="Calibri" w:hAnsi="Calibri" w:cs="Calibri"/>
          <w:lang w:val="es-GT"/>
        </w:rPr>
        <w:t xml:space="preserve"> (Figura 28)</w:t>
      </w:r>
      <w:r w:rsidRPr="001A01AB">
        <w:rPr>
          <w:rFonts w:ascii="Calibri" w:hAnsi="Calibri" w:cs="Calibri"/>
          <w:lang w:val="es-GT"/>
        </w:rPr>
        <w:t>. Cuatro de ellos se localizan en el departamento de Petén: a) Frente Petén Sur-La Libertad-Montañas Mayas, b) Frente Santa Ana-Tikal-Yaxhá, c) Frente Melchor de Mencos y d) frente La Palotada.</w:t>
      </w:r>
      <w:r w:rsidR="00B05314">
        <w:rPr>
          <w:rFonts w:ascii="Calibri" w:hAnsi="Calibri" w:cs="Calibri"/>
          <w:lang w:val="es-GT"/>
        </w:rPr>
        <w:t xml:space="preserve"> </w:t>
      </w:r>
      <w:r w:rsidRPr="001A01AB">
        <w:rPr>
          <w:rFonts w:ascii="Calibri" w:hAnsi="Calibri" w:cs="Calibri"/>
          <w:lang w:val="es-GT"/>
        </w:rPr>
        <w:t>El quinto se ubica en el departamento de Izabal (frente Manabique).</w:t>
      </w:r>
    </w:p>
    <w:p w:rsidR="00B05314" w:rsidRPr="001A01AB" w:rsidRDefault="00B05314"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58% de la deforestación restante ocurre en 110 “focos de deforestación” relativamente pequeños (entre 26 y 200 km</w:t>
      </w:r>
      <w:r w:rsidRPr="00B05314">
        <w:rPr>
          <w:rFonts w:ascii="Calibri" w:hAnsi="Calibri" w:cs="Calibri"/>
          <w:vertAlign w:val="superscript"/>
          <w:lang w:val="es-GT"/>
        </w:rPr>
        <w:t>2</w:t>
      </w:r>
      <w:r w:rsidRPr="001A01AB">
        <w:rPr>
          <w:rFonts w:ascii="Calibri" w:hAnsi="Calibri" w:cs="Calibri"/>
          <w:lang w:val="es-GT"/>
        </w:rPr>
        <w:t>), distribuidos en el centro, nor-oriente, nor-occidente y sur del país, mismos que afectan los remanentes de bosque de pino-encino y algunos bosques latifoliados.</w:t>
      </w: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222" w:name="_Toc340005081"/>
      <w:bookmarkStart w:id="223" w:name="_Toc340034496"/>
      <w:bookmarkStart w:id="224" w:name="_Toc343098410"/>
      <w:bookmarkStart w:id="225" w:name="_Toc343098518"/>
      <w:bookmarkStart w:id="226" w:name="_Toc347841251"/>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28</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Frentes</w:t>
      </w:r>
      <w:r w:rsidR="00B05314" w:rsidRPr="00224B57">
        <w:rPr>
          <w:rFonts w:ascii="Calibri" w:eastAsia="Calibri" w:hAnsi="Calibri" w:cs="Calibri"/>
          <w:b/>
          <w:color w:val="365F91"/>
          <w:sz w:val="22"/>
          <w:szCs w:val="22"/>
          <w:lang w:val="es-GT"/>
        </w:rPr>
        <w:t xml:space="preserve"> de deforestación en Guatemala. Periodo </w:t>
      </w:r>
      <w:r w:rsidRPr="00224B57">
        <w:rPr>
          <w:rFonts w:ascii="Calibri" w:eastAsia="Calibri" w:hAnsi="Calibri" w:cs="Calibri"/>
          <w:b/>
          <w:color w:val="365F91"/>
          <w:sz w:val="22"/>
          <w:szCs w:val="22"/>
          <w:lang w:val="es-GT"/>
        </w:rPr>
        <w:t>1991-2010</w:t>
      </w:r>
      <w:bookmarkEnd w:id="222"/>
      <w:bookmarkEnd w:id="223"/>
      <w:bookmarkEnd w:id="224"/>
      <w:bookmarkEnd w:id="225"/>
      <w:bookmarkEnd w:id="226"/>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943600" cy="3181350"/>
            <wp:effectExtent l="0" t="0" r="0" b="0"/>
            <wp:docPr id="2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181350"/>
                    </a:xfrm>
                    <a:prstGeom prst="rect">
                      <a:avLst/>
                    </a:prstGeom>
                    <a:noFill/>
                    <a:ln>
                      <a:noFill/>
                    </a:ln>
                  </pic:spPr>
                </pic:pic>
              </a:graphicData>
            </a:graphic>
          </wp:inline>
        </w:drawing>
      </w:r>
    </w:p>
    <w:p w:rsidR="008327B2" w:rsidRPr="001A01AB" w:rsidRDefault="00B05314" w:rsidP="008327B2">
      <w:pPr>
        <w:autoSpaceDE w:val="0"/>
        <w:autoSpaceDN w:val="0"/>
        <w:adjustRightInd w:val="0"/>
        <w:ind w:right="270"/>
        <w:jc w:val="right"/>
        <w:rPr>
          <w:rFonts w:ascii="Calibri" w:hAnsi="Calibri" w:cs="Calibri"/>
          <w:sz w:val="20"/>
          <w:lang w:val="es-GT"/>
        </w:rPr>
      </w:pPr>
      <w:r>
        <w:rPr>
          <w:rFonts w:ascii="Calibri" w:hAnsi="Calibri" w:cs="Calibri"/>
          <w:sz w:val="20"/>
          <w:lang w:val="es-GT"/>
        </w:rPr>
        <w:t>Fuente: IARNA-URL (</w:t>
      </w:r>
      <w:r w:rsidR="008327B2" w:rsidRPr="001A01AB">
        <w:rPr>
          <w:rFonts w:ascii="Calibri" w:hAnsi="Calibri" w:cs="Calibri"/>
          <w:sz w:val="20"/>
          <w:lang w:val="es-GT"/>
        </w:rPr>
        <w:t>2011</w:t>
      </w:r>
      <w:r>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F175E4">
        <w:rPr>
          <w:rFonts w:ascii="Calibri" w:hAnsi="Calibri" w:cs="Calibri"/>
          <w:lang w:val="es-GT"/>
        </w:rPr>
        <w:t>Según UVG, INAB, CONAP y URL (2011) la</w:t>
      </w:r>
      <w:r w:rsidRPr="001A01AB">
        <w:rPr>
          <w:rFonts w:ascii="Calibri" w:hAnsi="Calibri" w:cs="Calibri"/>
          <w:lang w:val="es-GT"/>
        </w:rPr>
        <w:t xml:space="preserve"> presión poblacional y la pobreza han dejado de ser la causa principal de deforestación en estos frentes. En los 60´s y 70´s, la mayor presión ejercida sobre los bosques eran las migraciones internas de campesinos pobres en busca de tierra. </w:t>
      </w:r>
      <w:r w:rsidRPr="008E7800">
        <w:rPr>
          <w:rFonts w:ascii="Calibri" w:hAnsi="Calibri" w:cs="Calibri"/>
          <w:lang w:val="es-GT"/>
        </w:rPr>
        <w:t>Gálvez (6 mayo, 2011)</w:t>
      </w:r>
      <w:r w:rsidRPr="001A01AB">
        <w:rPr>
          <w:rFonts w:ascii="Calibri" w:hAnsi="Calibri" w:cs="Calibri"/>
          <w:lang w:val="es-GT"/>
        </w:rPr>
        <w:t xml:space="preserve"> señala que ahora la deforestación es masiva en los frentes, de gran escala, perceptible, y tiene su origen en la sustitución de bosques a causa de la ganadería extensiva; la agricultura de pequeña, mediana y gran escala -esta última vinculada a monocultivos extensivos como la palma africana-; los incendios forestales; los asentamientos humanos producto de la migración rural-rural; la narcoactividad; y las combinaciones entre éstas.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lastRenderedPageBreak/>
        <w:t>En los “focos” la deforestación es atomizada, menos perceptible y tiene su origen en el urbanismo, la recolección de leña, la agricultura en minifundio, la tala en fincas cafetaleras y cañeras, el “madereo” ilegal -en gran medida impulsado por los propietarios de aserraderos-, incendios forestales, plagas y enfermedades, y las combinaciones entre algunas de estas causas.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Además, la deforestación genera un enorme flujo de productos forestales que ocurre, en un 95% del volumen total, al margen del control de las autoridades (</w:t>
      </w:r>
      <w:r w:rsidRPr="008E7800">
        <w:rPr>
          <w:rFonts w:ascii="Calibri" w:hAnsi="Calibri" w:cs="Calibri"/>
          <w:lang w:val="es-GT"/>
        </w:rPr>
        <w:t>Gálvez, 6 mayo, 2011).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1.1.3.</w:t>
      </w:r>
      <w:r w:rsidRPr="001A01AB">
        <w:rPr>
          <w:rFonts w:ascii="Calibri" w:hAnsi="Calibri" w:cs="Calibri"/>
          <w:b/>
          <w:color w:val="365F91"/>
          <w:lang w:val="es-GT"/>
        </w:rPr>
        <w:tab/>
        <w:t>Indicador: D</w:t>
      </w:r>
      <w:r w:rsidR="00B05314" w:rsidRPr="001A01AB">
        <w:rPr>
          <w:rFonts w:ascii="Calibri" w:hAnsi="Calibri" w:cs="Calibri"/>
          <w:b/>
          <w:color w:val="365F91"/>
          <w:lang w:val="es-GT"/>
        </w:rPr>
        <w:t>inámica de los aprovechamientos forestales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Las proyecciones elaboradas con base en la Cuenta Integrada del </w:t>
      </w:r>
      <w:r w:rsidRPr="008E7800">
        <w:rPr>
          <w:rFonts w:ascii="Calibri" w:hAnsi="Calibri" w:cs="Calibri"/>
          <w:lang w:val="es-GT"/>
        </w:rPr>
        <w:t>Bosque (BANGUAT y IARNA-URL, 2009a), muestran que para el 2010, la extracción de madera alcanzó los 33 millones de m</w:t>
      </w:r>
      <w:r w:rsidRPr="008E7800">
        <w:rPr>
          <w:rFonts w:ascii="Calibri" w:hAnsi="Calibri" w:cs="Calibri"/>
          <w:vertAlign w:val="superscript"/>
          <w:lang w:val="es-GT"/>
        </w:rPr>
        <w:t>3</w:t>
      </w:r>
      <w:r w:rsidRPr="008E7800">
        <w:rPr>
          <w:rFonts w:ascii="Calibri" w:hAnsi="Calibri" w:cs="Calibri"/>
          <w:lang w:val="es-GT"/>
        </w:rPr>
        <w:t xml:space="preserve"> de los cuales, el 95% proviene de aprovechamientos forestales ilegales o</w:t>
      </w:r>
      <w:r w:rsidRPr="001A01AB">
        <w:rPr>
          <w:rFonts w:ascii="Calibri" w:hAnsi="Calibri" w:cs="Calibri"/>
          <w:lang w:val="es-GT"/>
        </w:rPr>
        <w:t xml:space="preserve"> no controlados. Del total de madera extraída, 1.4 millones m</w:t>
      </w:r>
      <w:r w:rsidRPr="00B05314">
        <w:rPr>
          <w:rFonts w:ascii="Calibri" w:hAnsi="Calibri" w:cs="Calibri"/>
          <w:vertAlign w:val="superscript"/>
          <w:lang w:val="es-GT"/>
        </w:rPr>
        <w:t>3</w:t>
      </w:r>
      <w:r w:rsidRPr="001A01AB">
        <w:rPr>
          <w:rFonts w:ascii="Calibri" w:hAnsi="Calibri" w:cs="Calibri"/>
          <w:lang w:val="es-GT"/>
        </w:rPr>
        <w:t xml:space="preserve"> correspondieron a aproximadamente 27,575 ha bajo manejo forestal, durante el periodo 2006-2010. Del total del aprovechamiento, un 64% está exento de licencia.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manejo forestal de bosques naturales fuera de áreas protegidas, mediante licencias de aprovechamiento, se ha reducido de 22,060 en 2006 a 7,782 ha en 2010, con un volumen de aprovechamiento que varió de 515,370 a 276,036 m</w:t>
      </w:r>
      <w:r w:rsidRPr="00B05314">
        <w:rPr>
          <w:rFonts w:ascii="Calibri" w:hAnsi="Calibri" w:cs="Calibri"/>
          <w:vertAlign w:val="superscript"/>
          <w:lang w:val="es-GT"/>
        </w:rPr>
        <w:t>3</w:t>
      </w:r>
      <w:r w:rsidRPr="001A01AB">
        <w:rPr>
          <w:rFonts w:ascii="Calibri" w:hAnsi="Calibri" w:cs="Calibri"/>
          <w:lang w:val="es-GT"/>
        </w:rPr>
        <w:t xml:space="preserve">/año, como se muestra en el Cuadro </w:t>
      </w:r>
      <w:r w:rsidR="00653621">
        <w:rPr>
          <w:rFonts w:ascii="Calibri" w:hAnsi="Calibri" w:cs="Calibri"/>
          <w:lang w:val="es-GT"/>
        </w:rPr>
        <w:t>15</w:t>
      </w:r>
      <w:r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Esta disminución podría asumirse como un incremento del aprovechamiento de plantaciones (establecidas con incentivos, de forma obligatoria o voluntaria) y sistemas agroforestales; así como una reducción de la disponibilidad de los bosques remanentes y las dificultades para su manejo; o bien por la facilidad de realizar cosechas al margen de la ley.</w:t>
      </w:r>
    </w:p>
    <w:p w:rsidR="008327B2" w:rsidRPr="001A01AB" w:rsidRDefault="008327B2" w:rsidP="008327B2">
      <w:pPr>
        <w:autoSpaceDE w:val="0"/>
        <w:autoSpaceDN w:val="0"/>
        <w:adjustRightInd w:val="0"/>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227" w:name="_Toc340004969"/>
      <w:bookmarkStart w:id="228" w:name="_Toc340032159"/>
      <w:bookmarkStart w:id="229" w:name="_Toc340034436"/>
      <w:bookmarkStart w:id="230" w:name="_Toc343164643"/>
      <w:bookmarkStart w:id="231" w:name="_Toc347841197"/>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15</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Áreas bajo manejo forestal y volúmenes aprovechados con control de la administración forestal (INAB y CONAP)</w:t>
      </w:r>
      <w:bookmarkEnd w:id="227"/>
      <w:bookmarkEnd w:id="228"/>
      <w:bookmarkEnd w:id="229"/>
      <w:bookmarkEnd w:id="230"/>
      <w:bookmarkEnd w:id="231"/>
    </w:p>
    <w:p w:rsidR="00216872" w:rsidRPr="00216872" w:rsidRDefault="00216872" w:rsidP="00216872">
      <w:pPr>
        <w:rPr>
          <w:lang w:val="es-GT"/>
        </w:rPr>
      </w:pPr>
    </w:p>
    <w:p w:rsidR="008327B2" w:rsidRPr="00120F56" w:rsidRDefault="00544A9F" w:rsidP="008327B2">
      <w:pPr>
        <w:rPr>
          <w:lang w:val="es-GT"/>
        </w:rPr>
      </w:pPr>
      <w:r>
        <w:rPr>
          <w:noProof/>
          <w:lang w:val="es-GT" w:eastAsia="es-GT"/>
        </w:rPr>
        <w:drawing>
          <wp:inline distT="0" distB="0" distL="0" distR="0">
            <wp:extent cx="5943600" cy="2066925"/>
            <wp:effectExtent l="0" t="0" r="0" b="9525"/>
            <wp:docPr id="2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Picture 1"/>
                    <pic:cNvPicPr>
                      <a:picLocks noChangeAspect="1" noChangeArrowheads="1"/>
                    </pic:cNvPicPr>
                  </pic:nvPicPr>
                  <pic:blipFill>
                    <a:blip r:embed="rId65" cstate="print">
                      <a:duotone>
                        <a:schemeClr val="accent1">
                          <a:shade val="45000"/>
                          <a:satMod val="135000"/>
                        </a:schemeClr>
                        <a:prstClr val="white"/>
                      </a:duotone>
                    </a:blip>
                    <a:srcRect l="5195" t="32254" r="4123" b="28419"/>
                    <a:stretch>
                      <a:fillRect/>
                    </a:stretch>
                  </pic:blipFill>
                  <pic:spPr bwMode="auto">
                    <a:xfrm>
                      <a:off x="0" y="0"/>
                      <a:ext cx="5943600" cy="2066925"/>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right="90"/>
        <w:jc w:val="right"/>
        <w:rPr>
          <w:rFonts w:ascii="Calibri" w:hAnsi="Calibri" w:cs="Calibri"/>
          <w:lang w:val="es-GT"/>
        </w:rPr>
      </w:pPr>
      <w:r w:rsidRPr="001A01AB">
        <w:rPr>
          <w:rFonts w:ascii="Calibri" w:hAnsi="Calibri" w:cs="Calibri"/>
          <w:sz w:val="20"/>
          <w:lang w:val="es-GT"/>
        </w:rPr>
        <w:t>Fuente: IARNA-URL</w:t>
      </w:r>
      <w:r w:rsidR="00B05314">
        <w:rPr>
          <w:rFonts w:ascii="Calibri" w:hAnsi="Calibri" w:cs="Calibri"/>
          <w:sz w:val="20"/>
          <w:lang w:val="es-GT"/>
        </w:rPr>
        <w:t xml:space="preserve"> (</w:t>
      </w:r>
      <w:r w:rsidRPr="001A01AB">
        <w:rPr>
          <w:rFonts w:ascii="Calibri" w:hAnsi="Calibri" w:cs="Calibri"/>
          <w:sz w:val="20"/>
          <w:lang w:val="es-GT"/>
        </w:rPr>
        <w:t>2012)</w:t>
      </w:r>
      <w:r w:rsidR="00B05314">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 leña es considerada como un sub-producto de los aprovechamientos forestales que contribuye al deterioro de la cantidad y calidad de los bosques. De allí se desprende la </w:t>
      </w:r>
      <w:r w:rsidRPr="001A01AB">
        <w:rPr>
          <w:rFonts w:ascii="Calibri" w:hAnsi="Calibri" w:cs="Calibri"/>
          <w:lang w:val="es-GT"/>
        </w:rPr>
        <w:lastRenderedPageBreak/>
        <w:t xml:space="preserve">necesidad de conocer la evolución de su consumo para buscar soluciones integrales a las demandas energéticas.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De hecho, la leña representa el 67% de toda la madera extraída de los bosques (IARNA-URL, 2009). El 95.3% de la población rural utiliza leña como recurso energético, estimándose un consumo de 2.7 m</w:t>
      </w:r>
      <w:r w:rsidRPr="00B05314">
        <w:rPr>
          <w:rFonts w:ascii="Calibri" w:hAnsi="Calibri" w:cs="Calibri"/>
          <w:vertAlign w:val="superscript"/>
          <w:lang w:val="es-GT"/>
        </w:rPr>
        <w:t>3</w:t>
      </w:r>
      <w:r w:rsidRPr="001A01AB">
        <w:rPr>
          <w:rFonts w:ascii="Calibri" w:hAnsi="Calibri" w:cs="Calibri"/>
          <w:lang w:val="es-GT"/>
        </w:rPr>
        <w:t>/persona/año. A nivel urbano, el 50% de la población depende de la leña como fuente energética, considerándose el consumo en 1 m</w:t>
      </w:r>
      <w:r w:rsidRPr="00B05314">
        <w:rPr>
          <w:rFonts w:ascii="Calibri" w:hAnsi="Calibri" w:cs="Calibri"/>
          <w:vertAlign w:val="superscript"/>
          <w:lang w:val="es-GT"/>
        </w:rPr>
        <w:t>3</w:t>
      </w:r>
      <w:r w:rsidRPr="001A01AB">
        <w:rPr>
          <w:rFonts w:ascii="Calibri" w:hAnsi="Calibri" w:cs="Calibri"/>
          <w:lang w:val="es-GT"/>
        </w:rPr>
        <w:t>/persona/año. El IARNA-URL atribuye la diferencia del nivel de consumo entre las áreas rurales y urbanas al creciente consumo de gas licuado en las segundas (IARNA-URL,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Las estimaciones realizadas en la Cuenta Integrada del </w:t>
      </w:r>
      <w:r w:rsidRPr="008E7800">
        <w:rPr>
          <w:rFonts w:ascii="Calibri" w:hAnsi="Calibri" w:cs="Calibri"/>
          <w:lang w:val="es-GT"/>
        </w:rPr>
        <w:t>Bosque (BANGUAT y IARNA-URL, 2009a),</w:t>
      </w:r>
      <w:r w:rsidRPr="001A01AB">
        <w:rPr>
          <w:rFonts w:ascii="Calibri" w:hAnsi="Calibri" w:cs="Calibri"/>
          <w:lang w:val="es-GT"/>
        </w:rPr>
        <w:t xml:space="preserve"> revelan que la contribución del sector forestal fue de </w:t>
      </w:r>
      <w:r w:rsidR="004D4D08">
        <w:rPr>
          <w:rFonts w:ascii="Calibri" w:hAnsi="Calibri" w:cs="Calibri"/>
          <w:lang w:val="es-GT"/>
        </w:rPr>
        <w:t>Q</w:t>
      </w:r>
      <w:r w:rsidRPr="001A01AB">
        <w:rPr>
          <w:rFonts w:ascii="Calibri" w:hAnsi="Calibri" w:cs="Calibri"/>
          <w:lang w:val="es-GT"/>
        </w:rPr>
        <w:t>5.9 millardos para el año 2006, lo cual equivale al 2.58% del Producto Interno Bruto de ese mismo año (</w:t>
      </w:r>
      <w:r w:rsidR="004D4D08">
        <w:rPr>
          <w:rFonts w:ascii="Calibri" w:hAnsi="Calibri" w:cs="Calibri"/>
          <w:lang w:val="es-GT"/>
        </w:rPr>
        <w:t>Q</w:t>
      </w:r>
      <w:r w:rsidRPr="001A01AB">
        <w:rPr>
          <w:rFonts w:ascii="Calibri" w:hAnsi="Calibri" w:cs="Calibri"/>
          <w:lang w:val="es-GT"/>
        </w:rPr>
        <w:t xml:space="preserve">229.8 millardos, según el Banco de Guatemala).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Bajo condiciones de un manejo forestal en donde lo extraído sea producto de actividades sostenibles, una cifra de esta magnitud se constituye en un indicador de impacto macro económico importante. Sin embargo, sabiendo que la extracción ilegal de madera representa el 95% de la extracción total de este recurso, el futuro del sector forestal se visualiza insostenible, porque no hay inversión enfocada en recuperar los ecosistemas destruidos. Los efectos de estas tendencias en el largo plazo implican el obligado agotamiento de un recurso que, en teoría, debería ser renovable.</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b/>
          <w:color w:val="365F91"/>
          <w:sz w:val="28"/>
          <w:lang w:val="es-GT"/>
        </w:rPr>
        <w:t>1.2</w:t>
      </w:r>
      <w:r w:rsidRPr="001A01AB">
        <w:rPr>
          <w:rFonts w:ascii="Calibri" w:hAnsi="Calibri" w:cs="Calibri"/>
          <w:b/>
          <w:color w:val="365F91"/>
          <w:sz w:val="28"/>
          <w:lang w:val="es-GT"/>
        </w:rPr>
        <w:tab/>
        <w:t>Criterio de evaluación: R</w:t>
      </w:r>
      <w:r w:rsidR="00B05314">
        <w:rPr>
          <w:rFonts w:ascii="Calibri" w:hAnsi="Calibri" w:cs="Calibri"/>
          <w:b/>
          <w:color w:val="365F91"/>
          <w:sz w:val="28"/>
          <w:lang w:val="es-GT"/>
        </w:rPr>
        <w:t>ecursos hí</w:t>
      </w:r>
      <w:r w:rsidR="00B05314" w:rsidRPr="001A01AB">
        <w:rPr>
          <w:rFonts w:ascii="Calibri" w:hAnsi="Calibri" w:cs="Calibri"/>
          <w:b/>
          <w:color w:val="365F91"/>
          <w:sz w:val="28"/>
          <w:lang w:val="es-GT"/>
        </w:rPr>
        <w:t>dricos</w:t>
      </w:r>
    </w:p>
    <w:p w:rsidR="008327B2" w:rsidRPr="001A01AB" w:rsidRDefault="008327B2" w:rsidP="008327B2">
      <w:pPr>
        <w:tabs>
          <w:tab w:val="left" w:pos="0"/>
        </w:tabs>
        <w:autoSpaceDE w:val="0"/>
        <w:autoSpaceDN w:val="0"/>
        <w:adjustRightInd w:val="0"/>
        <w:jc w:val="both"/>
        <w:rPr>
          <w:rFonts w:ascii="Calibri" w:hAnsi="Calibri" w:cs="Calibri"/>
          <w:lang w:val="es-GT"/>
        </w:rPr>
      </w:pPr>
    </w:p>
    <w:p w:rsidR="008327B2" w:rsidRPr="001A01AB" w:rsidRDefault="008327B2" w:rsidP="008327B2">
      <w:pPr>
        <w:tabs>
          <w:tab w:val="left" w:pos="0"/>
        </w:tabs>
        <w:autoSpaceDE w:val="0"/>
        <w:autoSpaceDN w:val="0"/>
        <w:adjustRightInd w:val="0"/>
        <w:jc w:val="both"/>
        <w:rPr>
          <w:rFonts w:ascii="Calibri" w:hAnsi="Calibri" w:cs="Calibri"/>
          <w:lang w:val="es-GT"/>
        </w:rPr>
      </w:pPr>
      <w:r w:rsidRPr="001A01AB">
        <w:rPr>
          <w:rFonts w:ascii="Calibri" w:hAnsi="Calibri" w:cs="Calibri"/>
          <w:lang w:val="es-GT"/>
        </w:rPr>
        <w:t>El agua juega un papel fundamental en todos los ámbitos de la vida. Por tal razón, la sociedad guatemalteca le ha asignado valores sociales y ambientales de primer orden. Constitucionalmente, a las aguas del país se les ha otorgado el carácter de “bienes de dominio público”, de patrimonio del Estado y de los particulares, y su “aprovechamiento, uso y goce… se otorgan de acuerdo con el interés social”.</w:t>
      </w:r>
    </w:p>
    <w:p w:rsidR="008327B2" w:rsidRPr="001A01AB" w:rsidRDefault="008327B2" w:rsidP="008327B2">
      <w:pPr>
        <w:tabs>
          <w:tab w:val="left" w:pos="0"/>
        </w:tabs>
        <w:autoSpaceDE w:val="0"/>
        <w:autoSpaceDN w:val="0"/>
        <w:adjustRightInd w:val="0"/>
        <w:jc w:val="both"/>
        <w:rPr>
          <w:rFonts w:ascii="Calibri" w:hAnsi="Calibri" w:cs="Calibri"/>
          <w:lang w:val="es-GT"/>
        </w:rPr>
      </w:pPr>
    </w:p>
    <w:p w:rsidR="008327B2" w:rsidRPr="001A01AB" w:rsidRDefault="008327B2" w:rsidP="008327B2">
      <w:pPr>
        <w:tabs>
          <w:tab w:val="left" w:pos="0"/>
        </w:tabs>
        <w:autoSpaceDE w:val="0"/>
        <w:autoSpaceDN w:val="0"/>
        <w:adjustRightInd w:val="0"/>
        <w:jc w:val="both"/>
        <w:rPr>
          <w:rFonts w:ascii="Calibri" w:hAnsi="Calibri" w:cs="Calibri"/>
          <w:lang w:val="es-GT"/>
        </w:rPr>
      </w:pPr>
      <w:r w:rsidRPr="001A01AB">
        <w:rPr>
          <w:rFonts w:ascii="Calibri" w:hAnsi="Calibri" w:cs="Calibri"/>
          <w:lang w:val="es-GT"/>
        </w:rPr>
        <w:t xml:space="preserve">Analistas ambientales advierten que en Guatemala hay agua suficiente, pero pocas capacidades para su gestión </w:t>
      </w:r>
      <w:r w:rsidRPr="008E7800">
        <w:rPr>
          <w:rFonts w:ascii="Calibri" w:hAnsi="Calibri" w:cs="Calibri"/>
          <w:i/>
          <w:iCs/>
          <w:lang w:val="es-GT"/>
        </w:rPr>
        <w:t xml:space="preserve">(Guatemala busca un manejo integral de aguas, </w:t>
      </w:r>
      <w:r w:rsidRPr="008E7800">
        <w:rPr>
          <w:rFonts w:ascii="Calibri" w:hAnsi="Calibri" w:cs="Calibri"/>
          <w:lang w:val="es-GT"/>
        </w:rPr>
        <w:t>2008, julio 21; OAG, marzo, 2011; Gálvez, 2011, marzo 25). Este</w:t>
      </w:r>
      <w:r w:rsidRPr="001A01AB">
        <w:rPr>
          <w:rFonts w:ascii="Calibri" w:hAnsi="Calibri" w:cs="Calibri"/>
          <w:lang w:val="es-GT"/>
        </w:rPr>
        <w:t xml:space="preserve"> argumento está respaldado </w:t>
      </w:r>
      <w:r w:rsidR="00B05314">
        <w:rPr>
          <w:rFonts w:ascii="Calibri" w:hAnsi="Calibri" w:cs="Calibri"/>
          <w:lang w:val="es-GT"/>
        </w:rPr>
        <w:t xml:space="preserve">por </w:t>
      </w:r>
      <w:r w:rsidRPr="001A01AB">
        <w:rPr>
          <w:rFonts w:ascii="Calibri" w:hAnsi="Calibri" w:cs="Calibri"/>
          <w:lang w:val="es-GT"/>
        </w:rPr>
        <w:t>varias premisas:</w:t>
      </w:r>
    </w:p>
    <w:p w:rsidR="008327B2" w:rsidRPr="00B05314" w:rsidRDefault="008327B2" w:rsidP="006B0A31">
      <w:pPr>
        <w:pStyle w:val="Prrafodelista"/>
        <w:numPr>
          <w:ilvl w:val="0"/>
          <w:numId w:val="42"/>
        </w:numPr>
        <w:tabs>
          <w:tab w:val="left" w:pos="0"/>
        </w:tabs>
        <w:autoSpaceDE w:val="0"/>
        <w:autoSpaceDN w:val="0"/>
        <w:adjustRightInd w:val="0"/>
        <w:ind w:left="360"/>
        <w:jc w:val="both"/>
        <w:rPr>
          <w:rFonts w:eastAsia="Times New Roman" w:cs="Calibri"/>
          <w:sz w:val="24"/>
          <w:szCs w:val="24"/>
        </w:rPr>
      </w:pPr>
      <w:r w:rsidRPr="00B05314">
        <w:rPr>
          <w:rFonts w:eastAsia="Times New Roman" w:cs="Calibri"/>
          <w:sz w:val="24"/>
          <w:szCs w:val="24"/>
        </w:rPr>
        <w:t>Las estadísticas, que muestran que en el país los usos consuntivos y no consuntivos representan menos de una cuarta parte de la oferta hídrica disponible.</w:t>
      </w:r>
    </w:p>
    <w:p w:rsidR="008327B2" w:rsidRPr="00B05314" w:rsidRDefault="008327B2" w:rsidP="006B0A31">
      <w:pPr>
        <w:pStyle w:val="Prrafodelista"/>
        <w:numPr>
          <w:ilvl w:val="0"/>
          <w:numId w:val="42"/>
        </w:numPr>
        <w:tabs>
          <w:tab w:val="left" w:pos="0"/>
        </w:tabs>
        <w:autoSpaceDE w:val="0"/>
        <w:autoSpaceDN w:val="0"/>
        <w:adjustRightInd w:val="0"/>
        <w:ind w:left="360"/>
        <w:jc w:val="both"/>
        <w:rPr>
          <w:rFonts w:eastAsia="Times New Roman" w:cs="Calibri"/>
          <w:sz w:val="24"/>
          <w:szCs w:val="24"/>
        </w:rPr>
      </w:pPr>
      <w:r w:rsidRPr="00B05314">
        <w:rPr>
          <w:rFonts w:eastAsia="Times New Roman" w:cs="Calibri"/>
          <w:sz w:val="24"/>
          <w:szCs w:val="24"/>
        </w:rPr>
        <w:t>Los conflictos derivados de la falta de acceso a fuentes seguras de agua potable, principalmente en el área rural, donde el 24.73% de los hogares al año 2011 no posee servicio de agua potable.</w:t>
      </w:r>
    </w:p>
    <w:p w:rsidR="008327B2" w:rsidRPr="00B05314" w:rsidRDefault="008327B2" w:rsidP="006B0A31">
      <w:pPr>
        <w:pStyle w:val="Prrafodelista"/>
        <w:numPr>
          <w:ilvl w:val="0"/>
          <w:numId w:val="42"/>
        </w:numPr>
        <w:tabs>
          <w:tab w:val="left" w:pos="0"/>
        </w:tabs>
        <w:autoSpaceDE w:val="0"/>
        <w:autoSpaceDN w:val="0"/>
        <w:adjustRightInd w:val="0"/>
        <w:ind w:left="360"/>
        <w:jc w:val="both"/>
        <w:rPr>
          <w:rFonts w:eastAsia="Times New Roman" w:cs="Calibri"/>
          <w:sz w:val="24"/>
          <w:szCs w:val="24"/>
        </w:rPr>
      </w:pPr>
      <w:r w:rsidRPr="00B05314">
        <w:rPr>
          <w:rFonts w:eastAsia="Times New Roman" w:cs="Calibri"/>
          <w:sz w:val="24"/>
          <w:szCs w:val="24"/>
        </w:rPr>
        <w:t>Los elevados índices de contaminación del recurso (IARNA-URL, 2009).</w:t>
      </w:r>
    </w:p>
    <w:p w:rsidR="008327B2" w:rsidRDefault="008327B2" w:rsidP="008327B2">
      <w:pPr>
        <w:tabs>
          <w:tab w:val="left" w:pos="0"/>
        </w:tabs>
        <w:autoSpaceDE w:val="0"/>
        <w:autoSpaceDN w:val="0"/>
        <w:adjustRightInd w:val="0"/>
        <w:jc w:val="both"/>
        <w:rPr>
          <w:rFonts w:ascii="Calibri" w:hAnsi="Calibri" w:cs="Calibri"/>
          <w:lang w:val="es-GT"/>
        </w:rPr>
      </w:pPr>
      <w:r w:rsidRPr="001A01AB">
        <w:rPr>
          <w:rFonts w:ascii="Calibri" w:hAnsi="Calibri" w:cs="Calibri"/>
          <w:lang w:val="es-GT"/>
        </w:rPr>
        <w:lastRenderedPageBreak/>
        <w:t xml:space="preserve">En este perfil se analiza la situación del recurso natural </w:t>
      </w:r>
      <w:r w:rsidRPr="001A01AB">
        <w:rPr>
          <w:rFonts w:ascii="Calibri" w:hAnsi="Calibri" w:cs="Calibri"/>
          <w:i/>
          <w:iCs/>
          <w:lang w:val="es-GT"/>
        </w:rPr>
        <w:t xml:space="preserve">agua, </w:t>
      </w:r>
      <w:r w:rsidRPr="001A01AB">
        <w:rPr>
          <w:rFonts w:ascii="Calibri" w:hAnsi="Calibri" w:cs="Calibri"/>
          <w:lang w:val="es-GT"/>
        </w:rPr>
        <w:t xml:space="preserve">desde una perspectiva socio ecológica. Para tal fin, se identificaron y priorizaron indicadores-señal, vinculados al agua para los subsistemas económico, social, natural: </w:t>
      </w:r>
    </w:p>
    <w:p w:rsidR="00B556CF" w:rsidRPr="001A01AB" w:rsidRDefault="00B556CF" w:rsidP="008327B2">
      <w:pPr>
        <w:tabs>
          <w:tab w:val="left" w:pos="0"/>
        </w:tabs>
        <w:autoSpaceDE w:val="0"/>
        <w:autoSpaceDN w:val="0"/>
        <w:adjustRightInd w:val="0"/>
        <w:jc w:val="both"/>
        <w:rPr>
          <w:rFonts w:ascii="Calibri" w:hAnsi="Calibri" w:cs="Calibri"/>
          <w:lang w:val="es-GT"/>
        </w:rPr>
      </w:pPr>
    </w:p>
    <w:p w:rsidR="008327B2" w:rsidRPr="001A01AB" w:rsidRDefault="00B05314" w:rsidP="008327B2">
      <w:pPr>
        <w:tabs>
          <w:tab w:val="left" w:pos="360"/>
        </w:tabs>
        <w:autoSpaceDE w:val="0"/>
        <w:autoSpaceDN w:val="0"/>
        <w:adjustRightInd w:val="0"/>
        <w:ind w:left="360"/>
        <w:jc w:val="both"/>
        <w:rPr>
          <w:rFonts w:ascii="Calibri" w:hAnsi="Calibri" w:cs="Calibri"/>
          <w:lang w:val="es-GT"/>
        </w:rPr>
      </w:pPr>
      <w:r>
        <w:rPr>
          <w:rFonts w:ascii="Calibri" w:hAnsi="Calibri" w:cs="Calibri"/>
          <w:lang w:val="es-GT"/>
        </w:rPr>
        <w:t>a) Agua y cobertura vegetal;</w:t>
      </w:r>
      <w:r w:rsidR="008327B2" w:rsidRPr="001A01AB">
        <w:rPr>
          <w:rFonts w:ascii="Calibri" w:hAnsi="Calibri" w:cs="Calibri"/>
          <w:lang w:val="es-GT"/>
        </w:rPr>
        <w:t xml:space="preserve"> </w:t>
      </w:r>
    </w:p>
    <w:p w:rsidR="008327B2" w:rsidRPr="001A01AB" w:rsidRDefault="00B05314" w:rsidP="008327B2">
      <w:pPr>
        <w:tabs>
          <w:tab w:val="left" w:pos="360"/>
        </w:tabs>
        <w:autoSpaceDE w:val="0"/>
        <w:autoSpaceDN w:val="0"/>
        <w:adjustRightInd w:val="0"/>
        <w:ind w:left="360"/>
        <w:jc w:val="both"/>
        <w:rPr>
          <w:rFonts w:ascii="Calibri" w:hAnsi="Calibri" w:cs="Calibri"/>
          <w:lang w:val="es-GT"/>
        </w:rPr>
      </w:pPr>
      <w:r>
        <w:rPr>
          <w:rFonts w:ascii="Calibri" w:hAnsi="Calibri" w:cs="Calibri"/>
          <w:lang w:val="es-GT"/>
        </w:rPr>
        <w:t>b) B</w:t>
      </w:r>
      <w:r w:rsidR="008327B2" w:rsidRPr="001A01AB">
        <w:rPr>
          <w:rFonts w:ascii="Calibri" w:hAnsi="Calibri" w:cs="Calibri"/>
          <w:lang w:val="es-GT"/>
        </w:rPr>
        <w:t>alan</w:t>
      </w:r>
      <w:r>
        <w:rPr>
          <w:rFonts w:ascii="Calibri" w:hAnsi="Calibri" w:cs="Calibri"/>
          <w:lang w:val="es-GT"/>
        </w:rPr>
        <w:t>ce hídrico nacional;</w:t>
      </w:r>
      <w:r w:rsidR="008327B2" w:rsidRPr="001A01AB">
        <w:rPr>
          <w:rFonts w:ascii="Calibri" w:hAnsi="Calibri" w:cs="Calibri"/>
          <w:lang w:val="es-GT"/>
        </w:rPr>
        <w:t xml:space="preserve"> </w:t>
      </w:r>
    </w:p>
    <w:p w:rsidR="008327B2" w:rsidRPr="001A01AB" w:rsidRDefault="00B05314" w:rsidP="008327B2">
      <w:pPr>
        <w:tabs>
          <w:tab w:val="left" w:pos="360"/>
        </w:tabs>
        <w:autoSpaceDE w:val="0"/>
        <w:autoSpaceDN w:val="0"/>
        <w:adjustRightInd w:val="0"/>
        <w:ind w:left="360"/>
        <w:jc w:val="both"/>
        <w:rPr>
          <w:rFonts w:ascii="Calibri" w:hAnsi="Calibri" w:cs="Calibri"/>
          <w:lang w:val="es-GT"/>
        </w:rPr>
      </w:pPr>
      <w:r>
        <w:rPr>
          <w:rFonts w:ascii="Calibri" w:hAnsi="Calibri" w:cs="Calibri"/>
          <w:lang w:val="es-GT"/>
        </w:rPr>
        <w:t>c) Oferta y utilización del agua, y</w:t>
      </w:r>
    </w:p>
    <w:p w:rsidR="008327B2" w:rsidRPr="001A01AB" w:rsidRDefault="00B05314" w:rsidP="008327B2">
      <w:pPr>
        <w:tabs>
          <w:tab w:val="left" w:pos="360"/>
        </w:tabs>
        <w:autoSpaceDE w:val="0"/>
        <w:autoSpaceDN w:val="0"/>
        <w:adjustRightInd w:val="0"/>
        <w:ind w:left="360"/>
        <w:jc w:val="both"/>
        <w:rPr>
          <w:rFonts w:ascii="Calibri" w:hAnsi="Calibri" w:cs="Calibri"/>
          <w:lang w:val="es-GT"/>
        </w:rPr>
      </w:pPr>
      <w:r>
        <w:rPr>
          <w:rFonts w:ascii="Calibri" w:hAnsi="Calibri" w:cs="Calibri"/>
          <w:lang w:val="es-GT"/>
        </w:rPr>
        <w:t>d) C</w:t>
      </w:r>
      <w:r w:rsidR="008327B2" w:rsidRPr="001A01AB">
        <w:rPr>
          <w:rFonts w:ascii="Calibri" w:hAnsi="Calibri" w:cs="Calibri"/>
          <w:lang w:val="es-GT"/>
        </w:rPr>
        <w:t>ontaminación.</w:t>
      </w:r>
    </w:p>
    <w:p w:rsidR="008327B2" w:rsidRPr="001A01AB" w:rsidRDefault="008327B2" w:rsidP="008327B2">
      <w:pPr>
        <w:tabs>
          <w:tab w:val="left" w:pos="0"/>
        </w:tabs>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1.2.1.</w:t>
      </w:r>
      <w:r w:rsidRPr="001A01AB">
        <w:rPr>
          <w:rFonts w:ascii="Calibri" w:hAnsi="Calibri" w:cs="Calibri"/>
          <w:b/>
          <w:color w:val="365F91"/>
          <w:lang w:val="es-GT"/>
        </w:rPr>
        <w:tab/>
        <w:t>Indicador: A</w:t>
      </w:r>
      <w:r w:rsidR="00B05314" w:rsidRPr="001A01AB">
        <w:rPr>
          <w:rFonts w:ascii="Calibri" w:hAnsi="Calibri" w:cs="Calibri"/>
          <w:b/>
          <w:color w:val="365F91"/>
          <w:lang w:val="es-GT"/>
        </w:rPr>
        <w:t>gua y cobertura vegetal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Las tierras definidas por INAB (2005) como tierras forestales de muy alta, alta y media captación y regulación hidrológica (TFCRH), en su mayoría presentan condiciones severas de pendiente y profundidad efectiva del suelo. Ocupan el 28% de la superficie nacional (poco más de 3 millones de hectáreas), son importantes en la regulación del ciclo hidrológico y su uso es preferentemente forestal, ya que el bosque propicia una mejor infiltración y almacenamiento del agua, y garantiza tasas mínimas de erosión hídrica.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8E7800">
        <w:rPr>
          <w:rFonts w:ascii="Calibri" w:hAnsi="Calibri" w:cs="Calibri"/>
          <w:lang w:val="es-GT"/>
        </w:rPr>
        <w:t>Gordillo (2010) analizó</w:t>
      </w:r>
      <w:r w:rsidRPr="001A01AB">
        <w:rPr>
          <w:rFonts w:ascii="Calibri" w:hAnsi="Calibri" w:cs="Calibri"/>
          <w:lang w:val="es-GT"/>
        </w:rPr>
        <w:t xml:space="preserve"> el uso de la tierra en estas zonas de i</w:t>
      </w:r>
      <w:r w:rsidR="00B05314">
        <w:rPr>
          <w:rFonts w:ascii="Calibri" w:hAnsi="Calibri" w:cs="Calibri"/>
          <w:lang w:val="es-GT"/>
        </w:rPr>
        <w:t>m</w:t>
      </w:r>
      <w:r w:rsidR="00653621">
        <w:rPr>
          <w:rFonts w:ascii="Calibri" w:hAnsi="Calibri" w:cs="Calibri"/>
          <w:lang w:val="es-GT"/>
        </w:rPr>
        <w:t>portancia hidrológica (Cuadro 16</w:t>
      </w:r>
      <w:r w:rsidR="00B05314">
        <w:rPr>
          <w:rFonts w:ascii="Calibri" w:hAnsi="Calibri" w:cs="Calibri"/>
          <w:lang w:val="es-GT"/>
        </w:rPr>
        <w:t>). Los resultados muestran que</w:t>
      </w:r>
      <w:r w:rsidRPr="001A01AB">
        <w:rPr>
          <w:rFonts w:ascii="Calibri" w:hAnsi="Calibri" w:cs="Calibri"/>
          <w:lang w:val="es-GT"/>
        </w:rPr>
        <w:t xml:space="preserve"> para el 2003, el 39.72% de la superficie estaba</w:t>
      </w:r>
      <w:r w:rsidR="00B05314">
        <w:rPr>
          <w:rFonts w:ascii="Calibri" w:hAnsi="Calibri" w:cs="Calibri"/>
          <w:lang w:val="es-GT"/>
        </w:rPr>
        <w:t xml:space="preserve"> cubierta por bosque; el 26.62%</w:t>
      </w:r>
      <w:r w:rsidRPr="001A01AB">
        <w:rPr>
          <w:rFonts w:ascii="Calibri" w:hAnsi="Calibri" w:cs="Calibri"/>
          <w:lang w:val="es-GT"/>
        </w:rPr>
        <w:t xml:space="preserve"> por a</w:t>
      </w:r>
      <w:r w:rsidR="00B05314">
        <w:rPr>
          <w:rFonts w:ascii="Calibri" w:hAnsi="Calibri" w:cs="Calibri"/>
          <w:lang w:val="es-GT"/>
        </w:rPr>
        <w:t>rbustos y matorrales; el 28.70%</w:t>
      </w:r>
      <w:r w:rsidRPr="001A01AB">
        <w:rPr>
          <w:rFonts w:ascii="Calibri" w:hAnsi="Calibri" w:cs="Calibri"/>
          <w:lang w:val="es-GT"/>
        </w:rPr>
        <w:t xml:space="preserve"> por cultivos agrícolas; y el restante 4.96% por otros usos. En todo caso, el 81.17% de dicha área tenía un uso asociado a la cobertura vegetal permanente (bosque, arbustos o cultivos permanentes), lo cual es más ventajoso que el establecimiento de cultivos anuales.</w:t>
      </w:r>
    </w:p>
    <w:p w:rsidR="008327B2" w:rsidRPr="001A01AB" w:rsidRDefault="008327B2" w:rsidP="008327B2">
      <w:pPr>
        <w:autoSpaceDE w:val="0"/>
        <w:autoSpaceDN w:val="0"/>
        <w:adjustRightInd w:val="0"/>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232" w:name="_Toc340004970"/>
      <w:bookmarkStart w:id="233" w:name="_Toc340032160"/>
      <w:bookmarkStart w:id="234" w:name="_Toc340034437"/>
      <w:bookmarkStart w:id="235" w:name="_Toc343164644"/>
      <w:bookmarkStart w:id="236" w:name="_Toc347841198"/>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16</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Uso del suelo en tierras forestales de muy alta, alta y media captación y regulación hidrológica. Año 2003</w:t>
      </w:r>
      <w:bookmarkEnd w:id="232"/>
      <w:bookmarkEnd w:id="233"/>
      <w:bookmarkEnd w:id="234"/>
      <w:bookmarkEnd w:id="235"/>
      <w:bookmarkEnd w:id="236"/>
    </w:p>
    <w:p w:rsidR="00216872" w:rsidRPr="00216872" w:rsidRDefault="00216872" w:rsidP="00216872">
      <w:pPr>
        <w:rPr>
          <w:lang w:val="es-GT"/>
        </w:rPr>
      </w:pPr>
    </w:p>
    <w:p w:rsidR="008327B2" w:rsidRPr="001A01AB" w:rsidRDefault="00544A9F" w:rsidP="008327B2">
      <w:pPr>
        <w:autoSpaceDE w:val="0"/>
        <w:autoSpaceDN w:val="0"/>
        <w:adjustRightInd w:val="0"/>
        <w:jc w:val="both"/>
        <w:rPr>
          <w:rFonts w:ascii="Calibri" w:hAnsi="Calibri" w:cs="Calibri"/>
          <w:noProof/>
          <w:lang w:val="es-GT" w:eastAsia="es-GT"/>
        </w:rPr>
      </w:pPr>
      <w:r>
        <w:rPr>
          <w:rFonts w:ascii="Calibri" w:hAnsi="Calibri" w:cs="Calibri"/>
          <w:noProof/>
          <w:lang w:val="es-GT" w:eastAsia="es-GT"/>
        </w:rPr>
        <w:drawing>
          <wp:inline distT="0" distB="0" distL="0" distR="0">
            <wp:extent cx="5943600" cy="1752600"/>
            <wp:effectExtent l="0" t="0" r="0" b="0"/>
            <wp:docPr id="22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66" cstate="print">
                      <a:duotone>
                        <a:schemeClr val="accent1">
                          <a:shade val="45000"/>
                          <a:satMod val="135000"/>
                        </a:schemeClr>
                        <a:prstClr val="white"/>
                      </a:duotone>
                    </a:blip>
                    <a:srcRect l="5625" t="25781" r="3125" b="40625"/>
                    <a:stretch>
                      <a:fillRect/>
                    </a:stretch>
                  </pic:blipFill>
                  <pic:spPr bwMode="auto">
                    <a:xfrm>
                      <a:off x="0" y="0"/>
                      <a:ext cx="5943600" cy="1752600"/>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left="720" w:right="180"/>
        <w:jc w:val="right"/>
        <w:rPr>
          <w:rFonts w:ascii="Calibri" w:hAnsi="Calibri" w:cs="Calibri"/>
          <w:lang w:val="es-GT"/>
        </w:rPr>
      </w:pPr>
      <w:r w:rsidRPr="001A01AB">
        <w:rPr>
          <w:rFonts w:ascii="Calibri" w:hAnsi="Calibri" w:cs="Calibri"/>
          <w:sz w:val="20"/>
          <w:lang w:val="es-GT"/>
        </w:rPr>
        <w:t xml:space="preserve">Fuente: </w:t>
      </w:r>
      <w:r w:rsidR="00B05314">
        <w:rPr>
          <w:rFonts w:ascii="Calibri" w:hAnsi="Calibri" w:cs="Calibri"/>
          <w:sz w:val="20"/>
          <w:lang w:val="es-GT"/>
        </w:rPr>
        <w:t>IARNA-UR (</w:t>
      </w:r>
      <w:r w:rsidRPr="001A01AB">
        <w:rPr>
          <w:rFonts w:ascii="Calibri" w:hAnsi="Calibri" w:cs="Calibri"/>
          <w:sz w:val="20"/>
          <w:lang w:val="es-GT"/>
        </w:rPr>
        <w:t>2012)</w:t>
      </w:r>
      <w:r w:rsidR="00B05314">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Los departamentos con mayor superficie de TFCRH son: Alta Verapaz, Baja Verapaz, Chimaltenango, Huehuetenango, Izabal, Quetzaltenango, Quiché, San Marcos y Zacapa. Su distribución geog</w:t>
      </w:r>
      <w:r w:rsidR="00B05314">
        <w:rPr>
          <w:rFonts w:ascii="Calibri" w:hAnsi="Calibri" w:cs="Calibri"/>
          <w:lang w:val="es-GT"/>
        </w:rPr>
        <w:t>ráfica se aprecia en la Figura 29</w:t>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Default="008327B2" w:rsidP="008327B2">
      <w:pPr>
        <w:autoSpaceDE w:val="0"/>
        <w:autoSpaceDN w:val="0"/>
        <w:adjustRightInd w:val="0"/>
        <w:jc w:val="both"/>
        <w:rPr>
          <w:rFonts w:ascii="Calibri" w:hAnsi="Calibri" w:cs="Calibri"/>
          <w:lang w:val="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237" w:name="_Toc340005082"/>
      <w:bookmarkStart w:id="238" w:name="_Toc340034497"/>
      <w:bookmarkStart w:id="239" w:name="_Toc343098411"/>
      <w:bookmarkStart w:id="240" w:name="_Toc343098519"/>
      <w:bookmarkStart w:id="241" w:name="_Toc347841252"/>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29</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Tierras de muy alta, alta y media captación y regulación hidrológica</w:t>
      </w:r>
      <w:bookmarkEnd w:id="237"/>
      <w:bookmarkEnd w:id="238"/>
      <w:bookmarkEnd w:id="239"/>
      <w:bookmarkEnd w:id="240"/>
      <w:bookmarkEnd w:id="241"/>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943600" cy="7324725"/>
            <wp:effectExtent l="0" t="0" r="0" b="9525"/>
            <wp:docPr id="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b="7365"/>
                    <a:stretch>
                      <a:fillRect/>
                    </a:stretch>
                  </pic:blipFill>
                  <pic:spPr bwMode="auto">
                    <a:xfrm>
                      <a:off x="0" y="0"/>
                      <a:ext cx="5943600" cy="7324725"/>
                    </a:xfrm>
                    <a:prstGeom prst="rect">
                      <a:avLst/>
                    </a:prstGeom>
                    <a:noFill/>
                    <a:ln>
                      <a:noFill/>
                    </a:ln>
                  </pic:spPr>
                </pic:pic>
              </a:graphicData>
            </a:graphic>
          </wp:inline>
        </w:drawing>
      </w:r>
    </w:p>
    <w:p w:rsidR="008327B2" w:rsidRPr="001A01AB" w:rsidRDefault="008327B2" w:rsidP="008327B2">
      <w:pPr>
        <w:autoSpaceDE w:val="0"/>
        <w:autoSpaceDN w:val="0"/>
        <w:adjustRightInd w:val="0"/>
        <w:ind w:left="720" w:right="270"/>
        <w:jc w:val="right"/>
        <w:rPr>
          <w:rFonts w:ascii="Calibri" w:hAnsi="Calibri" w:cs="Calibri"/>
          <w:lang w:val="es-GT"/>
        </w:rPr>
      </w:pPr>
      <w:r w:rsidRPr="001A01AB">
        <w:rPr>
          <w:rFonts w:ascii="Calibri" w:hAnsi="Calibri" w:cs="Calibri"/>
          <w:sz w:val="20"/>
          <w:lang w:val="es-GT"/>
        </w:rPr>
        <w:t xml:space="preserve">Fuente: </w:t>
      </w:r>
      <w:r w:rsidR="00B05314">
        <w:rPr>
          <w:rFonts w:ascii="Calibri" w:hAnsi="Calibri" w:cs="Calibri"/>
          <w:sz w:val="20"/>
          <w:lang w:val="es-GT"/>
        </w:rPr>
        <w:t>IARNA-URL (</w:t>
      </w:r>
      <w:r w:rsidRPr="001A01AB">
        <w:rPr>
          <w:rFonts w:ascii="Calibri" w:hAnsi="Calibri" w:cs="Calibri"/>
          <w:sz w:val="20"/>
          <w:lang w:val="es-GT"/>
        </w:rPr>
        <w:t>2012)</w:t>
      </w:r>
      <w:r w:rsidR="00B05314">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B05314" w:rsidP="008327B2">
      <w:pPr>
        <w:autoSpaceDE w:val="0"/>
        <w:autoSpaceDN w:val="0"/>
        <w:adjustRightInd w:val="0"/>
        <w:jc w:val="both"/>
        <w:rPr>
          <w:rFonts w:ascii="Calibri" w:hAnsi="Calibri" w:cs="Calibri"/>
          <w:lang w:val="es-GT"/>
        </w:rPr>
      </w:pPr>
      <w:r>
        <w:rPr>
          <w:rFonts w:ascii="Calibri" w:hAnsi="Calibri" w:cs="Calibri"/>
          <w:lang w:val="es-GT"/>
        </w:rPr>
        <w:lastRenderedPageBreak/>
        <w:t>El Cuadro 1</w:t>
      </w:r>
      <w:r w:rsidR="00653621">
        <w:rPr>
          <w:rFonts w:ascii="Calibri" w:hAnsi="Calibri" w:cs="Calibri"/>
          <w:lang w:val="es-GT"/>
        </w:rPr>
        <w:t>7</w:t>
      </w:r>
      <w:r w:rsidR="008327B2" w:rsidRPr="001A01AB">
        <w:rPr>
          <w:rFonts w:ascii="Calibri" w:hAnsi="Calibri" w:cs="Calibri"/>
          <w:lang w:val="es-GT"/>
        </w:rPr>
        <w:t xml:space="preserve"> muestra los resultados a 2010 para las distintas categorías de </w:t>
      </w:r>
      <w:r w:rsidR="008327B2" w:rsidRPr="001A01AB">
        <w:rPr>
          <w:rFonts w:ascii="Calibri" w:hAnsi="Calibri" w:cs="Calibri"/>
          <w:i/>
          <w:iCs/>
          <w:lang w:val="es-GT"/>
        </w:rPr>
        <w:t xml:space="preserve">tierras forestales de captación y regulación hidrológica </w:t>
      </w:r>
      <w:r w:rsidR="008327B2" w:rsidRPr="001A01AB">
        <w:rPr>
          <w:rFonts w:ascii="Calibri" w:hAnsi="Calibri" w:cs="Calibri"/>
          <w:lang w:val="es-GT"/>
        </w:rPr>
        <w:t>según el Mapa de Cobertura Forestal de Guatemala 2010 (INAB, CONAP, UVG y URL, 2012).</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Aunque metodológicamente distinto, este análisis distingue únicamente entre superficie con bosque y superficie sin bosque, </w:t>
      </w:r>
      <w:r w:rsidR="000F0FC1">
        <w:rPr>
          <w:rFonts w:ascii="Calibri" w:hAnsi="Calibri" w:cs="Calibri"/>
          <w:lang w:val="es-GT"/>
        </w:rPr>
        <w:t xml:space="preserve">por lo que </w:t>
      </w:r>
      <w:r w:rsidRPr="001A01AB">
        <w:rPr>
          <w:rFonts w:ascii="Calibri" w:hAnsi="Calibri" w:cs="Calibri"/>
          <w:lang w:val="es-GT"/>
        </w:rPr>
        <w:t xml:space="preserve">los datos parecen confirmar una tendencia a la pérdida de bosque en estos territorios, ya que del total de la superficie evaluada, 1,190,490 ha estaban cubiertas por bosque en 2010, lo que equivale al 38.76% del área en consideración.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Llama especialmente la atención la escasa cobertura forestal en las tierras de muy alta captación y regulación hidrológica, ya que apenas una cuarta parte de su superficie posee bosque. En las otras dos categorías evaluadas</w:t>
      </w:r>
      <w:r w:rsidR="000F0FC1">
        <w:rPr>
          <w:rFonts w:ascii="Calibri" w:hAnsi="Calibri" w:cs="Calibri"/>
          <w:lang w:val="es-GT"/>
        </w:rPr>
        <w:t>,</w:t>
      </w:r>
      <w:r w:rsidRPr="001A01AB">
        <w:rPr>
          <w:rFonts w:ascii="Calibri" w:hAnsi="Calibri" w:cs="Calibri"/>
          <w:lang w:val="es-GT"/>
        </w:rPr>
        <w:t xml:space="preserve"> la cobertura forestal no alcanza el 50% del total de la superficie ocupada por las mismas. </w:t>
      </w:r>
    </w:p>
    <w:p w:rsidR="008327B2" w:rsidRPr="001A01AB" w:rsidRDefault="008327B2" w:rsidP="008327B2">
      <w:pPr>
        <w:autoSpaceDE w:val="0"/>
        <w:autoSpaceDN w:val="0"/>
        <w:adjustRightInd w:val="0"/>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242" w:name="_Toc340004971"/>
      <w:bookmarkStart w:id="243" w:name="_Toc340032161"/>
      <w:bookmarkStart w:id="244" w:name="_Toc340034438"/>
      <w:bookmarkStart w:id="245" w:name="_Toc343164645"/>
      <w:bookmarkStart w:id="246" w:name="_Toc347841199"/>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17</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Cobertura forestal en tierras de muy alta, alta y media captación y regulación hidrológica. Año 2010</w:t>
      </w:r>
      <w:bookmarkEnd w:id="242"/>
      <w:bookmarkEnd w:id="243"/>
      <w:bookmarkEnd w:id="244"/>
      <w:bookmarkEnd w:id="245"/>
      <w:bookmarkEnd w:id="246"/>
    </w:p>
    <w:p w:rsidR="00216872" w:rsidRPr="00216872" w:rsidRDefault="00216872" w:rsidP="00216872">
      <w:pPr>
        <w:rPr>
          <w:lang w:val="es-GT"/>
        </w:rPr>
      </w:pPr>
    </w:p>
    <w:p w:rsidR="008327B2" w:rsidRPr="001A01AB" w:rsidRDefault="00544A9F" w:rsidP="008327B2">
      <w:pPr>
        <w:autoSpaceDE w:val="0"/>
        <w:autoSpaceDN w:val="0"/>
        <w:adjustRightInd w:val="0"/>
        <w:jc w:val="center"/>
        <w:rPr>
          <w:rFonts w:ascii="Calibri" w:hAnsi="Calibri" w:cs="Calibri"/>
          <w:noProof/>
          <w:lang w:val="es-GT" w:eastAsia="es-GT"/>
        </w:rPr>
      </w:pPr>
      <w:r>
        <w:rPr>
          <w:rFonts w:ascii="Calibri" w:hAnsi="Calibri" w:cs="Calibri"/>
          <w:noProof/>
          <w:lang w:val="es-GT" w:eastAsia="es-GT"/>
        </w:rPr>
        <w:drawing>
          <wp:inline distT="0" distB="0" distL="0" distR="0">
            <wp:extent cx="5866638" cy="1390650"/>
            <wp:effectExtent l="0" t="0" r="1270" b="0"/>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
                    <pic:cNvPicPr>
                      <a:picLocks noChangeAspect="1" noChangeArrowheads="1"/>
                    </pic:cNvPicPr>
                  </pic:nvPicPr>
                  <pic:blipFill>
                    <a:blip r:embed="rId68" cstate="print">
                      <a:duotone>
                        <a:schemeClr val="accent1">
                          <a:shade val="45000"/>
                          <a:satMod val="135000"/>
                        </a:schemeClr>
                        <a:prstClr val="white"/>
                      </a:duotone>
                    </a:blip>
                    <a:srcRect l="5394" t="29674" r="2994" b="31640"/>
                    <a:stretch>
                      <a:fillRect/>
                    </a:stretch>
                  </pic:blipFill>
                  <pic:spPr bwMode="auto">
                    <a:xfrm>
                      <a:off x="0" y="0"/>
                      <a:ext cx="5866130" cy="1390650"/>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right="146"/>
        <w:jc w:val="right"/>
        <w:rPr>
          <w:rFonts w:ascii="Calibri" w:hAnsi="Calibri" w:cs="Calibri"/>
          <w:sz w:val="20"/>
          <w:lang w:val="es-GT"/>
        </w:rPr>
      </w:pPr>
      <w:r w:rsidRPr="001A01AB">
        <w:rPr>
          <w:rFonts w:ascii="Calibri" w:hAnsi="Calibri" w:cs="Calibri"/>
          <w:sz w:val="20"/>
          <w:lang w:val="es-GT"/>
        </w:rPr>
        <w:t>Fu</w:t>
      </w:r>
      <w:r w:rsidR="000F0FC1">
        <w:rPr>
          <w:rFonts w:ascii="Calibri" w:hAnsi="Calibri" w:cs="Calibri"/>
          <w:sz w:val="20"/>
          <w:lang w:val="es-GT"/>
        </w:rPr>
        <w:t xml:space="preserve">ente: </w:t>
      </w:r>
      <w:r w:rsidR="000F0FC1" w:rsidRPr="008E7800">
        <w:rPr>
          <w:rFonts w:ascii="Calibri" w:hAnsi="Calibri" w:cs="Calibri"/>
          <w:sz w:val="20"/>
          <w:lang w:val="es-GT"/>
        </w:rPr>
        <w:t>INAB, CONAP, UVG y URL (</w:t>
      </w:r>
      <w:r w:rsidRPr="008E7800">
        <w:rPr>
          <w:rFonts w:ascii="Calibri" w:hAnsi="Calibri" w:cs="Calibri"/>
          <w:sz w:val="20"/>
          <w:lang w:val="es-GT"/>
        </w:rPr>
        <w:t>2012</w:t>
      </w:r>
      <w:r w:rsidR="000F0FC1" w:rsidRPr="008E7800">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Otra perspectiva para evaluar la cobertura de la tierra en zonas importantes para la captación y regulación hidrológica, es la intensidad del uso de la tierra. De poco más de tres millones de hectáreas que representan las TFCRH: 727,117 tienen sobreuso (lo que e</w:t>
      </w:r>
      <w:r w:rsidR="000F0FC1">
        <w:rPr>
          <w:rFonts w:ascii="Calibri" w:hAnsi="Calibri" w:cs="Calibri"/>
          <w:lang w:val="es-GT"/>
        </w:rPr>
        <w:t xml:space="preserve">quivale al 24%), 933,242 ha </w:t>
      </w:r>
      <w:r w:rsidRPr="001A01AB">
        <w:rPr>
          <w:rFonts w:ascii="Calibri" w:hAnsi="Calibri" w:cs="Calibri"/>
          <w:lang w:val="es-GT"/>
        </w:rPr>
        <w:t xml:space="preserve">subuso (31%), y 1,390,774 uso adecuado (45%). Otra vez, son las tierras forestales de muy alta captación y regulación hidrológica (TFCRH) las que presentan una problemática mayor, al poseer el 36% de su superficie en condiciones de sobreuso.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 Figura </w:t>
      </w:r>
      <w:r w:rsidR="000F0FC1">
        <w:rPr>
          <w:rFonts w:ascii="Calibri" w:hAnsi="Calibri" w:cs="Calibri"/>
          <w:lang w:val="es-GT"/>
        </w:rPr>
        <w:t>30</w:t>
      </w:r>
      <w:r w:rsidRPr="001A01AB">
        <w:rPr>
          <w:rFonts w:ascii="Calibri" w:hAnsi="Calibri" w:cs="Calibri"/>
          <w:lang w:val="es-GT"/>
        </w:rPr>
        <w:t xml:space="preserve"> muestra la intensidad de uso de la tierra en las tierras de muy alta, alta y media captación y regulación hidrológica.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247" w:name="_Toc340005083"/>
      <w:bookmarkStart w:id="248" w:name="_Toc340034498"/>
      <w:bookmarkStart w:id="249" w:name="_Toc343098412"/>
      <w:bookmarkStart w:id="250" w:name="_Toc343098520"/>
      <w:bookmarkStart w:id="251" w:name="_Toc347841253"/>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30</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Intensidad de uso en las tierras de muy alta, alta y media captación y regulación hidrológica</w:t>
      </w:r>
      <w:bookmarkEnd w:id="247"/>
      <w:bookmarkEnd w:id="248"/>
      <w:bookmarkEnd w:id="249"/>
      <w:bookmarkEnd w:id="250"/>
      <w:bookmarkEnd w:id="251"/>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743575" cy="3207260"/>
            <wp:effectExtent l="0" t="0" r="9525" b="0"/>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69" cstate="print">
                      <a:duotone>
                        <a:schemeClr val="accent1">
                          <a:shade val="45000"/>
                          <a:satMod val="135000"/>
                        </a:schemeClr>
                        <a:prstClr val="white"/>
                      </a:duotone>
                    </a:blip>
                    <a:srcRect l="9254" t="13821" r="12283" b="8169"/>
                    <a:stretch>
                      <a:fillRect/>
                    </a:stretch>
                  </pic:blipFill>
                  <pic:spPr bwMode="auto">
                    <a:xfrm>
                      <a:off x="0" y="0"/>
                      <a:ext cx="5743575" cy="3206750"/>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left="720" w:right="270"/>
        <w:jc w:val="right"/>
        <w:rPr>
          <w:rFonts w:ascii="Calibri" w:hAnsi="Calibri" w:cs="Calibri"/>
          <w:lang w:val="es-GT"/>
        </w:rPr>
      </w:pPr>
      <w:r w:rsidRPr="001A01AB">
        <w:rPr>
          <w:rFonts w:ascii="Calibri" w:hAnsi="Calibri" w:cs="Calibri"/>
          <w:sz w:val="20"/>
          <w:lang w:val="es-GT"/>
        </w:rPr>
        <w:t xml:space="preserve">Fuente: </w:t>
      </w:r>
      <w:r w:rsidR="000F0FC1">
        <w:rPr>
          <w:rFonts w:ascii="Calibri" w:hAnsi="Calibri" w:cs="Calibri"/>
          <w:sz w:val="20"/>
          <w:lang w:val="es-GT"/>
        </w:rPr>
        <w:t>IARNA-URL (</w:t>
      </w:r>
      <w:r w:rsidRPr="001A01AB">
        <w:rPr>
          <w:rFonts w:ascii="Calibri" w:hAnsi="Calibri" w:cs="Calibri"/>
          <w:sz w:val="20"/>
          <w:lang w:val="es-GT"/>
        </w:rPr>
        <w:t>2012)</w:t>
      </w:r>
      <w:r w:rsidR="000F0FC1">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De acuerdo </w:t>
      </w:r>
      <w:r w:rsidRPr="008E7800">
        <w:rPr>
          <w:rFonts w:ascii="Calibri" w:hAnsi="Calibri" w:cs="Calibri"/>
          <w:lang w:val="es-GT"/>
        </w:rPr>
        <w:t>con Gordillo (2010), estas</w:t>
      </w:r>
      <w:r w:rsidRPr="001A01AB">
        <w:rPr>
          <w:rFonts w:ascii="Calibri" w:hAnsi="Calibri" w:cs="Calibri"/>
          <w:lang w:val="es-GT"/>
        </w:rPr>
        <w:t xml:space="preserve"> tierras muestran una erosión potencial de 48 millones de toneladas de suelo al año. Las áreas de alta y media captación y regulación hidrológica reflejan valores de erosión potencial de 26.6 y 32.8 millones de toneladas al año, respectivamente.</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De acuerdo con </w:t>
      </w:r>
      <w:r w:rsidRPr="008E7800">
        <w:rPr>
          <w:rFonts w:ascii="Calibri" w:hAnsi="Calibri" w:cs="Calibri"/>
          <w:lang w:val="es-GT"/>
        </w:rPr>
        <w:t>el PNUD (2010), se</w:t>
      </w:r>
      <w:r w:rsidRPr="001A01AB">
        <w:rPr>
          <w:rFonts w:ascii="Calibri" w:hAnsi="Calibri" w:cs="Calibri"/>
          <w:lang w:val="es-GT"/>
        </w:rPr>
        <w:t xml:space="preserve"> calcula que la práctica agrícola convencional (BAU, por sus siglas en inglés, </w:t>
      </w:r>
      <w:r w:rsidRPr="001A01AB">
        <w:rPr>
          <w:rFonts w:ascii="Calibri" w:hAnsi="Calibri" w:cs="Calibri"/>
          <w:i/>
          <w:iCs/>
          <w:lang w:val="es-GT"/>
        </w:rPr>
        <w:t>bussiness as usual</w:t>
      </w:r>
      <w:r w:rsidRPr="001A01AB">
        <w:rPr>
          <w:rFonts w:ascii="Calibri" w:hAnsi="Calibri" w:cs="Calibri"/>
          <w:lang w:val="es-GT"/>
        </w:rPr>
        <w:t>) en Guatemala es responsable de una pérdida total del suelo de 299 millones de m</w:t>
      </w:r>
      <w:r w:rsidRPr="000F0FC1">
        <w:rPr>
          <w:rFonts w:ascii="Calibri" w:hAnsi="Calibri" w:cs="Calibri"/>
          <w:vertAlign w:val="superscript"/>
          <w:lang w:val="es-GT"/>
        </w:rPr>
        <w:t>3</w:t>
      </w:r>
      <w:r w:rsidRPr="001A01AB">
        <w:rPr>
          <w:rFonts w:ascii="Calibri" w:hAnsi="Calibri" w:cs="Calibri"/>
          <w:lang w:val="es-GT"/>
        </w:rPr>
        <w:t>/año, que ha causado la sedimentación de los cursos de agua y altos niveles de eutrofización. Los costos para recuperar sólo dos de los lagos utilizados con fines turísticos –Izabal y Atitlán– superarían los US$653 millones.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1.2.2.</w:t>
      </w:r>
      <w:r w:rsidRPr="001A01AB">
        <w:rPr>
          <w:rFonts w:ascii="Calibri" w:hAnsi="Calibri" w:cs="Calibri"/>
          <w:b/>
          <w:color w:val="365F91"/>
          <w:lang w:val="es-GT"/>
        </w:rPr>
        <w:tab/>
        <w:t>Indicador: O</w:t>
      </w:r>
      <w:r w:rsidR="000F0FC1">
        <w:rPr>
          <w:rFonts w:ascii="Calibri" w:hAnsi="Calibri" w:cs="Calibri"/>
          <w:b/>
          <w:color w:val="365F91"/>
          <w:lang w:val="es-GT"/>
        </w:rPr>
        <w:t>ferta y utilizació</w:t>
      </w:r>
      <w:r w:rsidR="000F0FC1" w:rsidRPr="001A01AB">
        <w:rPr>
          <w:rFonts w:ascii="Calibri" w:hAnsi="Calibri" w:cs="Calibri"/>
          <w:b/>
          <w:color w:val="365F91"/>
          <w:lang w:val="es-GT"/>
        </w:rPr>
        <w:t>n del agua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i/>
          <w:color w:val="365F91"/>
          <w:lang w:val="es-GT"/>
        </w:rPr>
      </w:pPr>
      <w:r w:rsidRPr="001A01AB">
        <w:rPr>
          <w:rFonts w:ascii="Calibri" w:hAnsi="Calibri" w:cs="Calibri"/>
          <w:b/>
          <w:i/>
          <w:color w:val="365F91"/>
          <w:lang w:val="es-GT"/>
        </w:rPr>
        <w:t>Oferta hídrica nacional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Las estimaciones de la oferta hídrica del país difieren según las metodologías de cálculo y por la debilidad de los sistemas de registro, procesamiento y análisis de información de aspectos hidrometeorológicos, por lo que queda entonces todavía un reto en materia de registro y cálculo de estos volúmenes nacionales.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Gracias al régimen de lluvias de su territorio, Guatemala cuenta con una amplia disponibilidad promedio anual de agua (97,120 millones de m</w:t>
      </w:r>
      <w:r w:rsidRPr="000F0FC1">
        <w:rPr>
          <w:rFonts w:ascii="Calibri" w:hAnsi="Calibri" w:cs="Calibri"/>
          <w:vertAlign w:val="superscript"/>
          <w:lang w:val="es-GT"/>
        </w:rPr>
        <w:t>3</w:t>
      </w:r>
      <w:r w:rsidRPr="001A01AB">
        <w:rPr>
          <w:rFonts w:ascii="Calibri" w:hAnsi="Calibri" w:cs="Calibri"/>
          <w:lang w:val="es-GT"/>
        </w:rPr>
        <w:t xml:space="preserve">, entre aguas superficiales y subterráneas) que supera abundantemente la demanda </w:t>
      </w:r>
      <w:r w:rsidRPr="001C0399">
        <w:rPr>
          <w:rFonts w:ascii="Calibri" w:hAnsi="Calibri" w:cs="Calibri"/>
          <w:lang w:val="es-GT"/>
        </w:rPr>
        <w:t>actual (</w:t>
      </w:r>
      <w:r w:rsidRPr="001C0399">
        <w:rPr>
          <w:rFonts w:ascii="Calibri" w:hAnsi="Calibri" w:cs="Calibri"/>
          <w:highlight w:val="magenta"/>
          <w:lang w:val="es-GT"/>
        </w:rPr>
        <w:t>SEGEPLAN, 2006).</w:t>
      </w:r>
      <w:r w:rsidRPr="001A01AB">
        <w:rPr>
          <w:rFonts w:ascii="Calibri" w:hAnsi="Calibri" w:cs="Calibri"/>
          <w:lang w:val="es-GT"/>
        </w:rPr>
        <w:t xml:space="preserve"> Esta oferta se distribuye </w:t>
      </w:r>
      <w:r w:rsidRPr="001A01AB">
        <w:rPr>
          <w:rFonts w:ascii="Calibri" w:hAnsi="Calibri" w:cs="Calibri"/>
          <w:lang w:val="es-GT"/>
        </w:rPr>
        <w:lastRenderedPageBreak/>
        <w:t>geográficamente en el país de la siguiente manera: 22,973 millones de m</w:t>
      </w:r>
      <w:r w:rsidRPr="000F0FC1">
        <w:rPr>
          <w:rFonts w:ascii="Calibri" w:hAnsi="Calibri" w:cs="Calibri"/>
          <w:vertAlign w:val="superscript"/>
          <w:lang w:val="es-GT"/>
        </w:rPr>
        <w:t>3</w:t>
      </w:r>
      <w:r w:rsidRPr="001A01AB">
        <w:rPr>
          <w:rFonts w:ascii="Calibri" w:hAnsi="Calibri" w:cs="Calibri"/>
          <w:lang w:val="es-GT"/>
        </w:rPr>
        <w:t xml:space="preserve"> (24%) en la vertiente del océano Pacífico</w:t>
      </w:r>
      <w:r w:rsidR="000F0FC1">
        <w:rPr>
          <w:rFonts w:ascii="Calibri" w:hAnsi="Calibri" w:cs="Calibri"/>
          <w:lang w:val="es-GT"/>
        </w:rPr>
        <w:t>,</w:t>
      </w:r>
      <w:r w:rsidRPr="001A01AB">
        <w:rPr>
          <w:rFonts w:ascii="Calibri" w:hAnsi="Calibri" w:cs="Calibri"/>
          <w:lang w:val="es-GT"/>
        </w:rPr>
        <w:t xml:space="preserve"> 40,922 millones de m</w:t>
      </w:r>
      <w:r w:rsidRPr="000F0FC1">
        <w:rPr>
          <w:rFonts w:ascii="Calibri" w:hAnsi="Calibri" w:cs="Calibri"/>
          <w:vertAlign w:val="superscript"/>
          <w:lang w:val="es-GT"/>
        </w:rPr>
        <w:t>3</w:t>
      </w:r>
      <w:r w:rsidRPr="001A01AB">
        <w:rPr>
          <w:rFonts w:ascii="Calibri" w:hAnsi="Calibri" w:cs="Calibri"/>
          <w:lang w:val="es-GT"/>
        </w:rPr>
        <w:t xml:space="preserve"> (42%) en la vertiente del golfo de México y 33,224 millones de m</w:t>
      </w:r>
      <w:r w:rsidRPr="000F0FC1">
        <w:rPr>
          <w:rFonts w:ascii="Calibri" w:hAnsi="Calibri" w:cs="Calibri"/>
          <w:vertAlign w:val="superscript"/>
          <w:lang w:val="es-GT"/>
        </w:rPr>
        <w:t>3</w:t>
      </w:r>
      <w:r w:rsidRPr="001A01AB">
        <w:rPr>
          <w:rFonts w:ascii="Calibri" w:hAnsi="Calibri" w:cs="Calibri"/>
          <w:lang w:val="es-GT"/>
        </w:rPr>
        <w:t xml:space="preserve"> (34%) en la vertiente del mar Caribe (</w:t>
      </w:r>
      <w:r w:rsidRPr="001C0399">
        <w:rPr>
          <w:rFonts w:ascii="Calibri" w:hAnsi="Calibri" w:cs="Calibri"/>
          <w:highlight w:val="magenta"/>
          <w:lang w:val="es-GT"/>
        </w:rPr>
        <w:t xml:space="preserve">IANAS, 2009; </w:t>
      </w:r>
      <w:r w:rsidRPr="001C0399">
        <w:rPr>
          <w:rFonts w:ascii="Calibri" w:hAnsi="Calibri" w:cs="Calibri"/>
          <w:lang w:val="es-GT"/>
        </w:rPr>
        <w:t>SEGEPLAN, 2006).</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En total, Guatemala posee un escurrimiento superficial entre 1,760 y 3,190 m</w:t>
      </w:r>
      <w:r w:rsidRPr="000F0FC1">
        <w:rPr>
          <w:rFonts w:ascii="Calibri" w:hAnsi="Calibri" w:cs="Calibri"/>
          <w:vertAlign w:val="superscript"/>
          <w:lang w:val="es-GT"/>
        </w:rPr>
        <w:t>3</w:t>
      </w:r>
      <w:r w:rsidRPr="001A01AB">
        <w:rPr>
          <w:rFonts w:ascii="Calibri" w:hAnsi="Calibri" w:cs="Calibri"/>
          <w:lang w:val="es-GT"/>
        </w:rPr>
        <w:t>/s (</w:t>
      </w:r>
      <w:r w:rsidRPr="000F0FC1">
        <w:rPr>
          <w:rFonts w:ascii="Calibri" w:hAnsi="Calibri" w:cs="Calibri"/>
          <w:highlight w:val="yellow"/>
          <w:lang w:val="es-GT"/>
        </w:rPr>
        <w:t>55.6 6 y 100.6 7</w:t>
      </w:r>
      <w:r w:rsidRPr="001A01AB">
        <w:rPr>
          <w:rFonts w:ascii="Calibri" w:hAnsi="Calibri" w:cs="Calibri"/>
          <w:lang w:val="es-GT"/>
        </w:rPr>
        <w:t xml:space="preserve"> miles de millones de metros cúbicos por año), en su mayoría concentrado en cuatro meses en las zonas más secas y con distribución más uniforme en las regiones húmedas. El 55% del territorio lo forman cuencas de repercusión internacional cuyas aguas en un 47.5% van hacia México, 7% a El Salvador, 6% hacia Belice y una mínima fracción de 0.5% hacia Honduras.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Los ríos más caudalosos son el Usumacinta (1800 m</w:t>
      </w:r>
      <w:r w:rsidRPr="000F0FC1">
        <w:rPr>
          <w:rFonts w:ascii="Calibri" w:hAnsi="Calibri" w:cs="Calibri"/>
          <w:vertAlign w:val="superscript"/>
          <w:lang w:val="es-GT"/>
        </w:rPr>
        <w:t>3</w:t>
      </w:r>
      <w:r w:rsidRPr="001A01AB">
        <w:rPr>
          <w:rFonts w:ascii="Calibri" w:hAnsi="Calibri" w:cs="Calibri"/>
          <w:lang w:val="es-GT"/>
        </w:rPr>
        <w:t>/s), Motagua (240 m</w:t>
      </w:r>
      <w:r w:rsidRPr="000F0FC1">
        <w:rPr>
          <w:rFonts w:ascii="Calibri" w:hAnsi="Calibri" w:cs="Calibri"/>
          <w:vertAlign w:val="superscript"/>
          <w:lang w:val="es-GT"/>
        </w:rPr>
        <w:t>3</w:t>
      </w:r>
      <w:r w:rsidRPr="001A01AB">
        <w:rPr>
          <w:rFonts w:ascii="Calibri" w:hAnsi="Calibri" w:cs="Calibri"/>
          <w:lang w:val="es-GT"/>
        </w:rPr>
        <w:t>/s), Polochic (161 m</w:t>
      </w:r>
      <w:r w:rsidRPr="000F0FC1">
        <w:rPr>
          <w:rFonts w:ascii="Calibri" w:hAnsi="Calibri" w:cs="Calibri"/>
          <w:vertAlign w:val="superscript"/>
          <w:lang w:val="es-GT"/>
        </w:rPr>
        <w:t>3</w:t>
      </w:r>
      <w:r w:rsidRPr="001A01AB">
        <w:rPr>
          <w:rFonts w:ascii="Calibri" w:hAnsi="Calibri" w:cs="Calibri"/>
          <w:lang w:val="es-GT"/>
        </w:rPr>
        <w:t>/s), Sarstún (172 m</w:t>
      </w:r>
      <w:r w:rsidRPr="000F0FC1">
        <w:rPr>
          <w:rFonts w:ascii="Calibri" w:hAnsi="Calibri" w:cs="Calibri"/>
          <w:vertAlign w:val="superscript"/>
          <w:lang w:val="es-GT"/>
        </w:rPr>
        <w:t>3</w:t>
      </w:r>
      <w:r w:rsidRPr="001A01AB">
        <w:rPr>
          <w:rFonts w:ascii="Calibri" w:hAnsi="Calibri" w:cs="Calibri"/>
          <w:lang w:val="es-GT"/>
        </w:rPr>
        <w:t>/s) e Ixcán (165 m</w:t>
      </w:r>
      <w:r w:rsidRPr="000F0FC1">
        <w:rPr>
          <w:rFonts w:ascii="Calibri" w:hAnsi="Calibri" w:cs="Calibri"/>
          <w:vertAlign w:val="superscript"/>
          <w:lang w:val="es-GT"/>
        </w:rPr>
        <w:t>3</w:t>
      </w:r>
      <w:r w:rsidRPr="001A01AB">
        <w:rPr>
          <w:rFonts w:ascii="Calibri" w:hAnsi="Calibri" w:cs="Calibri"/>
          <w:lang w:val="es-GT"/>
        </w:rPr>
        <w:t>/s). En la costa sur, el río Suchiate (28 m</w:t>
      </w:r>
      <w:r w:rsidRPr="000F0FC1">
        <w:rPr>
          <w:rFonts w:ascii="Calibri" w:hAnsi="Calibri" w:cs="Calibri"/>
          <w:vertAlign w:val="superscript"/>
          <w:lang w:val="es-GT"/>
        </w:rPr>
        <w:t>3</w:t>
      </w:r>
      <w:r w:rsidRPr="001A01AB">
        <w:rPr>
          <w:rFonts w:ascii="Calibri" w:hAnsi="Calibri" w:cs="Calibri"/>
          <w:lang w:val="es-GT"/>
        </w:rPr>
        <w:t xml:space="preserve">/s) es el de mayor caudal.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Se estima que el volumen de las aguas subterráneas es de 33,699 millones de metros cúbicos por año. Con respecto al recurso hídrico subterráneo</w:t>
      </w:r>
      <w:r w:rsidR="000F0FC1">
        <w:rPr>
          <w:rFonts w:ascii="Calibri" w:hAnsi="Calibri" w:cs="Calibri"/>
          <w:lang w:val="es-GT"/>
        </w:rPr>
        <w:t>,</w:t>
      </w:r>
      <w:r w:rsidRPr="001A01AB">
        <w:rPr>
          <w:rFonts w:ascii="Calibri" w:hAnsi="Calibri" w:cs="Calibri"/>
          <w:lang w:val="es-GT"/>
        </w:rPr>
        <w:t xml:space="preserve"> la investigación ha sido detallada para el valle de la ciudad de Guatemala, el valle de Antigua Guatemala, estudios preliminares en el valle de Monjas y el de Quetzaltenango. Estudios específicos en el altiplano han sido realizados por la cooperación japonesa y el INFOM.</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En la actualidad</w:t>
      </w:r>
      <w:r w:rsidR="000F0FC1">
        <w:rPr>
          <w:rFonts w:ascii="Calibri" w:hAnsi="Calibri" w:cs="Calibri"/>
          <w:lang w:val="es-GT"/>
        </w:rPr>
        <w:t>,</w:t>
      </w:r>
      <w:r w:rsidRPr="001A01AB">
        <w:rPr>
          <w:rFonts w:ascii="Calibri" w:hAnsi="Calibri" w:cs="Calibri"/>
          <w:lang w:val="es-GT"/>
        </w:rPr>
        <w:t xml:space="preserve"> el conocimiento del recurso es limitado, ya que la mayoría de las estaciones que conformaban la red hidrometeorológica nacional, manejada principalmente por el INSIVUMEH y en menor grado por el INDE, han operado irregularmente desde </w:t>
      </w:r>
      <w:r w:rsidR="000F0FC1">
        <w:rPr>
          <w:rFonts w:ascii="Calibri" w:hAnsi="Calibri" w:cs="Calibri"/>
          <w:lang w:val="es-GT"/>
        </w:rPr>
        <w:t>inicios</w:t>
      </w:r>
      <w:r w:rsidRPr="001A01AB">
        <w:rPr>
          <w:rFonts w:ascii="Calibri" w:hAnsi="Calibri" w:cs="Calibri"/>
          <w:lang w:val="es-GT"/>
        </w:rPr>
        <w:t xml:space="preserve"> de la década de los años ochenta (</w:t>
      </w:r>
      <w:r w:rsidRPr="001C0399">
        <w:rPr>
          <w:rFonts w:ascii="Calibri" w:hAnsi="Calibri" w:cs="Calibri"/>
          <w:highlight w:val="magenta"/>
          <w:lang w:val="es-GT"/>
        </w:rPr>
        <w:t>Cobos, 1996).</w:t>
      </w:r>
      <w:r w:rsidRPr="001A01AB">
        <w:rPr>
          <w:rFonts w:ascii="Calibri" w:hAnsi="Calibri" w:cs="Calibri"/>
          <w:lang w:val="es-GT"/>
        </w:rPr>
        <w:t xml:space="preserve"> Una nueva red hidrometeorológica se ha implementado en el año 2000, por lo que habrá registros disponibles a futuro.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i/>
          <w:color w:val="365F91"/>
          <w:lang w:val="es-GT"/>
        </w:rPr>
      </w:pPr>
      <w:r w:rsidRPr="001A01AB">
        <w:rPr>
          <w:rFonts w:ascii="Calibri" w:hAnsi="Calibri" w:cs="Calibri"/>
          <w:b/>
          <w:i/>
          <w:color w:val="365F91"/>
          <w:lang w:val="es-GT"/>
        </w:rPr>
        <w:t>Disponibilidad hídrica en el mes de estiaje</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 disponibilidad en las tres vertientes </w:t>
      </w:r>
      <w:r w:rsidR="000F0FC1">
        <w:rPr>
          <w:rFonts w:ascii="Calibri" w:hAnsi="Calibri" w:cs="Calibri"/>
          <w:lang w:val="es-GT"/>
        </w:rPr>
        <w:t>durante</w:t>
      </w:r>
      <w:r w:rsidR="000F0FC1" w:rsidRPr="001A01AB">
        <w:rPr>
          <w:rFonts w:ascii="Calibri" w:hAnsi="Calibri" w:cs="Calibri"/>
          <w:lang w:val="es-GT"/>
        </w:rPr>
        <w:t xml:space="preserve"> el mes de estiaje </w:t>
      </w:r>
      <w:r w:rsidRPr="001A01AB">
        <w:rPr>
          <w:rFonts w:ascii="Calibri" w:hAnsi="Calibri" w:cs="Calibri"/>
          <w:lang w:val="es-GT"/>
        </w:rPr>
        <w:t>es menos de la mitad de la disponibilidad hídrica anual media. Esta situación es particularmente crítica en algunas cuencas del Pacífico, tal como evidencian los estudios realizados en la cue</w:t>
      </w:r>
      <w:r w:rsidRPr="001C0399">
        <w:rPr>
          <w:rFonts w:ascii="Calibri" w:hAnsi="Calibri" w:cs="Calibri"/>
          <w:lang w:val="es-GT"/>
        </w:rPr>
        <w:t>nca del río Naranjo (</w:t>
      </w:r>
      <w:r w:rsidR="0017736D" w:rsidRPr="001C0399">
        <w:rPr>
          <w:rFonts w:ascii="Calibri" w:hAnsi="Calibri" w:cs="Calibri"/>
          <w:lang w:val="es-GT"/>
        </w:rPr>
        <w:t>Castañón</w:t>
      </w:r>
      <w:r w:rsidR="001C0399" w:rsidRPr="001C0399">
        <w:rPr>
          <w:rFonts w:ascii="Calibri" w:hAnsi="Calibri" w:cs="Calibri"/>
          <w:lang w:val="es-GT"/>
        </w:rPr>
        <w:t>, 2009; IARNA-</w:t>
      </w:r>
      <w:r w:rsidRPr="001C0399">
        <w:rPr>
          <w:rFonts w:ascii="Calibri" w:hAnsi="Calibri" w:cs="Calibri"/>
          <w:lang w:val="es-GT"/>
        </w:rPr>
        <w:t xml:space="preserve">URL </w:t>
      </w:r>
      <w:r w:rsidR="001C0399" w:rsidRPr="001C0399">
        <w:rPr>
          <w:rFonts w:ascii="Calibri" w:hAnsi="Calibri" w:cs="Calibri"/>
          <w:lang w:val="es-GT"/>
        </w:rPr>
        <w:t>e</w:t>
      </w:r>
      <w:r w:rsidRPr="001C0399">
        <w:rPr>
          <w:rFonts w:ascii="Calibri" w:hAnsi="Calibri" w:cs="Calibri"/>
          <w:lang w:val="es-GT"/>
        </w:rPr>
        <w:t xml:space="preserve"> IIA, 2006; SEGEPLAN, 2006).</w:t>
      </w:r>
      <w:r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El contraste de disponibilidad entre las épocas lluviosa y seca es señalado también por el índice de escasez nacional (relación entre la oferta y la demanda), que muestra que en época seca prácticamente toda </w:t>
      </w:r>
      <w:r w:rsidR="00F65C22">
        <w:rPr>
          <w:rFonts w:ascii="Calibri" w:hAnsi="Calibri" w:cs="Calibri"/>
          <w:lang w:val="es-GT"/>
        </w:rPr>
        <w:t>la zona del altiplano (oriental y</w:t>
      </w:r>
      <w:r w:rsidRPr="001A01AB">
        <w:rPr>
          <w:rFonts w:ascii="Calibri" w:hAnsi="Calibri" w:cs="Calibri"/>
          <w:lang w:val="es-GT"/>
        </w:rPr>
        <w:t xml:space="preserve"> central occidental), la costa sur y el norte de Petén, son zonas con demandas superiores a la oferta por cursos de agua con un caudal muy reducido o bien sin agua en el estío (</w:t>
      </w:r>
      <w:r w:rsidR="000F0FC1" w:rsidRPr="000F0FC1">
        <w:rPr>
          <w:rFonts w:ascii="Calibri" w:hAnsi="Calibri" w:cs="Calibri"/>
          <w:lang w:val="es-GT"/>
        </w:rPr>
        <w:t>IARNA-</w:t>
      </w:r>
      <w:r w:rsidRPr="000F0FC1">
        <w:rPr>
          <w:rFonts w:ascii="Calibri" w:hAnsi="Calibri" w:cs="Calibri"/>
          <w:lang w:val="es-GT"/>
        </w:rPr>
        <w:t>URL e IIA, 2006).</w:t>
      </w:r>
      <w:r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El Cuadro </w:t>
      </w:r>
      <w:r w:rsidR="00F65C22">
        <w:rPr>
          <w:rFonts w:ascii="Calibri" w:hAnsi="Calibri" w:cs="Calibri"/>
          <w:lang w:val="es-GT"/>
        </w:rPr>
        <w:t>1</w:t>
      </w:r>
      <w:r w:rsidR="004C77F8">
        <w:rPr>
          <w:rFonts w:ascii="Calibri" w:hAnsi="Calibri" w:cs="Calibri"/>
          <w:lang w:val="es-GT"/>
        </w:rPr>
        <w:t>8</w:t>
      </w:r>
      <w:r w:rsidRPr="001A01AB">
        <w:rPr>
          <w:rFonts w:ascii="Calibri" w:hAnsi="Calibri" w:cs="Calibri"/>
          <w:lang w:val="es-GT"/>
        </w:rPr>
        <w:t xml:space="preserve"> muestra los datos de disponibilidad hídrica anual en el mes de estiaje para las tres vertientes. La distribución espacial de la escasez hídrica, tanto en épo</w:t>
      </w:r>
      <w:r w:rsidR="00F65C22">
        <w:rPr>
          <w:rFonts w:ascii="Calibri" w:hAnsi="Calibri" w:cs="Calibri"/>
          <w:lang w:val="es-GT"/>
        </w:rPr>
        <w:t xml:space="preserve">ca lluviosa como en época seca se indica en la </w:t>
      </w:r>
      <w:r w:rsidRPr="001A01AB">
        <w:rPr>
          <w:rFonts w:ascii="Calibri" w:hAnsi="Calibri" w:cs="Calibri"/>
          <w:lang w:val="es-GT"/>
        </w:rPr>
        <w:t xml:space="preserve">Figura </w:t>
      </w:r>
      <w:r w:rsidR="00F65C22">
        <w:rPr>
          <w:rFonts w:ascii="Calibri" w:hAnsi="Calibri" w:cs="Calibri"/>
          <w:lang w:val="es-GT"/>
        </w:rPr>
        <w:t>31</w:t>
      </w:r>
      <w:r w:rsidRPr="001A01AB">
        <w:rPr>
          <w:rFonts w:ascii="Calibri" w:hAnsi="Calibri" w:cs="Calibri"/>
          <w:lang w:val="es-GT"/>
        </w:rPr>
        <w:t>.</w:t>
      </w:r>
    </w:p>
    <w:p w:rsidR="00B556CF" w:rsidRPr="001A01AB" w:rsidRDefault="00B556CF"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216872" w:rsidRPr="00216872" w:rsidRDefault="00C54ACC" w:rsidP="00B556CF">
      <w:pPr>
        <w:pStyle w:val="Epgrafe"/>
        <w:jc w:val="center"/>
        <w:rPr>
          <w:lang w:val="es-GT"/>
        </w:rPr>
      </w:pPr>
      <w:bookmarkStart w:id="252" w:name="_Toc340004972"/>
      <w:bookmarkStart w:id="253" w:name="_Toc340032162"/>
      <w:bookmarkStart w:id="254" w:name="_Toc340034439"/>
      <w:bookmarkStart w:id="255" w:name="_Toc343164646"/>
      <w:bookmarkStart w:id="256" w:name="_Toc347841200"/>
      <w:r w:rsidRPr="00216872">
        <w:rPr>
          <w:rFonts w:asciiTheme="minorHAnsi" w:hAnsiTheme="minorHAnsi" w:cstheme="minorHAnsi"/>
          <w:color w:val="365F91" w:themeColor="accent1" w:themeShade="BF"/>
          <w:sz w:val="22"/>
          <w:szCs w:val="22"/>
          <w:lang w:val="es-GT"/>
        </w:rPr>
        <w:lastRenderedPageBreak/>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18</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Disponibilidad hídrica anual en el mes de estiaje. Periodo 2006-2010</w:t>
      </w:r>
      <w:bookmarkEnd w:id="252"/>
      <w:bookmarkEnd w:id="253"/>
      <w:bookmarkEnd w:id="254"/>
      <w:bookmarkEnd w:id="255"/>
      <w:bookmarkEnd w:id="256"/>
    </w:p>
    <w:p w:rsidR="008327B2" w:rsidRPr="001A01AB" w:rsidRDefault="00544A9F" w:rsidP="008327B2">
      <w:pPr>
        <w:autoSpaceDE w:val="0"/>
        <w:autoSpaceDN w:val="0"/>
        <w:adjustRightInd w:val="0"/>
        <w:jc w:val="center"/>
        <w:rPr>
          <w:rFonts w:ascii="Calibri" w:hAnsi="Calibri" w:cs="Calibri"/>
          <w:noProof/>
          <w:lang w:val="es-GT" w:eastAsia="es-GT"/>
        </w:rPr>
      </w:pPr>
      <w:r>
        <w:rPr>
          <w:rFonts w:ascii="Calibri" w:hAnsi="Calibri" w:cs="Calibri"/>
          <w:noProof/>
          <w:lang w:val="es-GT" w:eastAsia="es-GT"/>
        </w:rPr>
        <w:drawing>
          <wp:inline distT="0" distB="0" distL="0" distR="0">
            <wp:extent cx="6019800" cy="1722249"/>
            <wp:effectExtent l="0" t="0" r="0" b="0"/>
            <wp:docPr id="2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70" cstate="print">
                      <a:duotone>
                        <a:schemeClr val="accent1">
                          <a:shade val="45000"/>
                          <a:satMod val="135000"/>
                        </a:schemeClr>
                        <a:prstClr val="white"/>
                      </a:duotone>
                    </a:blip>
                    <a:srcRect l="3696" t="34040" r="2278" b="18081"/>
                    <a:stretch>
                      <a:fillRect/>
                    </a:stretch>
                  </pic:blipFill>
                  <pic:spPr bwMode="auto">
                    <a:xfrm>
                      <a:off x="0" y="0"/>
                      <a:ext cx="6019800" cy="1722120"/>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left="720" w:right="4"/>
        <w:jc w:val="right"/>
        <w:rPr>
          <w:rFonts w:ascii="Calibri" w:hAnsi="Calibri" w:cs="Calibri"/>
          <w:noProof/>
          <w:sz w:val="20"/>
          <w:szCs w:val="20"/>
          <w:lang w:val="es-GT" w:eastAsia="es-GT"/>
        </w:rPr>
      </w:pPr>
      <w:r w:rsidRPr="001A01AB">
        <w:rPr>
          <w:rFonts w:ascii="Calibri" w:hAnsi="Calibri" w:cs="Calibri"/>
          <w:sz w:val="20"/>
          <w:lang w:val="es-GT"/>
        </w:rPr>
        <w:t xml:space="preserve">Fuente: </w:t>
      </w:r>
      <w:r w:rsidR="00F65C22">
        <w:rPr>
          <w:rFonts w:ascii="Calibri" w:hAnsi="Calibri" w:cs="Calibri"/>
          <w:sz w:val="20"/>
          <w:szCs w:val="20"/>
          <w:lang w:val="es-GT" w:eastAsia="es-GT"/>
        </w:rPr>
        <w:t xml:space="preserve">MARN, </w:t>
      </w:r>
      <w:r w:rsidRPr="001A01AB">
        <w:rPr>
          <w:rFonts w:ascii="Calibri" w:hAnsi="Calibri" w:cs="Calibri"/>
          <w:sz w:val="20"/>
          <w:szCs w:val="20"/>
          <w:lang w:val="es-GT" w:eastAsia="es-GT"/>
        </w:rPr>
        <w:t>IARNA-</w:t>
      </w:r>
      <w:r w:rsidR="00F65C22">
        <w:rPr>
          <w:rFonts w:ascii="Calibri" w:hAnsi="Calibri" w:cs="Calibri"/>
          <w:sz w:val="20"/>
          <w:szCs w:val="20"/>
          <w:lang w:val="es-GT" w:eastAsia="es-GT"/>
        </w:rPr>
        <w:t>URL y PNUMA (</w:t>
      </w:r>
      <w:r w:rsidRPr="001A01AB">
        <w:rPr>
          <w:rFonts w:ascii="Calibri" w:hAnsi="Calibri" w:cs="Calibri"/>
          <w:sz w:val="20"/>
          <w:szCs w:val="20"/>
          <w:lang w:val="es-GT" w:eastAsia="es-GT"/>
        </w:rPr>
        <w:t>2009)</w:t>
      </w:r>
      <w:r w:rsidR="00F65C22">
        <w:rPr>
          <w:rFonts w:ascii="Calibri" w:hAnsi="Calibri" w:cs="Calibri"/>
          <w:sz w:val="20"/>
          <w:szCs w:val="20"/>
          <w:lang w:val="es-GT" w:eastAsia="es-GT"/>
        </w:rPr>
        <w:t>.</w:t>
      </w:r>
      <w:r w:rsidRPr="001A01AB">
        <w:rPr>
          <w:rFonts w:ascii="Calibri" w:hAnsi="Calibri" w:cs="Calibri"/>
          <w:sz w:val="20"/>
          <w:szCs w:val="20"/>
          <w:lang w:val="es-GT" w:eastAsia="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257" w:name="_Toc340005084"/>
      <w:bookmarkStart w:id="258" w:name="_Toc340034499"/>
      <w:bookmarkStart w:id="259" w:name="_Toc343098413"/>
      <w:bookmarkStart w:id="260" w:name="_Toc343098521"/>
      <w:bookmarkStart w:id="261" w:name="_Toc347841254"/>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31</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Escasez hídrica anual, época lluviosa y época seca, año 2005</w:t>
      </w:r>
      <w:bookmarkEnd w:id="257"/>
      <w:bookmarkEnd w:id="258"/>
      <w:bookmarkEnd w:id="259"/>
      <w:bookmarkEnd w:id="260"/>
      <w:bookmarkEnd w:id="261"/>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4600575" cy="5438775"/>
            <wp:effectExtent l="0" t="0" r="9525" b="9525"/>
            <wp:docPr id="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l="31041" t="13104" r="30128" b="5190"/>
                    <a:stretch>
                      <a:fillRect/>
                    </a:stretch>
                  </pic:blipFill>
                  <pic:spPr bwMode="auto">
                    <a:xfrm>
                      <a:off x="0" y="0"/>
                      <a:ext cx="4600575" cy="5438775"/>
                    </a:xfrm>
                    <a:prstGeom prst="rect">
                      <a:avLst/>
                    </a:prstGeom>
                    <a:noFill/>
                    <a:ln>
                      <a:noFill/>
                    </a:ln>
                  </pic:spPr>
                </pic:pic>
              </a:graphicData>
            </a:graphic>
          </wp:inline>
        </w:drawing>
      </w:r>
    </w:p>
    <w:p w:rsidR="008327B2" w:rsidRPr="001A01AB" w:rsidRDefault="008327B2" w:rsidP="00F65C22">
      <w:pPr>
        <w:autoSpaceDE w:val="0"/>
        <w:autoSpaceDN w:val="0"/>
        <w:adjustRightInd w:val="0"/>
        <w:ind w:right="4"/>
        <w:jc w:val="right"/>
        <w:rPr>
          <w:rFonts w:ascii="Calibri" w:hAnsi="Calibri" w:cs="Calibri"/>
          <w:noProof/>
          <w:sz w:val="20"/>
          <w:szCs w:val="20"/>
          <w:lang w:val="es-GT" w:eastAsia="es-GT"/>
        </w:rPr>
      </w:pPr>
      <w:r w:rsidRPr="001A01AB">
        <w:rPr>
          <w:rFonts w:ascii="Calibri" w:hAnsi="Calibri" w:cs="Calibri"/>
          <w:sz w:val="20"/>
          <w:lang w:val="es-GT"/>
        </w:rPr>
        <w:t xml:space="preserve">Fuente: </w:t>
      </w:r>
      <w:r w:rsidR="00F65C22">
        <w:rPr>
          <w:rFonts w:ascii="Calibri" w:hAnsi="Calibri" w:cs="Calibri"/>
          <w:sz w:val="20"/>
          <w:szCs w:val="20"/>
          <w:lang w:val="es-GT" w:eastAsia="es-GT"/>
        </w:rPr>
        <w:t xml:space="preserve">MARN, </w:t>
      </w:r>
      <w:r w:rsidR="00F65C22" w:rsidRPr="001A01AB">
        <w:rPr>
          <w:rFonts w:ascii="Calibri" w:hAnsi="Calibri" w:cs="Calibri"/>
          <w:sz w:val="20"/>
          <w:szCs w:val="20"/>
          <w:lang w:val="es-GT" w:eastAsia="es-GT"/>
        </w:rPr>
        <w:t>IARNA-</w:t>
      </w:r>
      <w:r w:rsidR="00F65C22">
        <w:rPr>
          <w:rFonts w:ascii="Calibri" w:hAnsi="Calibri" w:cs="Calibri"/>
          <w:sz w:val="20"/>
          <w:szCs w:val="20"/>
          <w:lang w:val="es-GT" w:eastAsia="es-GT"/>
        </w:rPr>
        <w:t>URL y PNUMA (</w:t>
      </w:r>
      <w:r w:rsidR="00F65C22" w:rsidRPr="001A01AB">
        <w:rPr>
          <w:rFonts w:ascii="Calibri" w:hAnsi="Calibri" w:cs="Calibri"/>
          <w:sz w:val="20"/>
          <w:szCs w:val="20"/>
          <w:lang w:val="es-GT" w:eastAsia="es-GT"/>
        </w:rPr>
        <w:t>2009)</w:t>
      </w:r>
      <w:r w:rsidR="00F65C22">
        <w:rPr>
          <w:rFonts w:ascii="Calibri" w:hAnsi="Calibri" w:cs="Calibri"/>
          <w:sz w:val="20"/>
          <w:szCs w:val="20"/>
          <w:lang w:val="es-GT" w:eastAsia="es-GT"/>
        </w:rPr>
        <w:t>.</w:t>
      </w:r>
    </w:p>
    <w:p w:rsidR="008327B2" w:rsidRPr="00735511" w:rsidRDefault="008327B2" w:rsidP="008327B2">
      <w:pPr>
        <w:autoSpaceDE w:val="0"/>
        <w:autoSpaceDN w:val="0"/>
        <w:adjustRightInd w:val="0"/>
        <w:jc w:val="both"/>
        <w:rPr>
          <w:rFonts w:ascii="Calibri" w:hAnsi="Calibri" w:cs="Calibri"/>
          <w:b/>
          <w:i/>
          <w:color w:val="365F91"/>
          <w:lang w:val="es-GT"/>
        </w:rPr>
      </w:pPr>
      <w:r w:rsidRPr="00735511">
        <w:rPr>
          <w:rFonts w:ascii="Calibri" w:hAnsi="Calibri" w:cs="Calibri"/>
          <w:b/>
          <w:i/>
          <w:color w:val="365F91"/>
          <w:lang w:val="es-GT"/>
        </w:rPr>
        <w:lastRenderedPageBreak/>
        <w:t>Utilización del agua en Guatemala</w:t>
      </w:r>
    </w:p>
    <w:p w:rsidR="008327B2" w:rsidRPr="00735511"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735511">
        <w:rPr>
          <w:rFonts w:ascii="Calibri" w:hAnsi="Calibri" w:cs="Calibri"/>
          <w:lang w:val="es-GT"/>
        </w:rPr>
        <w:t xml:space="preserve">De acuerdo con estimaciones de la </w:t>
      </w:r>
      <w:r w:rsidRPr="00735511">
        <w:rPr>
          <w:rFonts w:ascii="Calibri" w:hAnsi="Calibri" w:cs="Calibri"/>
          <w:i/>
          <w:iCs/>
          <w:lang w:val="es-GT"/>
        </w:rPr>
        <w:t xml:space="preserve">Cuenta Integrada de Recursos Hídricos </w:t>
      </w:r>
      <w:commentRangeStart w:id="262"/>
      <w:r w:rsidRPr="00735511">
        <w:rPr>
          <w:rFonts w:ascii="Calibri" w:hAnsi="Calibri" w:cs="Calibri"/>
          <w:lang w:val="es-GT"/>
        </w:rPr>
        <w:t xml:space="preserve">(IARNA-URL, 2011), </w:t>
      </w:r>
      <w:commentRangeEnd w:id="262"/>
      <w:r w:rsidR="00735511">
        <w:rPr>
          <w:rStyle w:val="Refdecomentario"/>
        </w:rPr>
        <w:commentReference w:id="262"/>
      </w:r>
      <w:r w:rsidRPr="00735511">
        <w:rPr>
          <w:rFonts w:ascii="Calibri" w:hAnsi="Calibri" w:cs="Calibri"/>
          <w:lang w:val="es-GT"/>
        </w:rPr>
        <w:t>sobre la demanda de agua en el país, entre 2007 y 2010 se habrían destinado más de 20 mil millones de metros cúbicos de agua al año para usos consuntivos y no consuntivos</w:t>
      </w:r>
      <w:r w:rsidRPr="00735511">
        <w:rPr>
          <w:rStyle w:val="Refdenotaalpie"/>
          <w:rFonts w:ascii="Calibri" w:hAnsi="Calibri" w:cs="Calibri"/>
          <w:lang w:val="es-GT"/>
        </w:rPr>
        <w:footnoteReference w:id="6"/>
      </w:r>
      <w:r w:rsidR="00735511">
        <w:rPr>
          <w:rFonts w:ascii="Calibri" w:hAnsi="Calibri" w:cs="Calibri"/>
          <w:lang w:val="es-GT"/>
        </w:rPr>
        <w:t xml:space="preserve"> (Cuadro 1</w:t>
      </w:r>
      <w:r w:rsidR="004C77F8">
        <w:rPr>
          <w:rFonts w:ascii="Calibri" w:hAnsi="Calibri" w:cs="Calibri"/>
          <w:lang w:val="es-GT"/>
        </w:rPr>
        <w:t>9</w:t>
      </w:r>
      <w:r w:rsidR="00735511">
        <w:rPr>
          <w:rFonts w:ascii="Calibri" w:hAnsi="Calibri" w:cs="Calibri"/>
          <w:lang w:val="es-GT"/>
        </w:rPr>
        <w:t>)</w:t>
      </w:r>
      <w:r w:rsidRPr="00735511">
        <w:rPr>
          <w:rFonts w:ascii="Calibri" w:hAnsi="Calibri" w:cs="Calibri"/>
          <w:lang w:val="es-GT"/>
        </w:rPr>
        <w:t>. La utilización anual de agua en ese periodo representa entre el 20% y el 22% de la oferta hídrica disponible anualmente para Guatemala, que se estima por arriba de los 90,000 millones de metros cúbicos.</w:t>
      </w:r>
    </w:p>
    <w:p w:rsidR="008327B2" w:rsidRPr="001A01AB" w:rsidRDefault="008327B2" w:rsidP="008327B2">
      <w:pPr>
        <w:autoSpaceDE w:val="0"/>
        <w:autoSpaceDN w:val="0"/>
        <w:adjustRightInd w:val="0"/>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263" w:name="_Toc340004973"/>
      <w:bookmarkStart w:id="264" w:name="_Toc340032163"/>
      <w:bookmarkStart w:id="265" w:name="_Toc340034440"/>
      <w:bookmarkStart w:id="266" w:name="_Toc343164647"/>
      <w:bookmarkStart w:id="267" w:name="_Toc347841201"/>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19</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Utilización de agua en Guatemala por grandes grupos de actividades económicas y de consumo (millones de m3). Periodo 2006-2010</w:t>
      </w:r>
      <w:bookmarkEnd w:id="263"/>
      <w:bookmarkEnd w:id="264"/>
      <w:bookmarkEnd w:id="265"/>
      <w:bookmarkEnd w:id="266"/>
      <w:bookmarkEnd w:id="267"/>
    </w:p>
    <w:p w:rsidR="00216872" w:rsidRPr="00216872" w:rsidRDefault="00216872" w:rsidP="00216872">
      <w:pPr>
        <w:rPr>
          <w:lang w:val="es-GT"/>
        </w:rPr>
      </w:pPr>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838825" cy="2360801"/>
            <wp:effectExtent l="0" t="0" r="9525" b="1905"/>
            <wp:docPr id="2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4"/>
                    <pic:cNvPicPr>
                      <a:picLocks noChangeAspect="1" noChangeArrowheads="1"/>
                    </pic:cNvPicPr>
                  </pic:nvPicPr>
                  <pic:blipFill>
                    <a:blip r:embed="rId72" cstate="print">
                      <a:duotone>
                        <a:schemeClr val="accent1">
                          <a:shade val="45000"/>
                          <a:satMod val="135000"/>
                        </a:schemeClr>
                        <a:prstClr val="white"/>
                      </a:duotone>
                    </a:blip>
                    <a:srcRect l="2716" t="15254" r="1463" b="15970"/>
                    <a:stretch>
                      <a:fillRect/>
                    </a:stretch>
                  </pic:blipFill>
                  <pic:spPr bwMode="auto">
                    <a:xfrm>
                      <a:off x="0" y="0"/>
                      <a:ext cx="5838825" cy="2360295"/>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left="720" w:right="270"/>
        <w:jc w:val="right"/>
        <w:rPr>
          <w:rFonts w:ascii="Calibri" w:hAnsi="Calibri" w:cs="Calibri"/>
          <w:lang w:val="es-GT"/>
        </w:rPr>
      </w:pPr>
      <w:r w:rsidRPr="001A01AB">
        <w:rPr>
          <w:rFonts w:ascii="Calibri" w:hAnsi="Calibri" w:cs="Calibri"/>
          <w:sz w:val="20"/>
          <w:lang w:val="es-GT"/>
        </w:rPr>
        <w:t xml:space="preserve">Fuente: </w:t>
      </w:r>
      <w:r w:rsidR="00735511">
        <w:rPr>
          <w:rFonts w:ascii="Calibri" w:hAnsi="Calibri" w:cs="Calibri"/>
          <w:sz w:val="20"/>
          <w:lang w:val="es-GT"/>
        </w:rPr>
        <w:t>IARNA-URL (</w:t>
      </w:r>
      <w:r w:rsidRPr="001A01AB">
        <w:rPr>
          <w:rFonts w:ascii="Calibri" w:hAnsi="Calibri" w:cs="Calibri"/>
          <w:sz w:val="20"/>
          <w:lang w:val="es-GT"/>
        </w:rPr>
        <w:t>2012)</w:t>
      </w:r>
      <w:r w:rsidR="00735511">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i/>
          <w:color w:val="365F91"/>
          <w:lang w:val="es-GT"/>
        </w:rPr>
      </w:pPr>
      <w:r w:rsidRPr="001A01AB">
        <w:rPr>
          <w:rFonts w:ascii="Calibri" w:hAnsi="Calibri" w:cs="Calibri"/>
          <w:b/>
          <w:i/>
          <w:color w:val="365F91"/>
          <w:lang w:val="es-GT"/>
        </w:rPr>
        <w:t>Usos consuntivos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De los 20,373.88 millones de m</w:t>
      </w:r>
      <w:r w:rsidRPr="00735511">
        <w:rPr>
          <w:rFonts w:ascii="Calibri" w:hAnsi="Calibri" w:cs="Calibri"/>
          <w:vertAlign w:val="superscript"/>
          <w:lang w:val="es-GT"/>
        </w:rPr>
        <w:t>3</w:t>
      </w:r>
      <w:r w:rsidRPr="001A01AB">
        <w:rPr>
          <w:rFonts w:ascii="Calibri" w:hAnsi="Calibri" w:cs="Calibri"/>
          <w:lang w:val="es-GT"/>
        </w:rPr>
        <w:t xml:space="preserve"> utilizados en 2010, 7,643.17 millones fueron empleados por la industria, incluyendo la agroindustria, lo que representó el 37.5% del agua utilizada. Las actividades agropecuarias y silviculturales demandaron el 31.9% de los recursos hídricos utilizados en el país, es decir 6,496.56 millones de m</w:t>
      </w:r>
      <w:r w:rsidRPr="00735511">
        <w:rPr>
          <w:rFonts w:ascii="Calibri" w:hAnsi="Calibri" w:cs="Calibri"/>
          <w:vertAlign w:val="superscript"/>
          <w:lang w:val="es-GT"/>
        </w:rPr>
        <w:t>3</w:t>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tbl>
      <w:tblPr>
        <w:tblW w:w="9356" w:type="dxa"/>
        <w:tblInd w:w="108" w:type="dxa"/>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shd w:val="clear" w:color="auto" w:fill="E7EDF5"/>
        <w:tblLook w:val="04A0" w:firstRow="1" w:lastRow="0" w:firstColumn="1" w:lastColumn="0" w:noHBand="0" w:noVBand="1"/>
      </w:tblPr>
      <w:tblGrid>
        <w:gridCol w:w="9356"/>
      </w:tblGrid>
      <w:tr w:rsidR="008327B2" w:rsidRPr="000364C9" w:rsidTr="001A01AB">
        <w:tc>
          <w:tcPr>
            <w:tcW w:w="9356" w:type="dxa"/>
            <w:shd w:val="clear" w:color="auto" w:fill="auto"/>
          </w:tcPr>
          <w:p w:rsidR="008327B2" w:rsidRPr="00735511" w:rsidRDefault="00735511" w:rsidP="00735511">
            <w:pPr>
              <w:autoSpaceDE w:val="0"/>
              <w:autoSpaceDN w:val="0"/>
              <w:adjustRightInd w:val="0"/>
              <w:jc w:val="center"/>
              <w:rPr>
                <w:rFonts w:ascii="Calibri" w:hAnsi="Calibri" w:cs="Calibri"/>
                <w:b/>
                <w:lang w:val="es-GT"/>
              </w:rPr>
            </w:pPr>
            <w:r w:rsidRPr="00735511">
              <w:rPr>
                <w:rFonts w:ascii="Calibri" w:hAnsi="Calibri" w:cs="Calibri"/>
                <w:b/>
                <w:lang w:val="es-GT"/>
              </w:rPr>
              <w:t xml:space="preserve">Recuadro 1. </w:t>
            </w:r>
            <w:r w:rsidR="008327B2" w:rsidRPr="00735511">
              <w:rPr>
                <w:rFonts w:ascii="Calibri" w:hAnsi="Calibri" w:cs="Calibri"/>
                <w:b/>
                <w:lang w:val="es-GT"/>
              </w:rPr>
              <w:t>Riego</w:t>
            </w:r>
          </w:p>
          <w:p w:rsidR="00735511" w:rsidRPr="00735511" w:rsidRDefault="00735511" w:rsidP="00735511">
            <w:pPr>
              <w:autoSpaceDE w:val="0"/>
              <w:autoSpaceDN w:val="0"/>
              <w:adjustRightInd w:val="0"/>
              <w:jc w:val="center"/>
              <w:rPr>
                <w:rFonts w:ascii="Calibri" w:hAnsi="Calibri" w:cs="Calibri"/>
                <w:lang w:val="es-GT"/>
              </w:rPr>
            </w:pPr>
          </w:p>
          <w:p w:rsidR="008327B2" w:rsidRDefault="008327B2" w:rsidP="001A01AB">
            <w:pPr>
              <w:autoSpaceDE w:val="0"/>
              <w:autoSpaceDN w:val="0"/>
              <w:adjustRightInd w:val="0"/>
              <w:jc w:val="both"/>
              <w:rPr>
                <w:rFonts w:ascii="Calibri" w:hAnsi="Calibri" w:cs="Calibri"/>
                <w:lang w:val="es-GT"/>
              </w:rPr>
            </w:pPr>
            <w:r w:rsidRPr="001A01AB">
              <w:rPr>
                <w:rFonts w:ascii="Calibri" w:hAnsi="Calibri" w:cs="Calibri"/>
                <w:lang w:val="es-GT"/>
              </w:rPr>
              <w:t xml:space="preserve">El Censo Nacional Agropecuario 2002-2003 </w:t>
            </w:r>
            <w:r w:rsidRPr="001C0399">
              <w:rPr>
                <w:rFonts w:ascii="Calibri" w:hAnsi="Calibri" w:cs="Calibri"/>
                <w:lang w:val="es-GT"/>
              </w:rPr>
              <w:t>(INE, 2004)</w:t>
            </w:r>
            <w:r w:rsidRPr="001A01AB">
              <w:rPr>
                <w:rFonts w:ascii="Calibri" w:hAnsi="Calibri" w:cs="Calibri"/>
                <w:lang w:val="es-GT"/>
              </w:rPr>
              <w:t xml:space="preserve"> report</w:t>
            </w:r>
            <w:r w:rsidR="00735511">
              <w:rPr>
                <w:rFonts w:ascii="Calibri" w:hAnsi="Calibri" w:cs="Calibri"/>
                <w:lang w:val="es-GT"/>
              </w:rPr>
              <w:t>ó</w:t>
            </w:r>
            <w:r w:rsidRPr="001A01AB">
              <w:rPr>
                <w:rFonts w:ascii="Calibri" w:hAnsi="Calibri" w:cs="Calibri"/>
                <w:lang w:val="es-GT"/>
              </w:rPr>
              <w:t xml:space="preserve"> que la agricultura de riego ocupa el 11% de las tierras agrícolas en fincas censales, y el 24% de las áreas aptas para riego del país </w:t>
            </w:r>
            <w:r w:rsidRPr="001C0399">
              <w:rPr>
                <w:rFonts w:ascii="Calibri" w:hAnsi="Calibri" w:cs="Calibri"/>
                <w:lang w:val="es-GT"/>
              </w:rPr>
              <w:t>(SEGEPLAN y BID, 2006</w:t>
            </w:r>
            <w:r w:rsidR="00735511" w:rsidRPr="001C0399">
              <w:rPr>
                <w:rFonts w:ascii="Calibri" w:hAnsi="Calibri" w:cs="Calibri"/>
                <w:lang w:val="es-GT"/>
              </w:rPr>
              <w:t>)</w:t>
            </w:r>
            <w:r w:rsidRPr="001C0399">
              <w:rPr>
                <w:rFonts w:ascii="Calibri" w:hAnsi="Calibri" w:cs="Calibri"/>
                <w:lang w:val="es-GT"/>
              </w:rPr>
              <w:t>.</w:t>
            </w:r>
            <w:r w:rsidRPr="001A01AB">
              <w:rPr>
                <w:rFonts w:ascii="Calibri" w:hAnsi="Calibri" w:cs="Calibri"/>
                <w:lang w:val="es-GT"/>
              </w:rPr>
              <w:t xml:space="preserve"> La promoción de la agricultura de riego es esencial para satisfacer la creciente demanda de producción de alimentos; es por ello que se recomienda adoptar técnicas eficientes de uso de agua. Se estima que el volumen de agua utilizada en el riego rondó los 3,800 millones de m</w:t>
            </w:r>
            <w:r w:rsidRPr="0017736D">
              <w:rPr>
                <w:rFonts w:ascii="Calibri" w:hAnsi="Calibri" w:cs="Calibri"/>
                <w:vertAlign w:val="superscript"/>
                <w:lang w:val="es-GT"/>
              </w:rPr>
              <w:t>3</w:t>
            </w:r>
            <w:r w:rsidRPr="001A01AB">
              <w:rPr>
                <w:rFonts w:ascii="Calibri" w:hAnsi="Calibri" w:cs="Calibri"/>
                <w:lang w:val="es-GT"/>
              </w:rPr>
              <w:t>, de los cuales el 38% se produjo por inundación y el 46% por aspersión (</w:t>
            </w:r>
            <w:r w:rsidR="00735511" w:rsidRPr="001C0399">
              <w:rPr>
                <w:rFonts w:ascii="Calibri" w:hAnsi="Calibri" w:cs="Calibri"/>
                <w:highlight w:val="magenta"/>
                <w:lang w:val="es-GT"/>
              </w:rPr>
              <w:t>IARNA-URL,</w:t>
            </w:r>
            <w:r w:rsidRPr="001C0399">
              <w:rPr>
                <w:rFonts w:ascii="Calibri" w:hAnsi="Calibri" w:cs="Calibri"/>
                <w:highlight w:val="magenta"/>
                <w:lang w:val="es-GT"/>
              </w:rPr>
              <w:t xml:space="preserve"> 2008).</w:t>
            </w:r>
            <w:r w:rsidRPr="001A01AB">
              <w:rPr>
                <w:rFonts w:ascii="Calibri" w:hAnsi="Calibri" w:cs="Calibri"/>
                <w:lang w:val="es-GT"/>
              </w:rPr>
              <w:t xml:space="preserve"> </w:t>
            </w:r>
          </w:p>
          <w:p w:rsidR="00735511" w:rsidRPr="001A01AB" w:rsidRDefault="00735511" w:rsidP="001A01AB">
            <w:pPr>
              <w:autoSpaceDE w:val="0"/>
              <w:autoSpaceDN w:val="0"/>
              <w:adjustRightInd w:val="0"/>
              <w:jc w:val="both"/>
              <w:rPr>
                <w:rFonts w:ascii="Calibri" w:hAnsi="Calibri" w:cs="Calibri"/>
                <w:lang w:val="es-GT"/>
              </w:rPr>
            </w:pPr>
          </w:p>
          <w:p w:rsidR="008327B2" w:rsidRDefault="008327B2" w:rsidP="001A01AB">
            <w:pPr>
              <w:autoSpaceDE w:val="0"/>
              <w:autoSpaceDN w:val="0"/>
              <w:adjustRightInd w:val="0"/>
              <w:jc w:val="both"/>
              <w:rPr>
                <w:rFonts w:ascii="Calibri" w:hAnsi="Calibri" w:cs="Calibri"/>
                <w:lang w:val="es-GT"/>
              </w:rPr>
            </w:pPr>
            <w:r w:rsidRPr="001A01AB">
              <w:rPr>
                <w:rFonts w:ascii="Calibri" w:hAnsi="Calibri" w:cs="Calibri"/>
                <w:lang w:val="es-GT"/>
              </w:rPr>
              <w:t>Las estrategias de promoción de agricultura de riego deben favorecer técnicas más eficientes en el uso del agua (como micro-aspersión y riego por goteo), para hacer factible el crecimiento agrícola y disminuir la tensión que genera la competencia por el uso del agua para otros fines.</w:t>
            </w:r>
          </w:p>
          <w:p w:rsidR="00735511" w:rsidRPr="001A01AB" w:rsidRDefault="00735511" w:rsidP="001A01AB">
            <w:pPr>
              <w:autoSpaceDE w:val="0"/>
              <w:autoSpaceDN w:val="0"/>
              <w:adjustRightInd w:val="0"/>
              <w:jc w:val="both"/>
              <w:rPr>
                <w:rFonts w:ascii="Calibri" w:hAnsi="Calibri" w:cs="Calibri"/>
                <w:lang w:val="es-GT"/>
              </w:rPr>
            </w:pPr>
          </w:p>
          <w:p w:rsidR="008327B2" w:rsidRPr="001A01AB" w:rsidRDefault="008327B2" w:rsidP="001A01AB">
            <w:pPr>
              <w:autoSpaceDE w:val="0"/>
              <w:autoSpaceDN w:val="0"/>
              <w:adjustRightInd w:val="0"/>
              <w:jc w:val="both"/>
              <w:rPr>
                <w:rFonts w:ascii="Calibri" w:hAnsi="Calibri" w:cs="Calibri"/>
                <w:lang w:val="es-GT"/>
              </w:rPr>
            </w:pPr>
            <w:r w:rsidRPr="001A01AB">
              <w:rPr>
                <w:rFonts w:ascii="Calibri" w:hAnsi="Calibri" w:cs="Calibri"/>
                <w:lang w:val="es-GT"/>
              </w:rPr>
              <w:t>Del área susceptible a ser regada (alrededor de 1.5 millones de hectáreas), se estima que menos del 10% (130,000 hectáreas) posee cultivo bajo riego. El 20% del área regada corresponde a proyectos ejecutados por el Gobierno –la mayoría de los cuales han sido transferidos a los usuarios– y un 80% a proyectos ejecutados por la iniciativa privada.</w:t>
            </w:r>
          </w:p>
        </w:tc>
      </w:tr>
    </w:tbl>
    <w:p w:rsidR="008327B2" w:rsidRPr="00735511" w:rsidRDefault="00735511" w:rsidP="00735511">
      <w:pPr>
        <w:autoSpaceDE w:val="0"/>
        <w:autoSpaceDN w:val="0"/>
        <w:adjustRightInd w:val="0"/>
        <w:jc w:val="right"/>
        <w:rPr>
          <w:rFonts w:ascii="Calibri" w:hAnsi="Calibri" w:cs="Calibri"/>
          <w:sz w:val="20"/>
          <w:szCs w:val="20"/>
          <w:lang w:val="es-GT"/>
        </w:rPr>
      </w:pPr>
      <w:r w:rsidRPr="00735511">
        <w:rPr>
          <w:rFonts w:ascii="Calibri" w:hAnsi="Calibri" w:cs="Calibri"/>
          <w:sz w:val="20"/>
          <w:szCs w:val="20"/>
          <w:highlight w:val="red"/>
          <w:lang w:val="es-GT"/>
        </w:rPr>
        <w:t>Fuente:</w:t>
      </w:r>
      <w:r w:rsidRPr="00735511">
        <w:rPr>
          <w:rFonts w:ascii="Calibri" w:hAnsi="Calibri" w:cs="Calibri"/>
          <w:sz w:val="20"/>
          <w:szCs w:val="20"/>
          <w:lang w:val="es-GT"/>
        </w:rPr>
        <w:t xml:space="preserve"> </w:t>
      </w:r>
    </w:p>
    <w:p w:rsidR="00735511" w:rsidRPr="001A01AB" w:rsidRDefault="00735511"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El Cuadro </w:t>
      </w:r>
      <w:r w:rsidR="004C77F8">
        <w:rPr>
          <w:rFonts w:ascii="Calibri" w:hAnsi="Calibri" w:cs="Calibri"/>
          <w:lang w:val="es-GT"/>
        </w:rPr>
        <w:t>20</w:t>
      </w:r>
      <w:r w:rsidR="00844C8A">
        <w:rPr>
          <w:rFonts w:ascii="Calibri" w:hAnsi="Calibri" w:cs="Calibri"/>
          <w:lang w:val="es-GT"/>
        </w:rPr>
        <w:t xml:space="preserve"> presenta</w:t>
      </w:r>
      <w:r w:rsidRPr="001A01AB">
        <w:rPr>
          <w:rFonts w:ascii="Calibri" w:hAnsi="Calibri" w:cs="Calibri"/>
          <w:lang w:val="es-GT"/>
        </w:rPr>
        <w:t xml:space="preserve"> las estimaciones realizadas para la demanda de agua para riego, por vertiente y por tipo de sistema de riego.</w:t>
      </w:r>
    </w:p>
    <w:p w:rsidR="008327B2" w:rsidRPr="001A01AB" w:rsidRDefault="008327B2" w:rsidP="008327B2">
      <w:pPr>
        <w:autoSpaceDE w:val="0"/>
        <w:autoSpaceDN w:val="0"/>
        <w:adjustRightInd w:val="0"/>
        <w:jc w:val="both"/>
        <w:rPr>
          <w:rFonts w:ascii="Calibri" w:hAnsi="Calibri" w:cs="Calibri"/>
          <w:lang w:val="es-GT"/>
        </w:rPr>
      </w:pPr>
    </w:p>
    <w:p w:rsidR="008327B2" w:rsidRPr="00216872" w:rsidRDefault="00C54ACC" w:rsidP="00216872">
      <w:pPr>
        <w:pStyle w:val="Epgrafe"/>
        <w:jc w:val="center"/>
        <w:rPr>
          <w:rFonts w:asciiTheme="minorHAnsi" w:hAnsiTheme="minorHAnsi" w:cstheme="minorHAnsi"/>
          <w:color w:val="365F91" w:themeColor="accent1" w:themeShade="BF"/>
          <w:sz w:val="22"/>
          <w:szCs w:val="22"/>
          <w:lang w:val="es-GT"/>
        </w:rPr>
      </w:pPr>
      <w:bookmarkStart w:id="268" w:name="_Toc340004974"/>
      <w:bookmarkStart w:id="269" w:name="_Toc340032164"/>
      <w:bookmarkStart w:id="270" w:name="_Toc340034441"/>
      <w:bookmarkStart w:id="271" w:name="_Toc343164648"/>
      <w:bookmarkStart w:id="272" w:name="_Toc347841202"/>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20</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Demanda de agua para riego</w:t>
      </w:r>
      <w:bookmarkEnd w:id="268"/>
      <w:bookmarkEnd w:id="269"/>
      <w:bookmarkEnd w:id="270"/>
      <w:bookmarkEnd w:id="271"/>
      <w:bookmarkEnd w:id="272"/>
      <w:r w:rsidR="00216872">
        <w:rPr>
          <w:rFonts w:asciiTheme="minorHAnsi" w:hAnsiTheme="minorHAnsi" w:cstheme="minorHAnsi"/>
          <w:color w:val="365F91" w:themeColor="accent1" w:themeShade="BF"/>
          <w:sz w:val="22"/>
          <w:szCs w:val="22"/>
          <w:lang w:val="es-GT"/>
        </w:rPr>
        <w:br/>
      </w:r>
    </w:p>
    <w:p w:rsidR="008327B2" w:rsidRPr="00216872" w:rsidRDefault="00544A9F" w:rsidP="008327B2">
      <w:pPr>
        <w:autoSpaceDE w:val="0"/>
        <w:autoSpaceDN w:val="0"/>
        <w:adjustRightInd w:val="0"/>
        <w:jc w:val="center"/>
        <w:rPr>
          <w:rFonts w:asciiTheme="minorHAnsi" w:hAnsiTheme="minorHAnsi" w:cstheme="minorHAnsi"/>
          <w:b/>
          <w:bCs/>
          <w:color w:val="365F91" w:themeColor="accent1" w:themeShade="BF"/>
          <w:sz w:val="22"/>
          <w:szCs w:val="22"/>
          <w:lang w:val="es-GT"/>
        </w:rPr>
      </w:pPr>
      <w:r w:rsidRPr="00216872">
        <w:rPr>
          <w:rFonts w:asciiTheme="minorHAnsi" w:hAnsiTheme="minorHAnsi" w:cstheme="minorHAnsi"/>
          <w:b/>
          <w:bCs/>
          <w:color w:val="365F91" w:themeColor="accent1" w:themeShade="BF"/>
          <w:sz w:val="22"/>
          <w:szCs w:val="22"/>
          <w:lang w:val="es-GT"/>
        </w:rPr>
        <w:drawing>
          <wp:inline distT="0" distB="0" distL="0" distR="0" wp14:anchorId="341A045A" wp14:editId="6525CAE8">
            <wp:extent cx="5734050" cy="1609725"/>
            <wp:effectExtent l="0" t="0" r="0" b="9525"/>
            <wp:docPr id="2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pic:cNvPicPr>
                      <a:picLocks noChangeAspect="1" noChangeArrowheads="1"/>
                    </pic:cNvPicPr>
                  </pic:nvPicPr>
                  <pic:blipFill>
                    <a:blip r:embed="rId73" cstate="print">
                      <a:duotone>
                        <a:schemeClr val="accent1">
                          <a:shade val="45000"/>
                          <a:satMod val="135000"/>
                        </a:schemeClr>
                        <a:prstClr val="white"/>
                      </a:duotone>
                    </a:blip>
                    <a:srcRect l="8421" t="21440" r="4168" b="34880"/>
                    <a:stretch>
                      <a:fillRect/>
                    </a:stretch>
                  </pic:blipFill>
                  <pic:spPr bwMode="auto">
                    <a:xfrm>
                      <a:off x="0" y="0"/>
                      <a:ext cx="5734050" cy="1609725"/>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right="288"/>
        <w:jc w:val="right"/>
        <w:rPr>
          <w:rFonts w:ascii="Calibri" w:hAnsi="Calibri" w:cs="Calibri"/>
          <w:noProof/>
          <w:sz w:val="20"/>
          <w:szCs w:val="20"/>
          <w:lang w:val="es-GT" w:eastAsia="es-GT"/>
        </w:rPr>
      </w:pPr>
      <w:r w:rsidRPr="001A01AB">
        <w:rPr>
          <w:rFonts w:ascii="Calibri" w:hAnsi="Calibri" w:cs="Calibri"/>
          <w:sz w:val="20"/>
          <w:lang w:val="es-GT"/>
        </w:rPr>
        <w:t xml:space="preserve">Fuente: </w:t>
      </w:r>
      <w:r w:rsidR="00844C8A">
        <w:rPr>
          <w:rFonts w:ascii="Calibri" w:hAnsi="Calibri" w:cs="Calibri"/>
          <w:sz w:val="20"/>
          <w:szCs w:val="20"/>
          <w:lang w:val="es-GT" w:eastAsia="es-GT"/>
        </w:rPr>
        <w:t>MARN, IARNA-</w:t>
      </w:r>
      <w:r w:rsidRPr="001A01AB">
        <w:rPr>
          <w:rFonts w:ascii="Calibri" w:hAnsi="Calibri" w:cs="Calibri"/>
          <w:sz w:val="20"/>
          <w:szCs w:val="20"/>
          <w:lang w:val="es-GT" w:eastAsia="es-GT"/>
        </w:rPr>
        <w:t>URL</w:t>
      </w:r>
      <w:r w:rsidR="00844C8A">
        <w:rPr>
          <w:rFonts w:ascii="Calibri" w:hAnsi="Calibri" w:cs="Calibri"/>
          <w:sz w:val="20"/>
          <w:szCs w:val="20"/>
          <w:lang w:val="es-GT" w:eastAsia="es-GT"/>
        </w:rPr>
        <w:t xml:space="preserve"> y PNUMA (</w:t>
      </w:r>
      <w:r w:rsidRPr="001A01AB">
        <w:rPr>
          <w:rFonts w:ascii="Calibri" w:hAnsi="Calibri" w:cs="Calibri"/>
          <w:sz w:val="20"/>
          <w:szCs w:val="20"/>
          <w:lang w:val="es-GT" w:eastAsia="es-GT"/>
        </w:rPr>
        <w:t>2009)</w:t>
      </w:r>
      <w:r w:rsidR="00844C8A">
        <w:rPr>
          <w:rFonts w:ascii="Calibri" w:hAnsi="Calibri" w:cs="Calibri"/>
          <w:sz w:val="20"/>
          <w:szCs w:val="20"/>
          <w:lang w:val="es-GT" w:eastAsia="es-GT"/>
        </w:rPr>
        <w:t>.</w:t>
      </w:r>
    </w:p>
    <w:p w:rsidR="008327B2" w:rsidRPr="001A01AB" w:rsidRDefault="008327B2" w:rsidP="008327B2">
      <w:pPr>
        <w:autoSpaceDE w:val="0"/>
        <w:autoSpaceDN w:val="0"/>
        <w:adjustRightInd w:val="0"/>
        <w:ind w:left="72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Los hogares (demanda domiciliar), por su parte, habrían utilizado 461.68 millones de m</w:t>
      </w:r>
      <w:r w:rsidRPr="0017736D">
        <w:rPr>
          <w:rFonts w:ascii="Calibri" w:hAnsi="Calibri" w:cs="Calibri"/>
          <w:vertAlign w:val="superscript"/>
          <w:lang w:val="es-GT"/>
        </w:rPr>
        <w:t>3</w:t>
      </w:r>
      <w:r w:rsidRPr="001A01AB">
        <w:rPr>
          <w:rFonts w:ascii="Calibri" w:hAnsi="Calibri" w:cs="Calibri"/>
          <w:lang w:val="es-GT"/>
        </w:rPr>
        <w:t xml:space="preserve"> (2.3%); el resto de actividades participó con el 3.5% del total de la utilización para el 2010. </w:t>
      </w:r>
    </w:p>
    <w:p w:rsidR="008327B2" w:rsidRDefault="008327B2" w:rsidP="008327B2">
      <w:pPr>
        <w:autoSpaceDE w:val="0"/>
        <w:autoSpaceDN w:val="0"/>
        <w:adjustRightInd w:val="0"/>
        <w:jc w:val="both"/>
        <w:rPr>
          <w:rFonts w:ascii="Calibri" w:hAnsi="Calibri" w:cs="Calibri"/>
          <w:lang w:val="es-GT"/>
        </w:rPr>
      </w:pPr>
    </w:p>
    <w:p w:rsidR="00844C8A" w:rsidRDefault="00844C8A" w:rsidP="008327B2">
      <w:pPr>
        <w:autoSpaceDE w:val="0"/>
        <w:autoSpaceDN w:val="0"/>
        <w:adjustRightInd w:val="0"/>
        <w:jc w:val="both"/>
        <w:rPr>
          <w:rFonts w:ascii="Calibri" w:hAnsi="Calibri" w:cs="Calibri"/>
          <w:lang w:val="es-GT"/>
        </w:rPr>
      </w:pPr>
    </w:p>
    <w:p w:rsidR="00844C8A" w:rsidRDefault="00844C8A" w:rsidP="008327B2">
      <w:pPr>
        <w:autoSpaceDE w:val="0"/>
        <w:autoSpaceDN w:val="0"/>
        <w:adjustRightInd w:val="0"/>
        <w:jc w:val="both"/>
        <w:rPr>
          <w:rFonts w:ascii="Calibri" w:hAnsi="Calibri" w:cs="Calibri"/>
          <w:lang w:val="es-GT"/>
        </w:rPr>
      </w:pPr>
    </w:p>
    <w:p w:rsidR="00B556CF" w:rsidRDefault="00B556CF" w:rsidP="008327B2">
      <w:pPr>
        <w:autoSpaceDE w:val="0"/>
        <w:autoSpaceDN w:val="0"/>
        <w:adjustRightInd w:val="0"/>
        <w:jc w:val="both"/>
        <w:rPr>
          <w:rFonts w:ascii="Calibri" w:hAnsi="Calibri" w:cs="Calibri"/>
          <w:lang w:val="es-GT"/>
        </w:rPr>
      </w:pPr>
    </w:p>
    <w:p w:rsidR="00844C8A" w:rsidRPr="001A01AB" w:rsidRDefault="00844C8A" w:rsidP="008327B2">
      <w:pPr>
        <w:autoSpaceDE w:val="0"/>
        <w:autoSpaceDN w:val="0"/>
        <w:adjustRightInd w:val="0"/>
        <w:jc w:val="both"/>
        <w:rPr>
          <w:rFonts w:ascii="Calibri" w:hAnsi="Calibri" w:cs="Calibri"/>
          <w:lang w:val="es-GT"/>
        </w:rPr>
      </w:pPr>
    </w:p>
    <w:p w:rsidR="008327B2" w:rsidRPr="001A01AB" w:rsidRDefault="0017736D" w:rsidP="008327B2">
      <w:pPr>
        <w:autoSpaceDE w:val="0"/>
        <w:autoSpaceDN w:val="0"/>
        <w:adjustRightInd w:val="0"/>
        <w:jc w:val="both"/>
        <w:rPr>
          <w:rFonts w:ascii="Calibri" w:hAnsi="Calibri" w:cs="Calibri"/>
          <w:b/>
          <w:color w:val="365F91"/>
          <w:lang w:val="es-GT"/>
        </w:rPr>
      </w:pPr>
      <w:r>
        <w:rPr>
          <w:rFonts w:ascii="Calibri" w:hAnsi="Calibri" w:cs="Calibri"/>
          <w:b/>
          <w:color w:val="365F91"/>
          <w:lang w:val="es-GT"/>
        </w:rPr>
        <w:lastRenderedPageBreak/>
        <w:t>1.2.3.</w:t>
      </w:r>
      <w:r>
        <w:rPr>
          <w:rFonts w:ascii="Calibri" w:hAnsi="Calibri" w:cs="Calibri"/>
          <w:b/>
          <w:color w:val="365F91"/>
          <w:lang w:val="es-GT"/>
        </w:rPr>
        <w:tab/>
        <w:t>Indicador: B</w:t>
      </w:r>
      <w:r w:rsidR="00844C8A">
        <w:rPr>
          <w:rFonts w:ascii="Calibri" w:hAnsi="Calibri" w:cs="Calibri"/>
          <w:b/>
          <w:color w:val="365F91"/>
          <w:lang w:val="es-GT"/>
        </w:rPr>
        <w:t>alance hí</w:t>
      </w:r>
      <w:r w:rsidR="00844C8A" w:rsidRPr="001A01AB">
        <w:rPr>
          <w:rFonts w:ascii="Calibri" w:hAnsi="Calibri" w:cs="Calibri"/>
          <w:b/>
          <w:color w:val="365F91"/>
          <w:lang w:val="es-GT"/>
        </w:rPr>
        <w:t>drico nacional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Las estimaciones de la oferta hídrica del país difieren según las metodologías de cálculo y por la debilidad de los sistemas de registro, procesamiento y análisis de información de aspectos hidrometeorológicos, por lo que queda entonces todavía un reto en materia de registro y cálculo de </w:t>
      </w:r>
      <w:r w:rsidR="00844C8A">
        <w:rPr>
          <w:rFonts w:ascii="Calibri" w:hAnsi="Calibri" w:cs="Calibri"/>
          <w:lang w:val="es-GT"/>
        </w:rPr>
        <w:t>estos volúmenes nacionales. El C</w:t>
      </w:r>
      <w:r w:rsidRPr="001A01AB">
        <w:rPr>
          <w:rFonts w:ascii="Calibri" w:hAnsi="Calibri" w:cs="Calibri"/>
          <w:lang w:val="es-GT"/>
        </w:rPr>
        <w:t xml:space="preserve">uadro </w:t>
      </w:r>
      <w:r w:rsidR="004C77F8">
        <w:rPr>
          <w:rFonts w:ascii="Calibri" w:hAnsi="Calibri" w:cs="Calibri"/>
          <w:lang w:val="es-GT"/>
        </w:rPr>
        <w:t>21</w:t>
      </w:r>
      <w:r w:rsidRPr="001A01AB">
        <w:rPr>
          <w:rFonts w:ascii="Calibri" w:hAnsi="Calibri" w:cs="Calibri"/>
          <w:lang w:val="es-GT"/>
        </w:rPr>
        <w:t xml:space="preserve"> presenta el balance hídrico del país </w:t>
      </w:r>
      <w:r w:rsidR="00844C8A" w:rsidRPr="001A01AB">
        <w:rPr>
          <w:rFonts w:ascii="Calibri" w:hAnsi="Calibri" w:cs="Calibri"/>
          <w:lang w:val="es-GT"/>
        </w:rPr>
        <w:t xml:space="preserve">estimado por el </w:t>
      </w:r>
      <w:r w:rsidR="00844C8A" w:rsidRPr="001C0399">
        <w:rPr>
          <w:rFonts w:ascii="Calibri" w:hAnsi="Calibri" w:cs="Calibri"/>
          <w:lang w:val="es-GT"/>
        </w:rPr>
        <w:t>INE (2008),</w:t>
      </w:r>
      <w:r w:rsidR="00844C8A">
        <w:rPr>
          <w:rFonts w:ascii="Calibri" w:hAnsi="Calibri" w:cs="Calibri"/>
          <w:lang w:val="es-GT"/>
        </w:rPr>
        <w:t xml:space="preserve"> </w:t>
      </w:r>
      <w:r w:rsidRPr="001A01AB">
        <w:rPr>
          <w:rFonts w:ascii="Calibri" w:hAnsi="Calibri" w:cs="Calibri"/>
          <w:lang w:val="es-GT"/>
        </w:rPr>
        <w:t>por vertiente y cuenca hidrográfica</w:t>
      </w:r>
      <w:r w:rsidR="00844C8A">
        <w:rPr>
          <w:rFonts w:ascii="Calibri" w:hAnsi="Calibri" w:cs="Calibri"/>
          <w:lang w:val="es-GT"/>
        </w:rPr>
        <w:t>.</w:t>
      </w:r>
      <w:r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273" w:name="_Toc340004975"/>
      <w:bookmarkStart w:id="274" w:name="_Toc340032165"/>
      <w:bookmarkStart w:id="275" w:name="_Toc340034442"/>
      <w:bookmarkStart w:id="276" w:name="_Toc343164649"/>
      <w:bookmarkStart w:id="277" w:name="_Toc347841203"/>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21</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Balance hídrico nacional (millones de m3). Año 2006</w:t>
      </w:r>
      <w:bookmarkEnd w:id="273"/>
      <w:bookmarkEnd w:id="274"/>
      <w:bookmarkEnd w:id="275"/>
      <w:bookmarkEnd w:id="276"/>
      <w:bookmarkEnd w:id="277"/>
    </w:p>
    <w:p w:rsidR="00216872" w:rsidRPr="00216872" w:rsidRDefault="00216872" w:rsidP="00216872">
      <w:pPr>
        <w:rPr>
          <w:lang w:val="es-GT"/>
        </w:rPr>
      </w:pPr>
    </w:p>
    <w:p w:rsidR="008327B2" w:rsidRPr="001A01AB" w:rsidRDefault="00544A9F" w:rsidP="008327B2">
      <w:pPr>
        <w:autoSpaceDE w:val="0"/>
        <w:autoSpaceDN w:val="0"/>
        <w:adjustRightInd w:val="0"/>
        <w:jc w:val="center"/>
        <w:rPr>
          <w:rFonts w:ascii="Calibri" w:hAnsi="Calibri" w:cs="Calibri"/>
          <w:noProof/>
          <w:lang w:val="es-GT" w:eastAsia="es-GT"/>
        </w:rPr>
      </w:pPr>
      <w:r>
        <w:rPr>
          <w:rFonts w:ascii="Calibri" w:hAnsi="Calibri" w:cs="Calibri"/>
          <w:noProof/>
          <w:lang w:val="es-GT" w:eastAsia="es-GT"/>
        </w:rPr>
        <w:drawing>
          <wp:inline distT="0" distB="0" distL="0" distR="0">
            <wp:extent cx="5960237" cy="2807590"/>
            <wp:effectExtent l="0" t="0" r="2540" b="0"/>
            <wp:docPr id="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6"/>
                    <pic:cNvPicPr>
                      <a:picLocks noChangeAspect="1" noChangeArrowheads="1"/>
                    </pic:cNvPicPr>
                  </pic:nvPicPr>
                  <pic:blipFill>
                    <a:blip r:embed="rId74" cstate="print">
                      <a:duotone>
                        <a:schemeClr val="accent1">
                          <a:shade val="45000"/>
                          <a:satMod val="135000"/>
                        </a:schemeClr>
                        <a:prstClr val="white"/>
                      </a:duotone>
                    </a:blip>
                    <a:srcRect l="4168" t="13881" r="3612" b="8806"/>
                    <a:stretch>
                      <a:fillRect/>
                    </a:stretch>
                  </pic:blipFill>
                  <pic:spPr bwMode="auto">
                    <a:xfrm>
                      <a:off x="0" y="0"/>
                      <a:ext cx="5960110" cy="2807335"/>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right="288"/>
        <w:jc w:val="right"/>
        <w:rPr>
          <w:rFonts w:ascii="Calibri" w:hAnsi="Calibri" w:cs="Calibri"/>
          <w:noProof/>
          <w:sz w:val="20"/>
          <w:szCs w:val="20"/>
          <w:lang w:val="es-GT" w:eastAsia="es-GT"/>
        </w:rPr>
      </w:pPr>
      <w:r w:rsidRPr="001A01AB">
        <w:rPr>
          <w:rFonts w:ascii="Calibri" w:hAnsi="Calibri" w:cs="Calibri"/>
          <w:sz w:val="20"/>
          <w:lang w:val="es-GT"/>
        </w:rPr>
        <w:t xml:space="preserve">Fuente: </w:t>
      </w:r>
      <w:r w:rsidR="00844C8A">
        <w:rPr>
          <w:rFonts w:ascii="Calibri" w:hAnsi="Calibri" w:cs="Calibri"/>
          <w:sz w:val="20"/>
          <w:szCs w:val="20"/>
          <w:lang w:val="es-GT" w:eastAsia="es-GT"/>
        </w:rPr>
        <w:t xml:space="preserve">MARN, </w:t>
      </w:r>
      <w:r w:rsidRPr="001A01AB">
        <w:rPr>
          <w:rFonts w:ascii="Calibri" w:hAnsi="Calibri" w:cs="Calibri"/>
          <w:sz w:val="20"/>
          <w:szCs w:val="20"/>
          <w:lang w:val="es-GT" w:eastAsia="es-GT"/>
        </w:rPr>
        <w:t>IARNA-</w:t>
      </w:r>
      <w:r w:rsidR="00844C8A">
        <w:rPr>
          <w:rFonts w:ascii="Calibri" w:hAnsi="Calibri" w:cs="Calibri"/>
          <w:sz w:val="20"/>
          <w:szCs w:val="20"/>
          <w:lang w:val="es-GT" w:eastAsia="es-GT"/>
        </w:rPr>
        <w:t>URL y PNUMA (</w:t>
      </w:r>
      <w:r w:rsidRPr="001A01AB">
        <w:rPr>
          <w:rFonts w:ascii="Calibri" w:hAnsi="Calibri" w:cs="Calibri"/>
          <w:sz w:val="20"/>
          <w:szCs w:val="20"/>
          <w:lang w:val="es-GT" w:eastAsia="es-GT"/>
        </w:rPr>
        <w:t>2009)</w:t>
      </w:r>
      <w:r w:rsidR="00844C8A">
        <w:rPr>
          <w:rFonts w:ascii="Calibri" w:hAnsi="Calibri" w:cs="Calibri"/>
          <w:sz w:val="20"/>
          <w:szCs w:val="20"/>
          <w:lang w:val="es-GT" w:eastAsia="es-GT"/>
        </w:rPr>
        <w:t>.</w:t>
      </w:r>
    </w:p>
    <w:p w:rsidR="008327B2" w:rsidRPr="001A01AB" w:rsidRDefault="008327B2" w:rsidP="008327B2">
      <w:pPr>
        <w:autoSpaceDE w:val="0"/>
        <w:autoSpaceDN w:val="0"/>
        <w:adjustRightInd w:val="0"/>
        <w:jc w:val="both"/>
        <w:rPr>
          <w:rFonts w:ascii="Calibri" w:hAnsi="Calibri" w:cs="Calibri"/>
          <w:noProof/>
          <w:lang w:val="es-GT" w:eastAsia="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Se estima </w:t>
      </w:r>
      <w:r w:rsidR="00F666EC">
        <w:rPr>
          <w:rFonts w:ascii="Calibri" w:hAnsi="Calibri" w:cs="Calibri"/>
          <w:lang w:val="es-GT"/>
        </w:rPr>
        <w:t>que el</w:t>
      </w:r>
      <w:r w:rsidRPr="001A01AB">
        <w:rPr>
          <w:rFonts w:ascii="Calibri" w:hAnsi="Calibri" w:cs="Calibri"/>
          <w:lang w:val="es-GT"/>
        </w:rPr>
        <w:t xml:space="preserve"> volumen de aguas subterráneas </w:t>
      </w:r>
      <w:r w:rsidR="00F666EC">
        <w:rPr>
          <w:rFonts w:ascii="Calibri" w:hAnsi="Calibri" w:cs="Calibri"/>
          <w:lang w:val="es-GT"/>
        </w:rPr>
        <w:t xml:space="preserve">es </w:t>
      </w:r>
      <w:r w:rsidRPr="001A01AB">
        <w:rPr>
          <w:rFonts w:ascii="Calibri" w:hAnsi="Calibri" w:cs="Calibri"/>
          <w:lang w:val="es-GT"/>
        </w:rPr>
        <w:t>de 33,699 millones de m</w:t>
      </w:r>
      <w:r w:rsidRPr="0017736D">
        <w:rPr>
          <w:rFonts w:ascii="Calibri" w:hAnsi="Calibri" w:cs="Calibri"/>
          <w:vertAlign w:val="superscript"/>
          <w:lang w:val="es-GT"/>
        </w:rPr>
        <w:t>3</w:t>
      </w:r>
      <w:r w:rsidR="009C124A">
        <w:rPr>
          <w:rFonts w:ascii="Calibri" w:hAnsi="Calibri" w:cs="Calibri"/>
          <w:lang w:val="es-GT"/>
        </w:rPr>
        <w:t xml:space="preserve"> por año </w:t>
      </w:r>
      <w:r w:rsidR="009C124A" w:rsidRPr="001C0399">
        <w:rPr>
          <w:rFonts w:ascii="Calibri" w:hAnsi="Calibri" w:cs="Calibri"/>
          <w:highlight w:val="magenta"/>
          <w:lang w:val="es-GT"/>
        </w:rPr>
        <w:t>(IARNA-</w:t>
      </w:r>
      <w:r w:rsidRPr="001C0399">
        <w:rPr>
          <w:rFonts w:ascii="Calibri" w:hAnsi="Calibri" w:cs="Calibri"/>
          <w:highlight w:val="magenta"/>
          <w:lang w:val="es-GT"/>
        </w:rPr>
        <w:t>URL, 2005; INSIVUMEH, 2009),</w:t>
      </w:r>
      <w:r w:rsidRPr="001A01AB">
        <w:rPr>
          <w:rFonts w:ascii="Calibri" w:hAnsi="Calibri" w:cs="Calibri"/>
          <w:lang w:val="es-GT"/>
        </w:rPr>
        <w:t xml:space="preserve"> el cual constituye una fracción de la oferta bruta de agua. Un depósito subterráneo de proporciones considerables se constituye en cientos y miles de años, siendo ésta la razón por la cual algunos pozos dejan de proveer agua, dado que la tasa de bombeo es mayor que la de infiltración, lo que lleva a perforar cada vez más a mayor profundidad </w:t>
      </w:r>
      <w:r w:rsidRPr="001C0399">
        <w:rPr>
          <w:rFonts w:ascii="Calibri" w:hAnsi="Calibri" w:cs="Calibri"/>
          <w:highlight w:val="magenta"/>
          <w:lang w:val="es-GT"/>
        </w:rPr>
        <w:t xml:space="preserve">(Castañeda, </w:t>
      </w:r>
      <w:r w:rsidR="0017736D" w:rsidRPr="001C0399">
        <w:rPr>
          <w:rFonts w:ascii="Calibri" w:hAnsi="Calibri" w:cs="Calibri"/>
          <w:highlight w:val="magenta"/>
          <w:lang w:val="es-GT"/>
        </w:rPr>
        <w:t>Castañón</w:t>
      </w:r>
      <w:r w:rsidRPr="001C0399">
        <w:rPr>
          <w:rFonts w:ascii="Calibri" w:hAnsi="Calibri" w:cs="Calibri"/>
          <w:highlight w:val="magenta"/>
          <w:lang w:val="es-GT"/>
        </w:rPr>
        <w:t xml:space="preserve"> &amp; Arteaga, 2000; IANAS,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disponibilidad media es mayor a 1,000 m</w:t>
      </w:r>
      <w:r w:rsidRPr="009C124A">
        <w:rPr>
          <w:rFonts w:ascii="Calibri" w:hAnsi="Calibri" w:cs="Calibri"/>
          <w:vertAlign w:val="superscript"/>
          <w:lang w:val="es-GT"/>
        </w:rPr>
        <w:t>3</w:t>
      </w:r>
      <w:r w:rsidRPr="001A01AB">
        <w:rPr>
          <w:rFonts w:ascii="Calibri" w:hAnsi="Calibri" w:cs="Calibri"/>
          <w:lang w:val="es-GT"/>
        </w:rPr>
        <w:t>/habitante/año (2,740 litros/habitante/día)</w:t>
      </w:r>
      <w:r w:rsidR="00F666EC">
        <w:rPr>
          <w:rFonts w:ascii="Calibri" w:hAnsi="Calibri" w:cs="Calibri"/>
          <w:lang w:val="es-GT"/>
        </w:rPr>
        <w:t>,</w:t>
      </w:r>
      <w:r w:rsidRPr="001A01AB">
        <w:rPr>
          <w:rFonts w:ascii="Calibri" w:hAnsi="Calibri" w:cs="Calibri"/>
          <w:lang w:val="es-GT"/>
        </w:rPr>
        <w:t xml:space="preserve"> por lo que se </w:t>
      </w:r>
      <w:r w:rsidR="00F666EC">
        <w:rPr>
          <w:rFonts w:ascii="Calibri" w:hAnsi="Calibri" w:cs="Calibri"/>
          <w:lang w:val="es-GT"/>
        </w:rPr>
        <w:t>estima</w:t>
      </w:r>
      <w:r w:rsidRPr="001A01AB">
        <w:rPr>
          <w:rFonts w:ascii="Calibri" w:hAnsi="Calibri" w:cs="Calibri"/>
          <w:lang w:val="es-GT"/>
        </w:rPr>
        <w:t xml:space="preserve"> que no hay riesgo hídrico en ninguna de las vertientes del país, aun considerando un 10% correspondiente al caudal </w:t>
      </w:r>
      <w:r w:rsidRPr="001C0399">
        <w:rPr>
          <w:rFonts w:ascii="Calibri" w:hAnsi="Calibri" w:cs="Calibri"/>
          <w:lang w:val="es-GT"/>
        </w:rPr>
        <w:t>ambiental (IANAS, 2009).</w:t>
      </w:r>
      <w:r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6B1CC0" w:rsidP="008327B2">
      <w:pPr>
        <w:autoSpaceDE w:val="0"/>
        <w:autoSpaceDN w:val="0"/>
        <w:adjustRightInd w:val="0"/>
        <w:jc w:val="both"/>
        <w:rPr>
          <w:rFonts w:ascii="Calibri" w:hAnsi="Calibri" w:cs="Calibri"/>
          <w:lang w:val="es-GT"/>
        </w:rPr>
      </w:pPr>
      <w:r>
        <w:rPr>
          <w:rFonts w:ascii="Calibri" w:hAnsi="Calibri" w:cs="Calibri"/>
          <w:lang w:val="es-GT"/>
        </w:rPr>
        <w:t>Esto</w:t>
      </w:r>
      <w:r w:rsidR="008327B2" w:rsidRPr="001A01AB">
        <w:rPr>
          <w:rFonts w:ascii="Calibri" w:hAnsi="Calibri" w:cs="Calibri"/>
          <w:lang w:val="es-GT"/>
        </w:rPr>
        <w:t xml:space="preserve"> debe ser analizad</w:t>
      </w:r>
      <w:r>
        <w:rPr>
          <w:rFonts w:ascii="Calibri" w:hAnsi="Calibri" w:cs="Calibri"/>
          <w:lang w:val="es-GT"/>
        </w:rPr>
        <w:t>o</w:t>
      </w:r>
      <w:r w:rsidR="00141A70">
        <w:rPr>
          <w:rFonts w:ascii="Calibri" w:hAnsi="Calibri" w:cs="Calibri"/>
          <w:lang w:val="es-GT"/>
        </w:rPr>
        <w:t xml:space="preserve"> </w:t>
      </w:r>
      <w:r w:rsidR="008327B2" w:rsidRPr="001A01AB">
        <w:rPr>
          <w:rFonts w:ascii="Calibri" w:hAnsi="Calibri" w:cs="Calibri"/>
          <w:lang w:val="es-GT"/>
        </w:rPr>
        <w:t xml:space="preserve">con cautela y </w:t>
      </w:r>
      <w:r w:rsidR="008327B2" w:rsidRPr="001C0399">
        <w:rPr>
          <w:rFonts w:ascii="Calibri" w:hAnsi="Calibri" w:cs="Calibri"/>
          <w:lang w:val="es-GT"/>
        </w:rPr>
        <w:t>responsabilidad (IARNA</w:t>
      </w:r>
      <w:r w:rsidR="009C124A" w:rsidRPr="001C0399">
        <w:rPr>
          <w:rFonts w:ascii="Calibri" w:hAnsi="Calibri" w:cs="Calibri"/>
          <w:lang w:val="es-GT"/>
        </w:rPr>
        <w:t>-</w:t>
      </w:r>
      <w:r w:rsidR="008327B2" w:rsidRPr="001C0399">
        <w:rPr>
          <w:rFonts w:ascii="Calibri" w:hAnsi="Calibri" w:cs="Calibri"/>
          <w:lang w:val="es-GT"/>
        </w:rPr>
        <w:t>URL e IIA, 2006; SEGEPLAN, 2006; INSIVUMEH, 2009), en virtud de que aun y cuando</w:t>
      </w:r>
      <w:r w:rsidR="008327B2" w:rsidRPr="001A01AB">
        <w:rPr>
          <w:rFonts w:ascii="Calibri" w:hAnsi="Calibri" w:cs="Calibri"/>
          <w:lang w:val="es-GT"/>
        </w:rPr>
        <w:t xml:space="preserve"> la disponibilidad promedio anual se encuentra muy por encima de la de un país con riesgo hídrico, la distribución espacial de la lluvia es muy irregular y la disponibilidad natural del agua no coincide exactamente con las demandas.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lastRenderedPageBreak/>
        <w:t>De esa cuenta, en las regiones localizadas en las partes altas de las cuencas y que reciben menor precipitación, la ocurrencia de agua como flujo superficial es menor</w:t>
      </w:r>
      <w:r w:rsidR="006B1CC0">
        <w:rPr>
          <w:rFonts w:ascii="Calibri" w:hAnsi="Calibri" w:cs="Calibri"/>
          <w:lang w:val="es-GT"/>
        </w:rPr>
        <w:t>. Por tanto, la mayoría de la población –que se asienta en estas zonas- se ve afectada,</w:t>
      </w:r>
      <w:r w:rsidRPr="001A01AB">
        <w:rPr>
          <w:rFonts w:ascii="Calibri" w:hAnsi="Calibri" w:cs="Calibri"/>
          <w:lang w:val="es-GT"/>
        </w:rPr>
        <w:t xml:space="preserve"> como e</w:t>
      </w:r>
      <w:r w:rsidR="006B1CC0">
        <w:rPr>
          <w:rFonts w:ascii="Calibri" w:hAnsi="Calibri" w:cs="Calibri"/>
          <w:lang w:val="es-GT"/>
        </w:rPr>
        <w:t>n</w:t>
      </w:r>
      <w:r w:rsidRPr="001A01AB">
        <w:rPr>
          <w:rFonts w:ascii="Calibri" w:hAnsi="Calibri" w:cs="Calibri"/>
          <w:lang w:val="es-GT"/>
        </w:rPr>
        <w:t xml:space="preserve"> el cas</w:t>
      </w:r>
      <w:r w:rsidR="006B1CC0">
        <w:rPr>
          <w:rFonts w:ascii="Calibri" w:hAnsi="Calibri" w:cs="Calibri"/>
          <w:lang w:val="es-GT"/>
        </w:rPr>
        <w:t>o del área metropolitana de la c</w:t>
      </w:r>
      <w:r w:rsidRPr="001A01AB">
        <w:rPr>
          <w:rFonts w:ascii="Calibri" w:hAnsi="Calibri" w:cs="Calibri"/>
          <w:lang w:val="es-GT"/>
        </w:rPr>
        <w:t>iudad de Guatemala, diez de las 22 cabeceras departamentales más pobladas del país y más de 130 de las 335 cabeceras municipales.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17736D" w:rsidP="008327B2">
      <w:pPr>
        <w:autoSpaceDE w:val="0"/>
        <w:autoSpaceDN w:val="0"/>
        <w:adjustRightInd w:val="0"/>
        <w:jc w:val="both"/>
        <w:rPr>
          <w:rFonts w:ascii="Calibri" w:hAnsi="Calibri" w:cs="Calibri"/>
          <w:b/>
          <w:color w:val="365F91"/>
          <w:lang w:val="es-GT"/>
        </w:rPr>
      </w:pPr>
      <w:r>
        <w:rPr>
          <w:rFonts w:ascii="Calibri" w:hAnsi="Calibri" w:cs="Calibri"/>
          <w:b/>
          <w:color w:val="365F91"/>
          <w:lang w:val="es-GT"/>
        </w:rPr>
        <w:t>1.2.4.</w:t>
      </w:r>
      <w:r>
        <w:rPr>
          <w:rFonts w:ascii="Calibri" w:hAnsi="Calibri" w:cs="Calibri"/>
          <w:b/>
          <w:color w:val="365F91"/>
          <w:lang w:val="es-GT"/>
        </w:rPr>
        <w:tab/>
        <w:t>Indicador: C</w:t>
      </w:r>
      <w:r w:rsidR="009C124A">
        <w:rPr>
          <w:rFonts w:ascii="Calibri" w:hAnsi="Calibri" w:cs="Calibri"/>
          <w:b/>
          <w:color w:val="365F91"/>
          <w:lang w:val="es-GT"/>
        </w:rPr>
        <w:t>ontaminació</w:t>
      </w:r>
      <w:r w:rsidR="009C124A" w:rsidRPr="001A01AB">
        <w:rPr>
          <w:rFonts w:ascii="Calibri" w:hAnsi="Calibri" w:cs="Calibri"/>
          <w:b/>
          <w:color w:val="365F91"/>
          <w:lang w:val="es-GT"/>
        </w:rPr>
        <w:t>n del agua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i/>
          <w:color w:val="365F91"/>
          <w:lang w:val="es-GT"/>
        </w:rPr>
      </w:pPr>
      <w:r w:rsidRPr="001A01AB">
        <w:rPr>
          <w:rFonts w:ascii="Calibri" w:hAnsi="Calibri" w:cs="Calibri"/>
          <w:b/>
          <w:i/>
          <w:color w:val="365F91"/>
          <w:lang w:val="es-GT"/>
        </w:rPr>
        <w:t>Contaminación de ríos</w:t>
      </w:r>
    </w:p>
    <w:p w:rsidR="006B1CC0" w:rsidRDefault="006B1CC0"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Un indicador de fácil interpretación a nivel macro es la cantidad de ríos principales que han superado los límites permitidos de elementos contaminantes. Al 2009, al menos 14 ríos principales y cuatro lagos presentaron altos niveles de contaminantes físicos, materia orgánica, microorganismos, contaminantes tóxicos y materiales cancerígenos, lo que implica riesgos importantes </w:t>
      </w:r>
      <w:r w:rsidR="006B1CC0">
        <w:rPr>
          <w:rFonts w:ascii="Calibri" w:hAnsi="Calibri" w:cs="Calibri"/>
          <w:lang w:val="es-GT"/>
        </w:rPr>
        <w:t>si se utilizan</w:t>
      </w:r>
      <w:r w:rsidRPr="001A01AB">
        <w:rPr>
          <w:rFonts w:ascii="Calibri" w:hAnsi="Calibri" w:cs="Calibri"/>
          <w:lang w:val="es-GT"/>
        </w:rPr>
        <w:t xml:space="preserve"> esas aguas para consumo humano y riego (MARN, IARNA-URL y PNUMA,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Gran parte de la contaminación de los cuerpos acuíferos en el país proviene de las aguas residuales de los centros urbanos, las cuales son vertidas en los cauces de los ríos, por lo general, sin ningún tipo de tratamiento (IARNA-URL e IIA, 2006). Este tipo de descargas son ricas en nutrientes, bacterias y patógenos, lo que favorece la proliferación de algas en los cuerpos receptores, factores de riesgo para la salud humana, como lo ilustran los ejemplos del lago de Amatitlán y las recientes evidencias del lago de Atitlán.</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 continuación se muestran datos disponibles sobre las alarmantes cifras de contaminación en algunos de los principales ríos del país:</w:t>
      </w:r>
    </w:p>
    <w:p w:rsidR="008327B2" w:rsidRPr="001A01AB" w:rsidRDefault="008327B2" w:rsidP="008327B2">
      <w:pPr>
        <w:autoSpaceDE w:val="0"/>
        <w:autoSpaceDN w:val="0"/>
        <w:adjustRightInd w:val="0"/>
        <w:jc w:val="both"/>
        <w:rPr>
          <w:rFonts w:ascii="Calibri" w:hAnsi="Calibri" w:cs="Calibri"/>
          <w:lang w:val="es-GT"/>
        </w:rPr>
      </w:pPr>
    </w:p>
    <w:tbl>
      <w:tblPr>
        <w:tblW w:w="9356" w:type="dxa"/>
        <w:tblInd w:w="108"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4A0" w:firstRow="1" w:lastRow="0" w:firstColumn="1" w:lastColumn="0" w:noHBand="0" w:noVBand="1"/>
      </w:tblPr>
      <w:tblGrid>
        <w:gridCol w:w="9356"/>
      </w:tblGrid>
      <w:tr w:rsidR="008327B2" w:rsidRPr="000364C9" w:rsidTr="00B86BE9">
        <w:trPr>
          <w:trHeight w:val="538"/>
        </w:trPr>
        <w:tc>
          <w:tcPr>
            <w:tcW w:w="9356" w:type="dxa"/>
            <w:shd w:val="clear" w:color="auto" w:fill="auto"/>
          </w:tcPr>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b/>
                <w:iCs/>
                <w:color w:val="365F91"/>
                <w:lang w:val="es-GT"/>
              </w:rPr>
              <w:t>Contaminantes físicos</w:t>
            </w:r>
          </w:p>
          <w:p w:rsidR="006B1CC0" w:rsidRPr="00B556CF" w:rsidRDefault="006B1CC0" w:rsidP="001A01AB">
            <w:pPr>
              <w:autoSpaceDE w:val="0"/>
              <w:autoSpaceDN w:val="0"/>
              <w:adjustRightInd w:val="0"/>
              <w:spacing w:before="60" w:after="60"/>
              <w:jc w:val="both"/>
              <w:rPr>
                <w:rFonts w:ascii="Calibri" w:hAnsi="Calibri" w:cs="Calibri"/>
                <w:sz w:val="12"/>
                <w:szCs w:val="12"/>
                <w:lang w:val="es-GT"/>
              </w:rPr>
            </w:pPr>
          </w:p>
          <w:p w:rsidR="008327B2" w:rsidRPr="001A01AB" w:rsidRDefault="008327B2" w:rsidP="001A01AB">
            <w:pPr>
              <w:autoSpaceDE w:val="0"/>
              <w:autoSpaceDN w:val="0"/>
              <w:adjustRightInd w:val="0"/>
              <w:spacing w:before="60" w:after="60"/>
              <w:jc w:val="both"/>
              <w:rPr>
                <w:rFonts w:ascii="Calibri" w:hAnsi="Calibri" w:cs="Calibri"/>
                <w:sz w:val="22"/>
                <w:lang w:val="es-GT"/>
              </w:rPr>
            </w:pPr>
            <w:r w:rsidRPr="001A01AB">
              <w:rPr>
                <w:rFonts w:ascii="Calibri" w:hAnsi="Calibri" w:cs="Calibri"/>
                <w:sz w:val="22"/>
                <w:lang w:val="es-GT"/>
              </w:rPr>
              <w:t>Tanto el potencial de hidrógeno como la conductividad eléctrica son parámetros de la materia ionizable presente en el agua, y pueden ser indicadores del vertido de ácidos, bases o sales, aunque dependen también del aporte de materia orgánica y procesos hidrogeoquímicos.</w:t>
            </w:r>
          </w:p>
          <w:p w:rsidR="006B1CC0" w:rsidRDefault="006B1CC0" w:rsidP="001A01AB">
            <w:pPr>
              <w:autoSpaceDE w:val="0"/>
              <w:autoSpaceDN w:val="0"/>
              <w:adjustRightInd w:val="0"/>
              <w:spacing w:before="60" w:after="60"/>
              <w:jc w:val="both"/>
              <w:rPr>
                <w:rFonts w:ascii="Calibri" w:hAnsi="Calibri" w:cs="Calibri"/>
                <w:sz w:val="22"/>
                <w:lang w:val="es-GT"/>
              </w:rPr>
            </w:pPr>
          </w:p>
          <w:p w:rsidR="008327B2" w:rsidRPr="001A01AB" w:rsidRDefault="008327B2" w:rsidP="001A01AB">
            <w:pPr>
              <w:autoSpaceDE w:val="0"/>
              <w:autoSpaceDN w:val="0"/>
              <w:adjustRightInd w:val="0"/>
              <w:spacing w:before="60" w:after="60"/>
              <w:jc w:val="both"/>
              <w:rPr>
                <w:rFonts w:ascii="Calibri" w:hAnsi="Calibri" w:cs="Calibri"/>
                <w:sz w:val="22"/>
                <w:lang w:val="es-GT"/>
              </w:rPr>
            </w:pPr>
            <w:r w:rsidRPr="001A01AB">
              <w:rPr>
                <w:rFonts w:ascii="Calibri" w:hAnsi="Calibri" w:cs="Calibri"/>
                <w:sz w:val="22"/>
                <w:lang w:val="es-GT"/>
              </w:rPr>
              <w:t xml:space="preserve">Las medias anuales del potencial de hidrógeno (pH) del agua de 20 ríos de Guatemala medidas entre 2003 y 2006 variaron entre 7.7 y 8.2. Todas estuvieron sobre el límite superior del rango de límites máximos aceptables (LMA) establecido por </w:t>
            </w:r>
            <w:r w:rsidR="00B86BE9">
              <w:rPr>
                <w:rFonts w:ascii="Calibri" w:hAnsi="Calibri" w:cs="Calibri"/>
                <w:sz w:val="22"/>
                <w:lang w:val="es-GT"/>
              </w:rPr>
              <w:t xml:space="preserve">la norma </w:t>
            </w:r>
            <w:r w:rsidRPr="001A01AB">
              <w:rPr>
                <w:rFonts w:ascii="Calibri" w:hAnsi="Calibri" w:cs="Calibri"/>
                <w:sz w:val="22"/>
                <w:lang w:val="es-GT"/>
              </w:rPr>
              <w:t>NGO 29001 (7.0 a 7.5)</w:t>
            </w:r>
            <w:r w:rsidR="00B86BE9">
              <w:rPr>
                <w:rFonts w:ascii="Calibri" w:hAnsi="Calibri" w:cs="Calibri"/>
                <w:sz w:val="22"/>
                <w:lang w:val="es-GT"/>
              </w:rPr>
              <w:t xml:space="preserve"> de la </w:t>
            </w:r>
            <w:r w:rsidR="00B86BE9" w:rsidRPr="001A01AB">
              <w:rPr>
                <w:rFonts w:ascii="Calibri" w:hAnsi="Calibri" w:cs="Calibri"/>
                <w:sz w:val="22"/>
                <w:lang w:val="es-GT"/>
              </w:rPr>
              <w:t>Comisión Guatemalteca de Normas (COGUANOR)</w:t>
            </w:r>
            <w:r w:rsidRPr="001A01AB">
              <w:rPr>
                <w:rFonts w:ascii="Calibri" w:hAnsi="Calibri" w:cs="Calibri"/>
                <w:sz w:val="22"/>
                <w:lang w:val="es-GT"/>
              </w:rPr>
              <w:t>, aunque estuvieron bajo el límite superior del rango de límites máximos permitidos (LMP) (6.5 a 8</w:t>
            </w:r>
            <w:r w:rsidR="00B86BE9">
              <w:rPr>
                <w:rFonts w:ascii="Calibri" w:hAnsi="Calibri" w:cs="Calibri"/>
                <w:sz w:val="22"/>
                <w:lang w:val="es-GT"/>
              </w:rPr>
              <w:t>.5)</w:t>
            </w:r>
            <w:r w:rsidRPr="001A01AB">
              <w:rPr>
                <w:rFonts w:ascii="Calibri" w:hAnsi="Calibri" w:cs="Calibri"/>
                <w:sz w:val="22"/>
                <w:lang w:val="es-GT"/>
              </w:rPr>
              <w:t>.</w:t>
            </w:r>
            <w:r w:rsidR="00B86BE9">
              <w:rPr>
                <w:rFonts w:ascii="Calibri" w:hAnsi="Calibri" w:cs="Calibri"/>
                <w:sz w:val="22"/>
                <w:lang w:val="es-GT"/>
              </w:rPr>
              <w:t xml:space="preserve"> </w:t>
            </w:r>
          </w:p>
          <w:p w:rsidR="006B1CC0" w:rsidRDefault="006B1CC0" w:rsidP="001A01AB">
            <w:pPr>
              <w:autoSpaceDE w:val="0"/>
              <w:autoSpaceDN w:val="0"/>
              <w:adjustRightInd w:val="0"/>
              <w:spacing w:before="60" w:after="60"/>
              <w:jc w:val="both"/>
              <w:rPr>
                <w:rFonts w:ascii="Calibri" w:hAnsi="Calibri" w:cs="Calibri"/>
                <w:sz w:val="22"/>
                <w:lang w:val="es-GT"/>
              </w:rPr>
            </w:pPr>
          </w:p>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sz w:val="22"/>
                <w:lang w:val="es-GT"/>
              </w:rPr>
              <w:t xml:space="preserve">Las medias anuales de conductividad de 11 ríos del país entre 2003 y 2008 variaron entre 175 y 790 </w:t>
            </w:r>
            <w:r w:rsidRPr="001A01AB">
              <w:rPr>
                <w:rFonts w:ascii="Calibri" w:hAnsi="Calibri" w:cs="Calibri"/>
                <w:sz w:val="22"/>
              </w:rPr>
              <w:t>μ</w:t>
            </w:r>
            <w:r w:rsidRPr="001A01AB">
              <w:rPr>
                <w:rFonts w:ascii="Calibri" w:hAnsi="Calibri" w:cs="Calibri"/>
                <w:sz w:val="22"/>
                <w:lang w:val="es-GT"/>
              </w:rPr>
              <w:t xml:space="preserve">S/cm, siendo los mayores valores los correspondientes a los ríos Villalobos, Polochic y Las Vacas. Con fines de agua potable, el agua debe tener una conductividad entre 100 a 750 </w:t>
            </w:r>
            <w:r w:rsidRPr="001A01AB">
              <w:rPr>
                <w:rFonts w:ascii="Calibri" w:hAnsi="Calibri" w:cs="Calibri"/>
                <w:sz w:val="22"/>
              </w:rPr>
              <w:t>μ</w:t>
            </w:r>
            <w:r w:rsidRPr="001A01AB">
              <w:rPr>
                <w:rFonts w:ascii="Calibri" w:hAnsi="Calibri" w:cs="Calibri"/>
                <w:sz w:val="22"/>
                <w:lang w:val="es-GT"/>
              </w:rPr>
              <w:t>s/cm según la norma COGUANOR NGO 29001.</w:t>
            </w:r>
          </w:p>
        </w:tc>
      </w:tr>
      <w:tr w:rsidR="008327B2" w:rsidRPr="000364C9" w:rsidTr="001A01AB">
        <w:trPr>
          <w:trHeight w:val="346"/>
        </w:trPr>
        <w:tc>
          <w:tcPr>
            <w:tcW w:w="9356" w:type="dxa"/>
            <w:shd w:val="clear" w:color="auto" w:fill="auto"/>
          </w:tcPr>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b/>
                <w:iCs/>
                <w:color w:val="365F91"/>
                <w:lang w:val="es-GT"/>
              </w:rPr>
              <w:lastRenderedPageBreak/>
              <w:t>Partículas sólidas</w:t>
            </w:r>
          </w:p>
          <w:p w:rsidR="00B86BE9" w:rsidRDefault="00B86BE9" w:rsidP="001A01AB">
            <w:pPr>
              <w:autoSpaceDE w:val="0"/>
              <w:autoSpaceDN w:val="0"/>
              <w:adjustRightInd w:val="0"/>
              <w:spacing w:before="60" w:after="60"/>
              <w:jc w:val="both"/>
              <w:rPr>
                <w:rFonts w:ascii="Calibri" w:hAnsi="Calibri" w:cs="Calibri"/>
                <w:sz w:val="22"/>
                <w:lang w:val="es-GT"/>
              </w:rPr>
            </w:pPr>
          </w:p>
          <w:p w:rsidR="008327B2" w:rsidRDefault="008327B2" w:rsidP="001A01AB">
            <w:pPr>
              <w:autoSpaceDE w:val="0"/>
              <w:autoSpaceDN w:val="0"/>
              <w:adjustRightInd w:val="0"/>
              <w:spacing w:before="60" w:after="60"/>
              <w:jc w:val="both"/>
              <w:rPr>
                <w:rFonts w:ascii="Calibri" w:hAnsi="Calibri" w:cs="Calibri"/>
                <w:sz w:val="22"/>
                <w:lang w:val="es-GT"/>
              </w:rPr>
            </w:pPr>
            <w:r w:rsidRPr="001A01AB">
              <w:rPr>
                <w:rFonts w:ascii="Calibri" w:hAnsi="Calibri" w:cs="Calibri"/>
                <w:sz w:val="22"/>
                <w:lang w:val="es-GT"/>
              </w:rPr>
              <w:t>Las medias anuales de unidades nefelométricas de turbidez (UNT) del agua de los ríos Motagua, Grande de Zacapa, Achiguate, Nahualate y Villalobos entre 2004 y 2008 variaron entre 127 y 992, siendo mucho mayores las correspondientes a los dos primeros y estando todas sobre el límite establecido por COGUANOR NGO 29001 para agua potable (LMP=15 UNT).</w:t>
            </w:r>
          </w:p>
          <w:p w:rsidR="00B86BE9" w:rsidRPr="001A01AB" w:rsidRDefault="00B86BE9" w:rsidP="001A01AB">
            <w:pPr>
              <w:autoSpaceDE w:val="0"/>
              <w:autoSpaceDN w:val="0"/>
              <w:adjustRightInd w:val="0"/>
              <w:spacing w:before="60" w:after="60"/>
              <w:jc w:val="both"/>
              <w:rPr>
                <w:rFonts w:ascii="Calibri" w:hAnsi="Calibri" w:cs="Calibri"/>
                <w:sz w:val="22"/>
                <w:lang w:val="es-GT"/>
              </w:rPr>
            </w:pPr>
          </w:p>
          <w:p w:rsidR="008327B2" w:rsidRPr="001A01AB" w:rsidRDefault="008327B2" w:rsidP="001A01AB">
            <w:pPr>
              <w:autoSpaceDE w:val="0"/>
              <w:autoSpaceDN w:val="0"/>
              <w:adjustRightInd w:val="0"/>
              <w:spacing w:before="60" w:after="60"/>
              <w:jc w:val="both"/>
              <w:rPr>
                <w:rFonts w:ascii="Calibri" w:hAnsi="Calibri" w:cs="Calibri"/>
                <w:b/>
                <w:iCs/>
                <w:lang w:val="es-GT"/>
              </w:rPr>
            </w:pPr>
            <w:r w:rsidRPr="001A01AB">
              <w:rPr>
                <w:rFonts w:ascii="Calibri" w:hAnsi="Calibri" w:cs="Calibri"/>
                <w:sz w:val="22"/>
                <w:lang w:val="es-GT"/>
              </w:rPr>
              <w:t>Las medias anuales de la concentración de sólidos disueltos en aguas de 11 ríos del país entre 2003 y 2008 variaron entre 77 y 985 mg/l, estando todas bajo el límite máximo permisible (LMP) para fines de agua potable (Norma COGUANOR 29001, LMP = 1,000 mg/l). Las aguas de los ríos Las Vacas, Polochic y Villalobos tuvieron concentraciones medias de sólidos mayores a los valores de límite máximo aceptable (LMA) para fines de agua potable (Norma COGUANOR 29001, LMA = 500 mg/l).</w:t>
            </w:r>
          </w:p>
        </w:tc>
      </w:tr>
      <w:tr w:rsidR="008327B2" w:rsidRPr="000364C9" w:rsidTr="001A01AB">
        <w:trPr>
          <w:trHeight w:val="4457"/>
        </w:trPr>
        <w:tc>
          <w:tcPr>
            <w:tcW w:w="9356" w:type="dxa"/>
            <w:shd w:val="clear" w:color="auto" w:fill="auto"/>
          </w:tcPr>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b/>
                <w:iCs/>
                <w:color w:val="365F91"/>
                <w:lang w:val="es-GT"/>
              </w:rPr>
              <w:t>Materia orgánica</w:t>
            </w:r>
          </w:p>
          <w:p w:rsidR="00B86BE9" w:rsidRDefault="00B86BE9" w:rsidP="001A01AB">
            <w:pPr>
              <w:autoSpaceDE w:val="0"/>
              <w:autoSpaceDN w:val="0"/>
              <w:adjustRightInd w:val="0"/>
              <w:spacing w:before="60" w:after="60"/>
              <w:jc w:val="both"/>
              <w:rPr>
                <w:rFonts w:ascii="Calibri" w:hAnsi="Calibri" w:cs="Calibri"/>
                <w:sz w:val="22"/>
                <w:lang w:val="es-GT"/>
              </w:rPr>
            </w:pPr>
          </w:p>
          <w:p w:rsidR="008327B2" w:rsidRPr="001A01AB" w:rsidRDefault="008327B2" w:rsidP="001A01AB">
            <w:pPr>
              <w:autoSpaceDE w:val="0"/>
              <w:autoSpaceDN w:val="0"/>
              <w:adjustRightInd w:val="0"/>
              <w:spacing w:before="60" w:after="60"/>
              <w:jc w:val="both"/>
              <w:rPr>
                <w:rFonts w:ascii="Calibri" w:hAnsi="Calibri" w:cs="Calibri"/>
                <w:sz w:val="22"/>
                <w:lang w:val="es-GT"/>
              </w:rPr>
            </w:pPr>
            <w:r w:rsidRPr="001A01AB">
              <w:rPr>
                <w:rFonts w:ascii="Calibri" w:hAnsi="Calibri" w:cs="Calibri"/>
                <w:sz w:val="22"/>
                <w:lang w:val="es-GT"/>
              </w:rPr>
              <w:t>Las poblaciones localizadas en las partes altas de las cuencas descargan sus aguas residuales sin tratamiento y abundante contenido de materia orgánica directa o indirectamente, en los cuerpos de agua. Esto está causando su contaminación y la disminución de su calidad para consumo humano, uso recreativo, industrial y para otros fines, como se aprecia en la lectura de los parámetros medidos en los principales cuerpos de agua del país que se muestran a continuación:</w:t>
            </w:r>
          </w:p>
          <w:p w:rsidR="00B86BE9" w:rsidRDefault="00B86BE9" w:rsidP="001A01AB">
            <w:pPr>
              <w:autoSpaceDE w:val="0"/>
              <w:autoSpaceDN w:val="0"/>
              <w:adjustRightInd w:val="0"/>
              <w:spacing w:before="60" w:after="60"/>
              <w:jc w:val="both"/>
              <w:rPr>
                <w:rFonts w:ascii="Calibri" w:hAnsi="Calibri" w:cs="Calibri"/>
                <w:bCs/>
                <w:sz w:val="22"/>
                <w:lang w:val="es-GT"/>
              </w:rPr>
            </w:pPr>
          </w:p>
          <w:p w:rsidR="008327B2" w:rsidRPr="001A01AB" w:rsidRDefault="00F13576" w:rsidP="001A01AB">
            <w:pPr>
              <w:autoSpaceDE w:val="0"/>
              <w:autoSpaceDN w:val="0"/>
              <w:adjustRightInd w:val="0"/>
              <w:spacing w:before="60" w:after="60"/>
              <w:jc w:val="both"/>
              <w:rPr>
                <w:rFonts w:ascii="Calibri" w:hAnsi="Calibri" w:cs="Calibri"/>
                <w:sz w:val="22"/>
                <w:lang w:val="es-GT"/>
              </w:rPr>
            </w:pPr>
            <w:r>
              <w:rPr>
                <w:rFonts w:ascii="Calibri" w:hAnsi="Calibri" w:cs="Calibri"/>
                <w:bCs/>
                <w:sz w:val="22"/>
                <w:lang w:val="es-GT"/>
              </w:rPr>
              <w:t>El Oxígeno D</w:t>
            </w:r>
            <w:r w:rsidR="008327B2" w:rsidRPr="001A01AB">
              <w:rPr>
                <w:rFonts w:ascii="Calibri" w:hAnsi="Calibri" w:cs="Calibri"/>
                <w:bCs/>
                <w:sz w:val="22"/>
                <w:lang w:val="es-GT"/>
              </w:rPr>
              <w:t>isuelto (OD) es</w:t>
            </w:r>
            <w:r w:rsidR="008327B2" w:rsidRPr="001A01AB">
              <w:rPr>
                <w:rFonts w:ascii="Calibri" w:hAnsi="Calibri" w:cs="Calibri"/>
                <w:sz w:val="22"/>
                <w:lang w:val="es-GT"/>
              </w:rPr>
              <w:t xml:space="preserve"> la cantidad de oxígeno que está disuelta en el agua. Su nivel indica cuán contaminada está el agua y cuán bien puede dar soporte a la vida vegetal y animal; si sus niveles son demasiado bajos, algunos peces y otros organismos no pueden sobrevivir. Con excepción del río Michatoya, la media anual de concentración de oxígeno disuelto en los cuerpos de agua</w:t>
            </w:r>
            <w:r>
              <w:rPr>
                <w:rFonts w:ascii="Calibri" w:hAnsi="Calibri" w:cs="Calibri"/>
                <w:sz w:val="22"/>
                <w:lang w:val="es-GT"/>
              </w:rPr>
              <w:t xml:space="preserve"> evaluados durante el periodo 2004–</w:t>
            </w:r>
            <w:r w:rsidR="008327B2" w:rsidRPr="001A01AB">
              <w:rPr>
                <w:rFonts w:ascii="Calibri" w:hAnsi="Calibri" w:cs="Calibri"/>
                <w:sz w:val="22"/>
                <w:lang w:val="es-GT"/>
              </w:rPr>
              <w:t>2008 se ubica bajo el límite recomendable para ecosistemas acuáticos de este parámetro (8 mg O</w:t>
            </w:r>
            <w:r w:rsidR="008327B2" w:rsidRPr="00B86BE9">
              <w:rPr>
                <w:rFonts w:ascii="Calibri" w:hAnsi="Calibri" w:cs="Calibri"/>
                <w:sz w:val="22"/>
                <w:vertAlign w:val="subscript"/>
                <w:lang w:val="es-GT"/>
              </w:rPr>
              <w:t>2</w:t>
            </w:r>
            <w:r w:rsidR="008327B2" w:rsidRPr="001A01AB">
              <w:rPr>
                <w:rFonts w:ascii="Calibri" w:hAnsi="Calibri" w:cs="Calibri"/>
                <w:sz w:val="22"/>
                <w:lang w:val="es-GT"/>
              </w:rPr>
              <w:t xml:space="preserve">/l). </w:t>
            </w:r>
          </w:p>
          <w:p w:rsidR="00B86BE9" w:rsidRDefault="00B86BE9" w:rsidP="001A01AB">
            <w:pPr>
              <w:autoSpaceDE w:val="0"/>
              <w:autoSpaceDN w:val="0"/>
              <w:adjustRightInd w:val="0"/>
              <w:spacing w:before="60" w:after="60"/>
              <w:jc w:val="both"/>
              <w:rPr>
                <w:rFonts w:ascii="Calibri" w:hAnsi="Calibri" w:cs="Calibri"/>
                <w:sz w:val="22"/>
                <w:lang w:val="es-GT"/>
              </w:rPr>
            </w:pPr>
          </w:p>
          <w:p w:rsidR="008327B2" w:rsidRPr="001A01AB" w:rsidRDefault="008327B2" w:rsidP="001A01AB">
            <w:pPr>
              <w:autoSpaceDE w:val="0"/>
              <w:autoSpaceDN w:val="0"/>
              <w:adjustRightInd w:val="0"/>
              <w:spacing w:before="60" w:after="60"/>
              <w:jc w:val="both"/>
              <w:rPr>
                <w:rFonts w:ascii="Calibri" w:hAnsi="Calibri" w:cs="Calibri"/>
                <w:sz w:val="22"/>
                <w:lang w:val="es-GT"/>
              </w:rPr>
            </w:pPr>
            <w:r w:rsidRPr="001A01AB">
              <w:rPr>
                <w:rFonts w:ascii="Calibri" w:hAnsi="Calibri" w:cs="Calibri"/>
                <w:sz w:val="22"/>
                <w:lang w:val="es-GT"/>
              </w:rPr>
              <w:t>El río Las Vacas y el lago Petén Itzá muestran los valores</w:t>
            </w:r>
            <w:r w:rsidR="00F13576">
              <w:rPr>
                <w:rFonts w:ascii="Calibri" w:hAnsi="Calibri" w:cs="Calibri"/>
                <w:sz w:val="22"/>
                <w:lang w:val="es-GT"/>
              </w:rPr>
              <w:t xml:space="preserve"> más bajos de este parámetro,</w:t>
            </w:r>
            <w:r w:rsidRPr="001A01AB">
              <w:rPr>
                <w:rFonts w:ascii="Calibri" w:hAnsi="Calibri" w:cs="Calibri"/>
                <w:sz w:val="22"/>
                <w:lang w:val="es-GT"/>
              </w:rPr>
              <w:t xml:space="preserve"> que tiende a disminuir también en el río Villalobos y en el lago de Izabal. Durante 2006, el lago de Atitlán obtuvo la media más alta de los lagos evaluados en cuanto al oxígeno disuelto.</w:t>
            </w:r>
          </w:p>
          <w:p w:rsidR="00B86BE9" w:rsidRDefault="00B86BE9" w:rsidP="001A01AB">
            <w:pPr>
              <w:autoSpaceDE w:val="0"/>
              <w:autoSpaceDN w:val="0"/>
              <w:adjustRightInd w:val="0"/>
              <w:spacing w:before="60" w:after="60"/>
              <w:jc w:val="both"/>
              <w:rPr>
                <w:rFonts w:ascii="Calibri" w:hAnsi="Calibri" w:cs="Calibri"/>
                <w:bCs/>
                <w:sz w:val="22"/>
                <w:lang w:val="es-GT"/>
              </w:rPr>
            </w:pPr>
          </w:p>
          <w:p w:rsidR="008327B2" w:rsidRPr="001A01AB" w:rsidRDefault="008327B2" w:rsidP="001A01AB">
            <w:pPr>
              <w:autoSpaceDE w:val="0"/>
              <w:autoSpaceDN w:val="0"/>
              <w:adjustRightInd w:val="0"/>
              <w:spacing w:before="60" w:after="60"/>
              <w:jc w:val="both"/>
              <w:rPr>
                <w:rFonts w:ascii="Calibri" w:hAnsi="Calibri" w:cs="Calibri"/>
                <w:sz w:val="22"/>
                <w:lang w:val="es-GT"/>
              </w:rPr>
            </w:pPr>
            <w:r w:rsidRPr="001A01AB">
              <w:rPr>
                <w:rFonts w:ascii="Calibri" w:hAnsi="Calibri" w:cs="Calibri"/>
                <w:bCs/>
                <w:sz w:val="22"/>
                <w:lang w:val="es-GT"/>
              </w:rPr>
              <w:t xml:space="preserve">La Demanda Química de Oxígeno (DQO) </w:t>
            </w:r>
            <w:r w:rsidRPr="001A01AB">
              <w:rPr>
                <w:rFonts w:ascii="Calibri" w:hAnsi="Calibri" w:cs="Calibri"/>
                <w:sz w:val="22"/>
                <w:lang w:val="es-GT"/>
              </w:rPr>
              <w:t xml:space="preserve">mide la cantidad de oxígeno necesaria para efectuar la oxidación por medios químicos de la materia orgánica presente en aguas superficiales. El valor obtenido es siempre superior a la Demanda Biológica de Oxígeno, ya que se oxidan por este método también las sustancias no biodegradables, cuya concentración es generalmente mayor en las aguas residuales o contaminadas. </w:t>
            </w:r>
          </w:p>
          <w:p w:rsidR="00B86BE9" w:rsidRDefault="00B86BE9" w:rsidP="001A01AB">
            <w:pPr>
              <w:autoSpaceDE w:val="0"/>
              <w:autoSpaceDN w:val="0"/>
              <w:adjustRightInd w:val="0"/>
              <w:spacing w:before="60" w:after="60"/>
              <w:jc w:val="both"/>
              <w:rPr>
                <w:rFonts w:ascii="Calibri" w:hAnsi="Calibri" w:cs="Calibri"/>
                <w:sz w:val="22"/>
                <w:lang w:val="es-GT"/>
              </w:rPr>
            </w:pPr>
          </w:p>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sz w:val="22"/>
                <w:lang w:val="es-GT"/>
              </w:rPr>
              <w:t xml:space="preserve">Los ríos más contaminados en 2004, según este parámetro, se concentran en torno al AMG, según los valores medios de DQO recopilados por </w:t>
            </w:r>
            <w:r w:rsidRPr="001C0399">
              <w:rPr>
                <w:rFonts w:ascii="Calibri" w:hAnsi="Calibri" w:cs="Calibri"/>
                <w:sz w:val="22"/>
                <w:highlight w:val="magenta"/>
                <w:lang w:val="es-GT"/>
              </w:rPr>
              <w:t>Cobos (2006).</w:t>
            </w:r>
          </w:p>
        </w:tc>
      </w:tr>
      <w:tr w:rsidR="008327B2" w:rsidRPr="000364C9" w:rsidTr="001A01AB">
        <w:trPr>
          <w:trHeight w:val="5024"/>
        </w:trPr>
        <w:tc>
          <w:tcPr>
            <w:tcW w:w="9356" w:type="dxa"/>
            <w:shd w:val="clear" w:color="auto" w:fill="auto"/>
          </w:tcPr>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b/>
                <w:iCs/>
                <w:color w:val="365F91"/>
                <w:lang w:val="es-GT"/>
              </w:rPr>
              <w:lastRenderedPageBreak/>
              <w:t>Contaminantes tóxicos y/o cancerígenos</w:t>
            </w:r>
          </w:p>
          <w:p w:rsidR="00B9528E" w:rsidRDefault="00B9528E" w:rsidP="001A01AB">
            <w:pPr>
              <w:autoSpaceDE w:val="0"/>
              <w:autoSpaceDN w:val="0"/>
              <w:adjustRightInd w:val="0"/>
              <w:spacing w:before="60" w:after="60"/>
              <w:jc w:val="both"/>
              <w:rPr>
                <w:rFonts w:ascii="Calibri" w:hAnsi="Calibri" w:cs="Calibri"/>
                <w:sz w:val="22"/>
                <w:lang w:val="es-GT"/>
              </w:rPr>
            </w:pPr>
          </w:p>
          <w:p w:rsidR="008327B2" w:rsidRPr="001A01AB" w:rsidRDefault="008327B2" w:rsidP="001A01AB">
            <w:pPr>
              <w:autoSpaceDE w:val="0"/>
              <w:autoSpaceDN w:val="0"/>
              <w:adjustRightInd w:val="0"/>
              <w:spacing w:before="60" w:after="60"/>
              <w:jc w:val="both"/>
              <w:rPr>
                <w:rFonts w:ascii="Calibri" w:hAnsi="Calibri" w:cs="Calibri"/>
                <w:sz w:val="22"/>
                <w:lang w:val="es-GT"/>
              </w:rPr>
            </w:pPr>
            <w:r w:rsidRPr="001A01AB">
              <w:rPr>
                <w:rFonts w:ascii="Calibri" w:hAnsi="Calibri" w:cs="Calibri"/>
                <w:sz w:val="22"/>
                <w:lang w:val="es-GT"/>
              </w:rPr>
              <w:t xml:space="preserve">El río Motagua y el lago </w:t>
            </w:r>
            <w:r w:rsidR="00401AEE">
              <w:rPr>
                <w:rFonts w:ascii="Calibri" w:hAnsi="Calibri" w:cs="Calibri"/>
                <w:sz w:val="22"/>
                <w:lang w:val="es-GT"/>
              </w:rPr>
              <w:t xml:space="preserve">de </w:t>
            </w:r>
            <w:r w:rsidRPr="001A01AB">
              <w:rPr>
                <w:rFonts w:ascii="Calibri" w:hAnsi="Calibri" w:cs="Calibri"/>
                <w:sz w:val="22"/>
                <w:lang w:val="es-GT"/>
              </w:rPr>
              <w:t xml:space="preserve">Amatitlán tienen altos niveles de contaminación por </w:t>
            </w:r>
            <w:r w:rsidRPr="001A01AB">
              <w:rPr>
                <w:rFonts w:ascii="Calibri" w:hAnsi="Calibri" w:cs="Calibri"/>
                <w:b/>
                <w:sz w:val="22"/>
                <w:lang w:val="es-GT"/>
              </w:rPr>
              <w:t>plaguicidas</w:t>
            </w:r>
            <w:r w:rsidRPr="001A01AB">
              <w:rPr>
                <w:rFonts w:ascii="Calibri" w:hAnsi="Calibri" w:cs="Calibri"/>
                <w:sz w:val="22"/>
                <w:lang w:val="es-GT"/>
              </w:rPr>
              <w:t>, según la evaluación que realizaron la Universidad del Valle de Guatemala (UVG) y el Consejo Nacional de Ciencia y Tecnología (CONCYT) en 1997. El diazinón (toxicidad II) fue el organofosforado y organoclorado hallado más frecuentemente en el muestreo, con una concentración media cercana a 0.1</w:t>
            </w:r>
            <w:r w:rsidRPr="001A01AB">
              <w:rPr>
                <w:rFonts w:ascii="Calibri" w:hAnsi="Calibri" w:cs="Calibri"/>
                <w:sz w:val="22"/>
              </w:rPr>
              <w:t>μ</w:t>
            </w:r>
            <w:r w:rsidR="00401AEE">
              <w:rPr>
                <w:rFonts w:ascii="Calibri" w:hAnsi="Calibri" w:cs="Calibri"/>
                <w:sz w:val="22"/>
                <w:lang w:val="es-GT"/>
              </w:rPr>
              <w:t>g/l. E</w:t>
            </w:r>
            <w:r w:rsidRPr="001A01AB">
              <w:rPr>
                <w:rFonts w:ascii="Calibri" w:hAnsi="Calibri" w:cs="Calibri"/>
                <w:sz w:val="22"/>
                <w:lang w:val="es-GT"/>
              </w:rPr>
              <w:t xml:space="preserve">l DDVP (toxicidad I), aunque fue menos frecuente, tuvo una concentración media tres veces mayor. El muestreo detectó también organofosforados (hexaclorobenceno, clordano, aldrín y lindano y compuestos de la familia del DDT), cuyo uso ha sido prohibido desde al menos hace dos décadas </w:t>
            </w:r>
            <w:r w:rsidRPr="00EF126F">
              <w:rPr>
                <w:rFonts w:ascii="Calibri" w:hAnsi="Calibri" w:cs="Calibri"/>
                <w:sz w:val="22"/>
                <w:highlight w:val="magenta"/>
                <w:lang w:val="es-GT"/>
              </w:rPr>
              <w:t>(Knedel, Chiquín, Pérez &amp; Rosales, 1999).</w:t>
            </w:r>
          </w:p>
          <w:p w:rsidR="00B9528E" w:rsidRDefault="00B9528E" w:rsidP="001A01AB">
            <w:pPr>
              <w:autoSpaceDE w:val="0"/>
              <w:autoSpaceDN w:val="0"/>
              <w:adjustRightInd w:val="0"/>
              <w:spacing w:before="60" w:after="60"/>
              <w:jc w:val="both"/>
              <w:rPr>
                <w:rFonts w:ascii="Calibri" w:hAnsi="Calibri" w:cs="Calibri"/>
                <w:sz w:val="22"/>
                <w:lang w:val="es-GT"/>
              </w:rPr>
            </w:pPr>
          </w:p>
          <w:p w:rsidR="008327B2" w:rsidRPr="001A01AB" w:rsidRDefault="008327B2" w:rsidP="001A01AB">
            <w:pPr>
              <w:autoSpaceDE w:val="0"/>
              <w:autoSpaceDN w:val="0"/>
              <w:adjustRightInd w:val="0"/>
              <w:spacing w:before="60" w:after="60"/>
              <w:jc w:val="both"/>
              <w:rPr>
                <w:rFonts w:ascii="Calibri" w:hAnsi="Calibri" w:cs="Calibri"/>
                <w:sz w:val="22"/>
                <w:lang w:val="es-GT"/>
              </w:rPr>
            </w:pPr>
            <w:r w:rsidRPr="001A01AB">
              <w:rPr>
                <w:rFonts w:ascii="Calibri" w:hAnsi="Calibri" w:cs="Calibri"/>
                <w:sz w:val="22"/>
                <w:lang w:val="es-GT"/>
              </w:rPr>
              <w:t>Los ríos Motagua y María Linda tienen concentraciones medias de cadmio y cianuro que superan el LMP de estos elementos (0.01mg/l según la norma NGO 29001), al menos durante el periodo 2000</w:t>
            </w:r>
            <w:r w:rsidR="00401AEE">
              <w:rPr>
                <w:rFonts w:ascii="Calibri" w:hAnsi="Calibri" w:cs="Calibri"/>
                <w:sz w:val="22"/>
                <w:lang w:val="es-GT"/>
              </w:rPr>
              <w:t>-</w:t>
            </w:r>
            <w:r w:rsidRPr="001A01AB">
              <w:rPr>
                <w:rFonts w:ascii="Calibri" w:hAnsi="Calibri" w:cs="Calibri"/>
                <w:sz w:val="22"/>
                <w:lang w:val="es-GT"/>
              </w:rPr>
              <w:t xml:space="preserve"> 2002, según las evaluaciones sistemáticas que realiza el Instituto Nacional de Sismología, Vulcanología, Meteorología e Hidrología (INSIVUMEH) desde el 2000. Según esta fuente, la concentración media de estos elementos en los ríos Coyolate y Los Esclavos se ha mantenido bajo el LMP, así como la concentración media de plomo en todos los ríos evaluados desde 2005, año en que empezó a evaluarse este contaminante</w:t>
            </w:r>
            <w:r w:rsidR="00401AEE">
              <w:rPr>
                <w:rFonts w:ascii="Calibri" w:hAnsi="Calibri" w:cs="Calibri"/>
                <w:sz w:val="22"/>
                <w:lang w:val="es-GT"/>
              </w:rPr>
              <w:t>.</w:t>
            </w:r>
          </w:p>
          <w:p w:rsidR="00B9528E" w:rsidRDefault="00B9528E" w:rsidP="001A01AB">
            <w:pPr>
              <w:autoSpaceDE w:val="0"/>
              <w:autoSpaceDN w:val="0"/>
              <w:adjustRightInd w:val="0"/>
              <w:spacing w:before="60" w:after="60"/>
              <w:jc w:val="both"/>
              <w:rPr>
                <w:rFonts w:ascii="Calibri" w:hAnsi="Calibri" w:cs="Calibri"/>
                <w:sz w:val="22"/>
                <w:lang w:val="es-GT"/>
              </w:rPr>
            </w:pPr>
          </w:p>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sz w:val="22"/>
                <w:lang w:val="es-GT"/>
              </w:rPr>
              <w:t>Las mediciones realizadas por el INSIVUMEH entre el 2000 y el 2007 muestran también que el contenido de manganeso y boro en el agua de los ríos Coyolate y Los Esclavos supera los límites establecidos por COGUANOR (LMP= 0.50mg/l y LMP=0.30mg/l respectivamente).</w:t>
            </w:r>
          </w:p>
        </w:tc>
      </w:tr>
    </w:tbl>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i/>
          <w:color w:val="365F91"/>
          <w:lang w:val="es-GT"/>
        </w:rPr>
      </w:pPr>
      <w:r w:rsidRPr="001A01AB">
        <w:rPr>
          <w:rFonts w:ascii="Calibri" w:hAnsi="Calibri" w:cs="Calibri"/>
          <w:b/>
          <w:i/>
          <w:color w:val="365F91"/>
          <w:lang w:val="es-GT"/>
        </w:rPr>
        <w:t>Calidad del agua en lagos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Los cuatro lagos más importantes del país (Atitlán, Amatitlán, Izabal-Río Dulce y Petén Itzá) están revelando niveles de contaminación sin precedentes, y las autoridades creadas para su manejo sustentable tienen pocas capacidades para revertir esa situación (</w:t>
      </w:r>
      <w:r w:rsidRPr="00EF126F">
        <w:rPr>
          <w:rFonts w:ascii="Calibri" w:hAnsi="Calibri" w:cs="Calibri"/>
          <w:i/>
          <w:iCs/>
          <w:lang w:val="es-GT"/>
        </w:rPr>
        <w:t xml:space="preserve">El Periódico, </w:t>
      </w:r>
      <w:r w:rsidRPr="00EF126F">
        <w:rPr>
          <w:rFonts w:ascii="Calibri" w:hAnsi="Calibri" w:cs="Calibri"/>
          <w:lang w:val="es-GT"/>
        </w:rPr>
        <w:t>Equipo de investigación, 2009, diciembre 14). Algunos</w:t>
      </w:r>
      <w:r w:rsidRPr="001A01AB">
        <w:rPr>
          <w:rFonts w:ascii="Calibri" w:hAnsi="Calibri" w:cs="Calibri"/>
          <w:lang w:val="es-GT"/>
        </w:rPr>
        <w:t xml:space="preserve"> datos de la situación de esos cuerpos de aguas se describen a continuación.</w:t>
      </w:r>
    </w:p>
    <w:p w:rsidR="008327B2" w:rsidRPr="001A01AB" w:rsidRDefault="008327B2" w:rsidP="008327B2">
      <w:pPr>
        <w:autoSpaceDE w:val="0"/>
        <w:autoSpaceDN w:val="0"/>
        <w:adjustRightInd w:val="0"/>
        <w:jc w:val="both"/>
        <w:rPr>
          <w:rFonts w:ascii="Calibri" w:hAnsi="Calibri" w:cs="Calibri"/>
          <w:iCs/>
          <w:u w:val="single"/>
          <w:lang w:val="es-GT"/>
        </w:rPr>
      </w:pPr>
    </w:p>
    <w:tbl>
      <w:tblPr>
        <w:tblW w:w="9356" w:type="dxa"/>
        <w:tblInd w:w="108"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4A0" w:firstRow="1" w:lastRow="0" w:firstColumn="1" w:lastColumn="0" w:noHBand="0" w:noVBand="1"/>
      </w:tblPr>
      <w:tblGrid>
        <w:gridCol w:w="9356"/>
      </w:tblGrid>
      <w:tr w:rsidR="008327B2" w:rsidRPr="000364C9" w:rsidTr="00270E3F">
        <w:trPr>
          <w:trHeight w:val="1100"/>
        </w:trPr>
        <w:tc>
          <w:tcPr>
            <w:tcW w:w="9356" w:type="dxa"/>
            <w:shd w:val="clear" w:color="auto" w:fill="auto"/>
          </w:tcPr>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b/>
                <w:iCs/>
                <w:color w:val="365F91"/>
                <w:lang w:val="es-GT"/>
              </w:rPr>
              <w:t>Lago de Amatitlán</w:t>
            </w:r>
          </w:p>
          <w:p w:rsidR="00401AEE" w:rsidRDefault="00401AEE" w:rsidP="001A01AB">
            <w:pPr>
              <w:autoSpaceDE w:val="0"/>
              <w:autoSpaceDN w:val="0"/>
              <w:adjustRightInd w:val="0"/>
              <w:spacing w:before="60" w:after="60"/>
              <w:jc w:val="both"/>
              <w:rPr>
                <w:rFonts w:ascii="Calibri" w:hAnsi="Calibri" w:cs="Calibri"/>
                <w:sz w:val="22"/>
                <w:lang w:val="es-GT"/>
              </w:rPr>
            </w:pPr>
          </w:p>
          <w:p w:rsidR="00401AEE" w:rsidRDefault="008327B2" w:rsidP="001A01AB">
            <w:pPr>
              <w:autoSpaceDE w:val="0"/>
              <w:autoSpaceDN w:val="0"/>
              <w:adjustRightInd w:val="0"/>
              <w:spacing w:before="60" w:after="60"/>
              <w:jc w:val="both"/>
              <w:rPr>
                <w:rFonts w:ascii="Calibri" w:hAnsi="Calibri" w:cs="Calibri"/>
                <w:sz w:val="22"/>
                <w:lang w:val="es-GT"/>
              </w:rPr>
            </w:pPr>
            <w:r w:rsidRPr="001A01AB">
              <w:rPr>
                <w:rFonts w:ascii="Calibri" w:hAnsi="Calibri" w:cs="Calibri"/>
                <w:sz w:val="22"/>
                <w:lang w:val="es-GT"/>
              </w:rPr>
              <w:t>Según la Autoridad para el Manejo Sustentable del Lago de Amatitlán (AMSA), este es un lago eutrófico (con poca vida acuática) que tiene concentración de clorofil</w:t>
            </w:r>
            <w:r w:rsidR="00401AEE">
              <w:rPr>
                <w:rFonts w:ascii="Calibri" w:hAnsi="Calibri" w:cs="Calibri"/>
                <w:sz w:val="22"/>
                <w:lang w:val="es-GT"/>
              </w:rPr>
              <w:t>a de 25.5 microgramos por litro,</w:t>
            </w:r>
            <w:r w:rsidRPr="001A01AB">
              <w:rPr>
                <w:rFonts w:ascii="Calibri" w:hAnsi="Calibri" w:cs="Calibri"/>
                <w:sz w:val="22"/>
                <w:lang w:val="es-GT"/>
              </w:rPr>
              <w:t xml:space="preserve"> concentración de fósforo en 540 microgramos por litro, y una transparencia de 1.03 metros (</w:t>
            </w:r>
            <w:r w:rsidRPr="00C60777">
              <w:rPr>
                <w:rFonts w:ascii="Calibri" w:hAnsi="Calibri" w:cs="Calibri"/>
                <w:sz w:val="22"/>
                <w:lang w:val="es-GT"/>
              </w:rPr>
              <w:t>Ramírez, A., 2010, mayo 2)</w:t>
            </w:r>
            <w:r w:rsidRPr="001A01AB">
              <w:rPr>
                <w:rFonts w:ascii="Calibri" w:hAnsi="Calibri" w:cs="Calibri"/>
                <w:sz w:val="22"/>
                <w:lang w:val="es-GT"/>
              </w:rPr>
              <w:t xml:space="preserve">. Las condiciones ideales serían las de un lago oligotrófico (con abundante vida acuática), con clorofila de 1.7 microgramos por litro, fósforo de ocho microgramos por litro y una transparencia de 10 metros. </w:t>
            </w:r>
          </w:p>
          <w:p w:rsidR="00401AEE" w:rsidRDefault="00401AEE" w:rsidP="001A01AB">
            <w:pPr>
              <w:autoSpaceDE w:val="0"/>
              <w:autoSpaceDN w:val="0"/>
              <w:adjustRightInd w:val="0"/>
              <w:spacing w:before="60" w:after="60"/>
              <w:jc w:val="both"/>
              <w:rPr>
                <w:rFonts w:ascii="Calibri" w:hAnsi="Calibri" w:cs="Calibri"/>
                <w:sz w:val="22"/>
                <w:lang w:val="es-GT"/>
              </w:rPr>
            </w:pPr>
          </w:p>
          <w:p w:rsidR="008327B2" w:rsidRPr="001A01AB" w:rsidRDefault="008327B2" w:rsidP="001A01AB">
            <w:pPr>
              <w:autoSpaceDE w:val="0"/>
              <w:autoSpaceDN w:val="0"/>
              <w:adjustRightInd w:val="0"/>
              <w:spacing w:before="60" w:after="60"/>
              <w:jc w:val="both"/>
              <w:rPr>
                <w:rFonts w:ascii="Calibri" w:hAnsi="Calibri" w:cs="Calibri"/>
                <w:b/>
                <w:iCs/>
                <w:color w:val="365F91"/>
                <w:sz w:val="22"/>
                <w:lang w:val="es-GT"/>
              </w:rPr>
            </w:pPr>
            <w:r w:rsidRPr="001A01AB">
              <w:rPr>
                <w:rFonts w:ascii="Calibri" w:hAnsi="Calibri" w:cs="Calibri"/>
                <w:sz w:val="22"/>
                <w:lang w:val="es-GT"/>
              </w:rPr>
              <w:t xml:space="preserve">El lago de Amatitlán recibe al menos unas 500 mil toneladas de sedimentos al año, lo que produce un constante y permanente incremento en los niveles de contaminación, principalmente de “fósforo total”, que favorece el desarrollo </w:t>
            </w:r>
            <w:r w:rsidR="00401AEE">
              <w:rPr>
                <w:rFonts w:ascii="Calibri" w:hAnsi="Calibri" w:cs="Calibri"/>
                <w:sz w:val="22"/>
                <w:lang w:val="es-GT"/>
              </w:rPr>
              <w:t>de cianobacterias (algas verde-</w:t>
            </w:r>
            <w:r w:rsidRPr="001A01AB">
              <w:rPr>
                <w:rFonts w:ascii="Calibri" w:hAnsi="Calibri" w:cs="Calibri"/>
                <w:sz w:val="22"/>
                <w:lang w:val="es-GT"/>
              </w:rPr>
              <w:t xml:space="preserve">azules, </w:t>
            </w:r>
            <w:r w:rsidRPr="001A01AB">
              <w:rPr>
                <w:rFonts w:ascii="Calibri" w:hAnsi="Calibri" w:cs="Calibri"/>
                <w:i/>
                <w:iCs/>
                <w:sz w:val="22"/>
                <w:lang w:val="es-GT"/>
              </w:rPr>
              <w:t xml:space="preserve">Microcystis </w:t>
            </w:r>
            <w:r w:rsidRPr="001A01AB">
              <w:rPr>
                <w:rFonts w:ascii="Calibri" w:hAnsi="Calibri" w:cs="Calibri"/>
                <w:sz w:val="22"/>
                <w:lang w:val="es-GT"/>
              </w:rPr>
              <w:t xml:space="preserve">sp.). Adicionalmente, su cuenca está amenazada por la basura generada por el millón y medio de personas </w:t>
            </w:r>
            <w:r w:rsidRPr="001A01AB">
              <w:rPr>
                <w:rFonts w:ascii="Calibri" w:hAnsi="Calibri" w:cs="Calibri"/>
                <w:sz w:val="22"/>
                <w:lang w:val="es-GT"/>
              </w:rPr>
              <w:lastRenderedPageBreak/>
              <w:t xml:space="preserve">que allí habitan, y a sus alrededores se encuentra el 25% del parque industrial del país (1,500 empresas contaminantes) </w:t>
            </w:r>
            <w:r w:rsidRPr="00C60777">
              <w:rPr>
                <w:rFonts w:ascii="Calibri" w:hAnsi="Calibri" w:cs="Calibri"/>
                <w:sz w:val="22"/>
                <w:lang w:val="es-GT"/>
              </w:rPr>
              <w:t>(AMSA, s.f.). En</w:t>
            </w:r>
            <w:r w:rsidRPr="001A01AB">
              <w:rPr>
                <w:rFonts w:ascii="Calibri" w:hAnsi="Calibri" w:cs="Calibri"/>
                <w:sz w:val="22"/>
                <w:lang w:val="es-GT"/>
              </w:rPr>
              <w:t xml:space="preserve"> 2009, las siete plantas de tratamiento que administra AMSA recibieron 32 millones de m</w:t>
            </w:r>
            <w:r w:rsidRPr="00401AEE">
              <w:rPr>
                <w:rFonts w:ascii="Calibri" w:hAnsi="Calibri" w:cs="Calibri"/>
                <w:sz w:val="22"/>
                <w:vertAlign w:val="superscript"/>
                <w:lang w:val="es-GT"/>
              </w:rPr>
              <w:t>3</w:t>
            </w:r>
            <w:r w:rsidRPr="001A01AB">
              <w:rPr>
                <w:rFonts w:ascii="Calibri" w:hAnsi="Calibri" w:cs="Calibri"/>
                <w:sz w:val="22"/>
                <w:lang w:val="es-GT"/>
              </w:rPr>
              <w:t xml:space="preserve"> de aguas residuales.</w:t>
            </w:r>
          </w:p>
        </w:tc>
      </w:tr>
      <w:tr w:rsidR="008327B2" w:rsidRPr="000364C9" w:rsidTr="001A01AB">
        <w:trPr>
          <w:trHeight w:val="2059"/>
        </w:trPr>
        <w:tc>
          <w:tcPr>
            <w:tcW w:w="9356" w:type="dxa"/>
            <w:shd w:val="clear" w:color="auto" w:fill="auto"/>
          </w:tcPr>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b/>
                <w:iCs/>
                <w:color w:val="365F91"/>
                <w:lang w:val="es-GT"/>
              </w:rPr>
              <w:lastRenderedPageBreak/>
              <w:t>Lago de Atitlán</w:t>
            </w:r>
          </w:p>
          <w:p w:rsidR="00270E3F" w:rsidRDefault="00270E3F" w:rsidP="001A01AB">
            <w:pPr>
              <w:autoSpaceDE w:val="0"/>
              <w:autoSpaceDN w:val="0"/>
              <w:adjustRightInd w:val="0"/>
              <w:spacing w:before="60" w:after="60"/>
              <w:jc w:val="both"/>
              <w:rPr>
                <w:rFonts w:ascii="Calibri" w:hAnsi="Calibri" w:cs="Calibri"/>
                <w:sz w:val="22"/>
                <w:lang w:val="es-GT"/>
              </w:rPr>
            </w:pPr>
          </w:p>
          <w:p w:rsidR="008327B2" w:rsidRPr="001A01AB" w:rsidRDefault="008327B2" w:rsidP="00270E3F">
            <w:pPr>
              <w:autoSpaceDE w:val="0"/>
              <w:autoSpaceDN w:val="0"/>
              <w:adjustRightInd w:val="0"/>
              <w:spacing w:before="60" w:after="60"/>
              <w:jc w:val="both"/>
              <w:rPr>
                <w:rFonts w:ascii="Calibri" w:hAnsi="Calibri" w:cs="Calibri"/>
                <w:b/>
                <w:iCs/>
                <w:color w:val="365F91"/>
                <w:sz w:val="22"/>
                <w:lang w:val="es-GT"/>
              </w:rPr>
            </w:pPr>
            <w:r w:rsidRPr="001A01AB">
              <w:rPr>
                <w:rFonts w:ascii="Calibri" w:hAnsi="Calibri" w:cs="Calibri"/>
                <w:sz w:val="22"/>
                <w:lang w:val="es-GT"/>
              </w:rPr>
              <w:t xml:space="preserve">El lago de Atitlán es el tercer destino turístico del país, después de la ciudad de Guatemala y Antigua Guatemala, y se estima que genera ingresos por US$200 millones al año. De acuerdo con Van Tongeren </w:t>
            </w:r>
            <w:r w:rsidRPr="001A01AB">
              <w:rPr>
                <w:rFonts w:ascii="Calibri" w:hAnsi="Calibri" w:cs="Calibri"/>
                <w:i/>
                <w:iCs/>
                <w:sz w:val="22"/>
                <w:lang w:val="es-GT"/>
              </w:rPr>
              <w:t xml:space="preserve">et al., </w:t>
            </w:r>
            <w:r w:rsidRPr="001A01AB">
              <w:rPr>
                <w:rFonts w:ascii="Calibri" w:hAnsi="Calibri" w:cs="Calibri"/>
                <w:sz w:val="22"/>
                <w:lang w:val="es-GT"/>
              </w:rPr>
              <w:t xml:space="preserve">sólo en 2003 el lago podría haber recibido más de 972 toneladas de nitrógeno y 381 de fósforo (alimento para microorganismos, como las cianobacterias) contenidas en más de 101,499 toneladas de suelo agrícola erosionado (IARNA-URL, 2009). Además, el lago presenta un alto contenido de heces fecales. La aparición de cianobacterias es señal de que se ha elevado el contenido de fósforo, producto de la erosión y transporte de nutrientes de suelos agrícolas hacia el lago. La cianobacteria fue </w:t>
            </w:r>
            <w:r w:rsidR="00270E3F">
              <w:rPr>
                <w:rFonts w:ascii="Calibri" w:hAnsi="Calibri" w:cs="Calibri"/>
                <w:sz w:val="22"/>
                <w:lang w:val="es-GT"/>
              </w:rPr>
              <w:t>detectada en el lago de Atitlán</w:t>
            </w:r>
            <w:r w:rsidRPr="001A01AB">
              <w:rPr>
                <w:rFonts w:ascii="Calibri" w:hAnsi="Calibri" w:cs="Calibri"/>
                <w:sz w:val="22"/>
                <w:lang w:val="es-GT"/>
              </w:rPr>
              <w:t xml:space="preserve"> </w:t>
            </w:r>
            <w:r w:rsidR="00270E3F">
              <w:rPr>
                <w:rFonts w:ascii="Calibri" w:hAnsi="Calibri" w:cs="Calibri"/>
                <w:sz w:val="22"/>
                <w:lang w:val="es-GT"/>
              </w:rPr>
              <w:t xml:space="preserve">el 30 de octubre del año 2009 </w:t>
            </w:r>
            <w:r w:rsidRPr="001A01AB">
              <w:rPr>
                <w:rFonts w:ascii="Calibri" w:hAnsi="Calibri" w:cs="Calibri"/>
                <w:sz w:val="22"/>
                <w:lang w:val="es-GT"/>
              </w:rPr>
              <w:t>por medio de imágenes satelitales</w:t>
            </w:r>
            <w:r w:rsidR="00270E3F">
              <w:rPr>
                <w:rFonts w:ascii="Calibri" w:hAnsi="Calibri" w:cs="Calibri"/>
                <w:sz w:val="22"/>
                <w:lang w:val="es-GT"/>
              </w:rPr>
              <w:t>.</w:t>
            </w:r>
            <w:r w:rsidRPr="001A01AB">
              <w:rPr>
                <w:rFonts w:ascii="Calibri" w:hAnsi="Calibri" w:cs="Calibri"/>
                <w:sz w:val="22"/>
                <w:lang w:val="es-GT"/>
              </w:rPr>
              <w:t xml:space="preserve"> </w:t>
            </w:r>
          </w:p>
        </w:tc>
      </w:tr>
      <w:tr w:rsidR="008327B2" w:rsidRPr="00BF6AA6" w:rsidTr="001A01AB">
        <w:trPr>
          <w:trHeight w:val="713"/>
        </w:trPr>
        <w:tc>
          <w:tcPr>
            <w:tcW w:w="9356" w:type="dxa"/>
            <w:shd w:val="clear" w:color="auto" w:fill="auto"/>
          </w:tcPr>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b/>
                <w:iCs/>
                <w:color w:val="365F91"/>
                <w:lang w:val="es-GT"/>
              </w:rPr>
              <w:t>Lago Petén Itzá</w:t>
            </w:r>
          </w:p>
          <w:p w:rsidR="008327B2" w:rsidRPr="001A01AB" w:rsidRDefault="008327B2" w:rsidP="00BF6AA6">
            <w:pPr>
              <w:autoSpaceDE w:val="0"/>
              <w:autoSpaceDN w:val="0"/>
              <w:adjustRightInd w:val="0"/>
              <w:spacing w:before="60" w:after="60"/>
              <w:jc w:val="both"/>
              <w:rPr>
                <w:rFonts w:ascii="Calibri" w:hAnsi="Calibri" w:cs="Calibri"/>
                <w:b/>
                <w:iCs/>
                <w:color w:val="365F91"/>
                <w:sz w:val="22"/>
                <w:lang w:val="es-GT"/>
              </w:rPr>
            </w:pPr>
            <w:r w:rsidRPr="001A01AB">
              <w:rPr>
                <w:rFonts w:ascii="Calibri" w:hAnsi="Calibri" w:cs="Calibri"/>
                <w:sz w:val="22"/>
                <w:lang w:val="es-GT"/>
              </w:rPr>
              <w:t xml:space="preserve">La Autoridad para el Manejo y Desarrollo Sostenible de la Cuenca del Lago de Petén Itzá (AMPI) estima que, durante 2008, se extrajeron unas 80 toneladas de basura del </w:t>
            </w:r>
            <w:r w:rsidRPr="00C60777">
              <w:rPr>
                <w:rFonts w:ascii="Calibri" w:hAnsi="Calibri" w:cs="Calibri"/>
                <w:sz w:val="22"/>
                <w:lang w:val="es-GT"/>
              </w:rPr>
              <w:t>lago (AMPI, 2008). La</w:t>
            </w:r>
            <w:r w:rsidRPr="001A01AB">
              <w:rPr>
                <w:rFonts w:ascii="Calibri" w:hAnsi="Calibri" w:cs="Calibri"/>
                <w:sz w:val="22"/>
                <w:lang w:val="es-GT"/>
              </w:rPr>
              <w:t xml:space="preserve"> Universidad de San Carlos de </w:t>
            </w:r>
            <w:r w:rsidRPr="00C60777">
              <w:rPr>
                <w:rFonts w:ascii="Calibri" w:hAnsi="Calibri" w:cs="Calibri"/>
                <w:sz w:val="22"/>
                <w:lang w:val="es-GT"/>
              </w:rPr>
              <w:t>Guatemala (Rodas, 2008),</w:t>
            </w:r>
            <w:r w:rsidRPr="001A01AB">
              <w:rPr>
                <w:rFonts w:ascii="Calibri" w:hAnsi="Calibri" w:cs="Calibri"/>
                <w:sz w:val="22"/>
                <w:lang w:val="es-GT"/>
              </w:rPr>
              <w:t xml:space="preserve"> </w:t>
            </w:r>
            <w:r w:rsidR="00BF6AA6">
              <w:rPr>
                <w:rFonts w:ascii="Calibri" w:hAnsi="Calibri" w:cs="Calibri"/>
                <w:sz w:val="22"/>
                <w:lang w:val="es-GT"/>
              </w:rPr>
              <w:t>reportó en un</w:t>
            </w:r>
            <w:r w:rsidRPr="001A01AB">
              <w:rPr>
                <w:rFonts w:ascii="Calibri" w:hAnsi="Calibri" w:cs="Calibri"/>
                <w:sz w:val="22"/>
                <w:lang w:val="es-GT"/>
              </w:rPr>
              <w:t xml:space="preserve"> análisis realizado en 2008, que el nivel de contaminación del lago Petén Itzá era de 17 miligramos por litro (mg/L) de materia orgánica. Además, presentaba un total de 3.52 mg/L de bacterias.</w:t>
            </w:r>
          </w:p>
        </w:tc>
      </w:tr>
      <w:tr w:rsidR="008327B2" w:rsidRPr="000364C9" w:rsidTr="001A01AB">
        <w:trPr>
          <w:trHeight w:val="1641"/>
        </w:trPr>
        <w:tc>
          <w:tcPr>
            <w:tcW w:w="9356" w:type="dxa"/>
            <w:shd w:val="clear" w:color="auto" w:fill="auto"/>
          </w:tcPr>
          <w:p w:rsidR="008327B2" w:rsidRPr="001A01AB" w:rsidRDefault="008327B2" w:rsidP="001A01AB">
            <w:pPr>
              <w:autoSpaceDE w:val="0"/>
              <w:autoSpaceDN w:val="0"/>
              <w:adjustRightInd w:val="0"/>
              <w:spacing w:before="60" w:after="60"/>
              <w:jc w:val="both"/>
              <w:rPr>
                <w:rFonts w:ascii="Calibri" w:hAnsi="Calibri" w:cs="Calibri"/>
                <w:b/>
                <w:iCs/>
                <w:color w:val="365F91"/>
                <w:lang w:val="es-GT"/>
              </w:rPr>
            </w:pPr>
            <w:r w:rsidRPr="001A01AB">
              <w:rPr>
                <w:rFonts w:ascii="Calibri" w:hAnsi="Calibri" w:cs="Calibri"/>
                <w:b/>
                <w:iCs/>
                <w:color w:val="365F91"/>
                <w:lang w:val="es-GT"/>
              </w:rPr>
              <w:t>Lago de Izabal</w:t>
            </w:r>
          </w:p>
          <w:p w:rsidR="008327B2" w:rsidRPr="001A01AB" w:rsidRDefault="008327B2" w:rsidP="001A01AB">
            <w:pPr>
              <w:autoSpaceDE w:val="0"/>
              <w:autoSpaceDN w:val="0"/>
              <w:adjustRightInd w:val="0"/>
              <w:spacing w:before="60" w:after="60"/>
              <w:jc w:val="both"/>
              <w:rPr>
                <w:rFonts w:ascii="Calibri" w:hAnsi="Calibri" w:cs="Calibri"/>
                <w:b/>
                <w:iCs/>
                <w:color w:val="365F91"/>
                <w:sz w:val="22"/>
                <w:lang w:val="es-GT"/>
              </w:rPr>
            </w:pPr>
            <w:r w:rsidRPr="001A01AB">
              <w:rPr>
                <w:rFonts w:ascii="Calibri" w:hAnsi="Calibri" w:cs="Calibri"/>
                <w:sz w:val="22"/>
                <w:lang w:val="es-GT"/>
              </w:rPr>
              <w:t xml:space="preserve">La principal fuente de contaminación del lago de Izabal son las descargas de aguas servidas de las poblaciones aledañas a los ríos Matanzas, Cahabón y Polochic. Adicionalmente, la acumulación de sedimentos generados por la alta deforestación en la cuenca del río Polochic originó la proliferación de </w:t>
            </w:r>
            <w:r w:rsidRPr="001A01AB">
              <w:rPr>
                <w:rFonts w:ascii="Calibri" w:hAnsi="Calibri" w:cs="Calibri"/>
                <w:i/>
                <w:iCs/>
                <w:sz w:val="22"/>
                <w:lang w:val="es-GT"/>
              </w:rPr>
              <w:t>Hydrilla verticillata</w:t>
            </w:r>
            <w:r w:rsidRPr="001A01AB">
              <w:rPr>
                <w:rFonts w:ascii="Calibri" w:hAnsi="Calibri" w:cs="Calibri"/>
                <w:sz w:val="22"/>
                <w:lang w:val="es-GT"/>
              </w:rPr>
              <w:t>, un alga que crece a ritmo acelerado cuando las aguas de un cuerpo fluvial están contaminadas.</w:t>
            </w:r>
          </w:p>
        </w:tc>
      </w:tr>
    </w:tbl>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b/>
          <w:color w:val="365F91"/>
          <w:sz w:val="28"/>
          <w:lang w:val="es-GT"/>
        </w:rPr>
        <w:t>1.3</w:t>
      </w:r>
      <w:r w:rsidRPr="001A01AB">
        <w:rPr>
          <w:rFonts w:ascii="Calibri" w:hAnsi="Calibri" w:cs="Calibri"/>
          <w:b/>
          <w:color w:val="365F91"/>
          <w:sz w:val="28"/>
          <w:lang w:val="es-GT"/>
        </w:rPr>
        <w:tab/>
        <w:t>Criterio de evaluación: S</w:t>
      </w:r>
      <w:r w:rsidR="00BF6AA6" w:rsidRPr="001A01AB">
        <w:rPr>
          <w:rFonts w:ascii="Calibri" w:hAnsi="Calibri" w:cs="Calibri"/>
          <w:b/>
          <w:color w:val="365F91"/>
          <w:sz w:val="28"/>
          <w:lang w:val="es-GT"/>
        </w:rPr>
        <w:t>uelos</w:t>
      </w:r>
    </w:p>
    <w:p w:rsidR="008327B2" w:rsidRPr="001A01AB" w:rsidRDefault="008327B2" w:rsidP="008327B2">
      <w:pPr>
        <w:autoSpaceDE w:val="0"/>
        <w:autoSpaceDN w:val="0"/>
        <w:adjustRightInd w:val="0"/>
        <w:jc w:val="both"/>
        <w:rPr>
          <w:rFonts w:ascii="Calibri" w:hAnsi="Calibri" w:cs="Calibri"/>
          <w:lang w:val="es-GT"/>
        </w:rPr>
      </w:pPr>
    </w:p>
    <w:p w:rsidR="00E06117"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Los suelos son la base para soportar la productividad agrícola del país. Guatemala basa </w:t>
      </w:r>
      <w:r w:rsidR="00E06117">
        <w:rPr>
          <w:rFonts w:ascii="Calibri" w:hAnsi="Calibri" w:cs="Calibri"/>
          <w:lang w:val="es-GT"/>
        </w:rPr>
        <w:t>gran</w:t>
      </w:r>
      <w:r w:rsidRPr="001A01AB">
        <w:rPr>
          <w:rFonts w:ascii="Calibri" w:hAnsi="Calibri" w:cs="Calibri"/>
          <w:lang w:val="es-GT"/>
        </w:rPr>
        <w:t xml:space="preserve"> parte de su productividad en las actividades agropecuarias, las cuales impactan directamente los suelos. </w:t>
      </w:r>
    </w:p>
    <w:p w:rsidR="00E06117" w:rsidRDefault="00E06117"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A continuación se analizan los eventos y tendencias que han impactado a los suelos agrícolas en los últimos años, bajo la lógica del sistema socio-ecológico. Los indicadores utilizados son: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BF6AA6" w:rsidP="008327B2">
      <w:pPr>
        <w:autoSpaceDE w:val="0"/>
        <w:autoSpaceDN w:val="0"/>
        <w:adjustRightInd w:val="0"/>
        <w:jc w:val="both"/>
        <w:rPr>
          <w:rFonts w:ascii="Calibri" w:hAnsi="Calibri" w:cs="Calibri"/>
          <w:lang w:val="es-GT"/>
        </w:rPr>
      </w:pPr>
      <w:r>
        <w:rPr>
          <w:rFonts w:ascii="Calibri" w:hAnsi="Calibri" w:cs="Calibri"/>
          <w:lang w:val="es-GT"/>
        </w:rPr>
        <w:t>a) Intensidad de uso del suelo y</w:t>
      </w:r>
    </w:p>
    <w:p w:rsidR="008327B2" w:rsidRPr="001A01AB" w:rsidRDefault="00BF6AA6" w:rsidP="008327B2">
      <w:pPr>
        <w:autoSpaceDE w:val="0"/>
        <w:autoSpaceDN w:val="0"/>
        <w:adjustRightInd w:val="0"/>
        <w:jc w:val="both"/>
        <w:rPr>
          <w:rFonts w:ascii="Calibri" w:hAnsi="Calibri" w:cs="Calibri"/>
          <w:lang w:val="es-GT"/>
        </w:rPr>
      </w:pPr>
      <w:r>
        <w:rPr>
          <w:rFonts w:ascii="Calibri" w:hAnsi="Calibri" w:cs="Calibri"/>
          <w:lang w:val="es-GT"/>
        </w:rPr>
        <w:t>b) S</w:t>
      </w:r>
      <w:r w:rsidR="008327B2" w:rsidRPr="001A01AB">
        <w:rPr>
          <w:rFonts w:ascii="Calibri" w:hAnsi="Calibri" w:cs="Calibri"/>
          <w:lang w:val="es-GT"/>
        </w:rPr>
        <w:t>usceptibilidad a la erosión</w:t>
      </w:r>
      <w:r>
        <w:rPr>
          <w:rFonts w:ascii="Calibri" w:hAnsi="Calibri" w:cs="Calibri"/>
          <w:lang w:val="es-GT"/>
        </w:rPr>
        <w:t>.</w:t>
      </w:r>
      <w:r w:rsidR="008327B2"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1.3.1.</w:t>
      </w:r>
      <w:r w:rsidRPr="001A01AB">
        <w:rPr>
          <w:rFonts w:ascii="Calibri" w:hAnsi="Calibri" w:cs="Calibri"/>
          <w:b/>
          <w:color w:val="365F91"/>
          <w:lang w:val="es-GT"/>
        </w:rPr>
        <w:tab/>
        <w:t>Indicador: I</w:t>
      </w:r>
      <w:r w:rsidR="00BF6AA6" w:rsidRPr="001A01AB">
        <w:rPr>
          <w:rFonts w:ascii="Calibri" w:hAnsi="Calibri" w:cs="Calibri"/>
          <w:b/>
          <w:color w:val="365F91"/>
          <w:lang w:val="es-GT"/>
        </w:rPr>
        <w:t>ntensidad de uso del suelo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intensidad de uso de la tierra es el resultado del análisis comparativo de la capaci</w:t>
      </w:r>
      <w:r w:rsidR="00E06117">
        <w:rPr>
          <w:rFonts w:ascii="Calibri" w:hAnsi="Calibri" w:cs="Calibri"/>
          <w:lang w:val="es-GT"/>
        </w:rPr>
        <w:t>dad de uso de un área, contra su utilización</w:t>
      </w:r>
      <w:r w:rsidRPr="001A01AB">
        <w:rPr>
          <w:rFonts w:ascii="Calibri" w:hAnsi="Calibri" w:cs="Calibri"/>
          <w:lang w:val="es-GT"/>
        </w:rPr>
        <w:t xml:space="preserve"> actual. Permite identificar conflictos de uso en la medida que la </w:t>
      </w:r>
      <w:r w:rsidRPr="001A01AB">
        <w:rPr>
          <w:rFonts w:ascii="Calibri" w:hAnsi="Calibri" w:cs="Calibri"/>
          <w:lang w:val="es-GT"/>
        </w:rPr>
        <w:lastRenderedPageBreak/>
        <w:t>intervención humana o de la naturaleza está acorde con la aptitud de una unidad de tierra. Generalmente se definen tres categorías de intensidad de uso de la tierra: tierras con uso acorde con su capacidad, tierras sub-utilizadas y tierras sobre-utilizadas.</w:t>
      </w:r>
      <w:r w:rsidR="00141A70">
        <w:rPr>
          <w:rFonts w:ascii="Calibri" w:hAnsi="Calibri" w:cs="Calibri"/>
          <w:lang w:val="es-GT"/>
        </w:rPr>
        <w:t xml:space="preserve"> </w:t>
      </w:r>
      <w:r w:rsidRPr="001A01AB">
        <w:rPr>
          <w:rFonts w:ascii="Calibri" w:hAnsi="Calibri" w:cs="Calibri"/>
          <w:lang w:val="es-GT"/>
        </w:rPr>
        <w:t xml:space="preserve">El </w:t>
      </w:r>
      <w:r w:rsidRPr="001A01AB">
        <w:rPr>
          <w:rFonts w:ascii="Calibri" w:hAnsi="Calibri" w:cs="Calibri"/>
          <w:i/>
          <w:lang w:val="es-GT"/>
        </w:rPr>
        <w:t>sobreuso</w:t>
      </w:r>
      <w:r w:rsidRPr="001A01AB">
        <w:rPr>
          <w:rFonts w:ascii="Calibri" w:hAnsi="Calibri" w:cs="Calibri"/>
          <w:lang w:val="es-GT"/>
        </w:rPr>
        <w:t xml:space="preserve">, es un indicador comúnmente utilizado para caracterizar la degradación de las tierras.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D34928" w:rsidP="008327B2">
      <w:pPr>
        <w:autoSpaceDE w:val="0"/>
        <w:autoSpaceDN w:val="0"/>
        <w:adjustRightInd w:val="0"/>
        <w:jc w:val="both"/>
        <w:rPr>
          <w:rFonts w:ascii="Calibri" w:hAnsi="Calibri" w:cs="Calibri"/>
          <w:lang w:val="es-GT"/>
        </w:rPr>
      </w:pPr>
      <w:r>
        <w:rPr>
          <w:rFonts w:ascii="Calibri" w:hAnsi="Calibri" w:cs="Calibri"/>
          <w:lang w:val="es-GT"/>
        </w:rPr>
        <w:t>E</w:t>
      </w:r>
      <w:r w:rsidR="008327B2" w:rsidRPr="001A01AB">
        <w:rPr>
          <w:rFonts w:ascii="Calibri" w:hAnsi="Calibri" w:cs="Calibri"/>
          <w:lang w:val="es-GT"/>
        </w:rPr>
        <w:t>l presente análisis utilizó el mapa de capacidad de uso de la tierra definido con base en las clases agrológicas del Departamento de Agricultura de Estados Unidos (USDA, por sus siglas en inglés)</w:t>
      </w:r>
      <w:r>
        <w:rPr>
          <w:rFonts w:ascii="Calibri" w:hAnsi="Calibri" w:cs="Calibri"/>
          <w:lang w:val="es-GT"/>
        </w:rPr>
        <w:t>,</w:t>
      </w:r>
      <w:r w:rsidR="008327B2" w:rsidRPr="001A01AB">
        <w:rPr>
          <w:rFonts w:ascii="Calibri" w:hAnsi="Calibri" w:cs="Calibri"/>
          <w:lang w:val="es-GT"/>
        </w:rPr>
        <w:t xml:space="preserve"> de acuerdo con el Ministerio de Agricultura, Ganadería y Alimentación </w:t>
      </w:r>
      <w:r w:rsidR="008327B2" w:rsidRPr="00C60777">
        <w:rPr>
          <w:rFonts w:ascii="Calibri" w:hAnsi="Calibri" w:cs="Calibri"/>
          <w:highlight w:val="magenta"/>
          <w:lang w:val="es-GT"/>
        </w:rPr>
        <w:t>(MAGA, 2002).</w:t>
      </w:r>
      <w:r w:rsidR="008327B2"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Utilizando técnicas de análisis espacial en un sistema de información geográfica, </w:t>
      </w:r>
      <w:r w:rsidR="00D34928">
        <w:rPr>
          <w:rFonts w:ascii="Calibri" w:hAnsi="Calibri" w:cs="Calibri"/>
          <w:lang w:val="es-GT"/>
        </w:rPr>
        <w:t>los datos se combinaron con el mapa má</w:t>
      </w:r>
      <w:r w:rsidRPr="001A01AB">
        <w:rPr>
          <w:rFonts w:ascii="Calibri" w:hAnsi="Calibri" w:cs="Calibri"/>
          <w:lang w:val="es-GT"/>
        </w:rPr>
        <w:t xml:space="preserve">s reciente de cobertura vegetal y uso de la tierra, generado por </w:t>
      </w:r>
      <w:r w:rsidR="00D34928">
        <w:rPr>
          <w:rFonts w:ascii="Calibri" w:hAnsi="Calibri" w:cs="Calibri"/>
          <w:lang w:val="es-GT"/>
        </w:rPr>
        <w:t xml:space="preserve">el </w:t>
      </w:r>
      <w:r w:rsidRPr="00010086">
        <w:rPr>
          <w:rFonts w:ascii="Calibri" w:hAnsi="Calibri" w:cs="Calibri"/>
          <w:lang w:val="es-GT"/>
        </w:rPr>
        <w:t>MAGA (2006). El</w:t>
      </w:r>
      <w:r w:rsidRPr="001A01AB">
        <w:rPr>
          <w:rFonts w:ascii="Calibri" w:hAnsi="Calibri" w:cs="Calibri"/>
          <w:lang w:val="es-GT"/>
        </w:rPr>
        <w:t xml:space="preserve"> mapa de intensidad de uso resultante, se muestra en la Figura </w:t>
      </w:r>
      <w:r w:rsidR="00D34928">
        <w:rPr>
          <w:rFonts w:ascii="Calibri" w:hAnsi="Calibri" w:cs="Calibri"/>
          <w:lang w:val="es-GT"/>
        </w:rPr>
        <w:t>32</w:t>
      </w:r>
      <w:r w:rsidRPr="001A01AB">
        <w:rPr>
          <w:rFonts w:ascii="Calibri" w:hAnsi="Calibri" w:cs="Calibri"/>
          <w:lang w:val="es-GT"/>
        </w:rPr>
        <w:t xml:space="preserve">. A partir de </w:t>
      </w:r>
      <w:r w:rsidR="00D34928">
        <w:rPr>
          <w:rFonts w:ascii="Calibri" w:hAnsi="Calibri" w:cs="Calibri"/>
          <w:lang w:val="es-GT"/>
        </w:rPr>
        <w:t>ello</w:t>
      </w:r>
      <w:r w:rsidRPr="001A01AB">
        <w:rPr>
          <w:rFonts w:ascii="Calibri" w:hAnsi="Calibri" w:cs="Calibri"/>
          <w:lang w:val="es-GT"/>
        </w:rPr>
        <w:t xml:space="preserve">, se calcularon los datos de área para las categorías de intensidad de uso que aparecen en el Cuadro </w:t>
      </w:r>
      <w:r w:rsidR="00D34928">
        <w:rPr>
          <w:rFonts w:ascii="Calibri" w:hAnsi="Calibri" w:cs="Calibri"/>
          <w:lang w:val="es-GT"/>
        </w:rPr>
        <w:t>2</w:t>
      </w:r>
      <w:r w:rsidR="004C77F8">
        <w:rPr>
          <w:rFonts w:ascii="Calibri" w:hAnsi="Calibri" w:cs="Calibri"/>
          <w:lang w:val="es-GT"/>
        </w:rPr>
        <w:t>2</w:t>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278" w:name="_Toc340004976"/>
      <w:bookmarkStart w:id="279" w:name="_Toc340032166"/>
      <w:bookmarkStart w:id="280" w:name="_Toc340034443"/>
      <w:bookmarkStart w:id="281" w:name="_Toc343164650"/>
      <w:bookmarkStart w:id="282" w:name="_Toc347841204"/>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22</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Intensidad de uso de la tierra</w:t>
      </w:r>
      <w:r w:rsidR="00D34928" w:rsidRPr="00216872">
        <w:rPr>
          <w:rFonts w:asciiTheme="minorHAnsi" w:hAnsiTheme="minorHAnsi" w:cstheme="minorHAnsi"/>
          <w:color w:val="365F91" w:themeColor="accent1" w:themeShade="BF"/>
          <w:sz w:val="22"/>
          <w:szCs w:val="22"/>
          <w:lang w:val="es-GT"/>
        </w:rPr>
        <w:t>.</w:t>
      </w:r>
      <w:r w:rsidR="008327B2" w:rsidRPr="00216872">
        <w:rPr>
          <w:rFonts w:asciiTheme="minorHAnsi" w:hAnsiTheme="minorHAnsi" w:cstheme="minorHAnsi"/>
          <w:color w:val="365F91" w:themeColor="accent1" w:themeShade="BF"/>
          <w:sz w:val="22"/>
          <w:szCs w:val="22"/>
          <w:lang w:val="es-GT"/>
        </w:rPr>
        <w:t xml:space="preserve"> Año 2003</w:t>
      </w:r>
      <w:bookmarkEnd w:id="278"/>
      <w:bookmarkEnd w:id="279"/>
      <w:bookmarkEnd w:id="280"/>
      <w:bookmarkEnd w:id="281"/>
      <w:bookmarkEnd w:id="282"/>
    </w:p>
    <w:p w:rsidR="00216872" w:rsidRPr="00216872" w:rsidRDefault="00216872" w:rsidP="00216872">
      <w:pPr>
        <w:rPr>
          <w:lang w:val="es-GT"/>
        </w:rPr>
      </w:pPr>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581650" cy="2095500"/>
            <wp:effectExtent l="0" t="0" r="0" b="0"/>
            <wp:docPr id="2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7"/>
                    <pic:cNvPicPr>
                      <a:picLocks noChangeAspect="1" noChangeArrowheads="1"/>
                    </pic:cNvPicPr>
                  </pic:nvPicPr>
                  <pic:blipFill>
                    <a:blip r:embed="rId75" cstate="print">
                      <a:duotone>
                        <a:schemeClr val="accent1">
                          <a:shade val="45000"/>
                          <a:satMod val="135000"/>
                        </a:schemeClr>
                        <a:prstClr val="white"/>
                      </a:duotone>
                    </a:blip>
                    <a:srcRect l="2985" t="17642" r="1373" b="17881"/>
                    <a:stretch>
                      <a:fillRect/>
                    </a:stretch>
                  </pic:blipFill>
                  <pic:spPr bwMode="auto">
                    <a:xfrm>
                      <a:off x="0" y="0"/>
                      <a:ext cx="5581650" cy="2095500"/>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right="288"/>
        <w:jc w:val="right"/>
        <w:rPr>
          <w:rFonts w:ascii="Calibri" w:hAnsi="Calibri" w:cs="Calibri"/>
          <w:color w:val="414142"/>
          <w:sz w:val="20"/>
          <w:szCs w:val="20"/>
          <w:lang w:val="es-GT" w:eastAsia="es-GT"/>
        </w:rPr>
      </w:pPr>
      <w:r w:rsidRPr="001A01AB">
        <w:rPr>
          <w:rFonts w:ascii="Calibri" w:hAnsi="Calibri" w:cs="Calibri"/>
          <w:sz w:val="20"/>
          <w:szCs w:val="20"/>
          <w:lang w:val="es-GT"/>
        </w:rPr>
        <w:t xml:space="preserve">Fuente: </w:t>
      </w:r>
      <w:r w:rsidR="00D34928">
        <w:rPr>
          <w:rFonts w:ascii="Calibri" w:hAnsi="Calibri" w:cs="Calibri"/>
          <w:color w:val="414142"/>
          <w:sz w:val="20"/>
          <w:szCs w:val="20"/>
          <w:lang w:val="es-GT" w:eastAsia="es-GT"/>
        </w:rPr>
        <w:t>IARNA-URL</w:t>
      </w:r>
      <w:r w:rsidRPr="001A01AB">
        <w:rPr>
          <w:rFonts w:ascii="Calibri" w:hAnsi="Calibri" w:cs="Calibri"/>
          <w:color w:val="414142"/>
          <w:sz w:val="20"/>
          <w:szCs w:val="20"/>
          <w:lang w:val="es-GT" w:eastAsia="es-GT"/>
        </w:rPr>
        <w:t xml:space="preserve"> </w:t>
      </w:r>
      <w:r w:rsidR="00D34928">
        <w:rPr>
          <w:rFonts w:ascii="Calibri" w:hAnsi="Calibri" w:cs="Calibri"/>
          <w:color w:val="414142"/>
          <w:sz w:val="20"/>
          <w:szCs w:val="20"/>
          <w:lang w:val="es-GT" w:eastAsia="es-GT"/>
        </w:rPr>
        <w:t>(</w:t>
      </w:r>
      <w:r w:rsidRPr="001A01AB">
        <w:rPr>
          <w:rFonts w:ascii="Calibri" w:hAnsi="Calibri" w:cs="Calibri"/>
          <w:color w:val="414142"/>
          <w:sz w:val="20"/>
          <w:szCs w:val="20"/>
          <w:lang w:val="es-GT" w:eastAsia="es-GT"/>
        </w:rPr>
        <w:t xml:space="preserve">2009). </w:t>
      </w:r>
    </w:p>
    <w:p w:rsidR="00D34928" w:rsidRDefault="00D34928" w:rsidP="008327B2">
      <w:pPr>
        <w:pStyle w:val="Epgrafe"/>
        <w:spacing w:after="120"/>
        <w:jc w:val="center"/>
        <w:rPr>
          <w:rFonts w:ascii="Calibri" w:hAnsi="Calibri" w:cs="Calibri"/>
          <w:color w:val="365F91"/>
          <w:sz w:val="24"/>
          <w:szCs w:val="24"/>
          <w:lang w:val="es-GT"/>
        </w:rPr>
      </w:pPr>
      <w:bookmarkStart w:id="283" w:name="_Toc340005085"/>
      <w:bookmarkStart w:id="284" w:name="_Toc340034500"/>
      <w:bookmarkStart w:id="285" w:name="_Toc343098414"/>
      <w:bookmarkStart w:id="286" w:name="_Toc343098522"/>
    </w:p>
    <w:p w:rsidR="00D34928" w:rsidRDefault="00D34928" w:rsidP="008327B2">
      <w:pPr>
        <w:pStyle w:val="Epgrafe"/>
        <w:spacing w:after="120"/>
        <w:jc w:val="center"/>
        <w:rPr>
          <w:rFonts w:ascii="Calibri" w:hAnsi="Calibri" w:cs="Calibri"/>
          <w:color w:val="365F91"/>
          <w:sz w:val="24"/>
          <w:szCs w:val="24"/>
          <w:lang w:val="es-GT"/>
        </w:rPr>
      </w:pPr>
    </w:p>
    <w:p w:rsidR="00D34928" w:rsidRDefault="00D34928" w:rsidP="008327B2">
      <w:pPr>
        <w:pStyle w:val="Epgrafe"/>
        <w:spacing w:after="120"/>
        <w:jc w:val="center"/>
        <w:rPr>
          <w:rFonts w:ascii="Calibri" w:hAnsi="Calibri" w:cs="Calibri"/>
          <w:color w:val="365F91"/>
          <w:sz w:val="24"/>
          <w:szCs w:val="24"/>
          <w:lang w:val="es-GT"/>
        </w:rPr>
      </w:pPr>
    </w:p>
    <w:p w:rsidR="00D34928" w:rsidRDefault="00D34928" w:rsidP="008327B2">
      <w:pPr>
        <w:pStyle w:val="Epgrafe"/>
        <w:spacing w:after="120"/>
        <w:jc w:val="center"/>
        <w:rPr>
          <w:rFonts w:ascii="Calibri" w:hAnsi="Calibri" w:cs="Calibri"/>
          <w:color w:val="365F91"/>
          <w:sz w:val="24"/>
          <w:szCs w:val="24"/>
          <w:lang w:val="es-GT"/>
        </w:rPr>
      </w:pPr>
    </w:p>
    <w:p w:rsidR="00D34928" w:rsidRDefault="00D34928" w:rsidP="008327B2">
      <w:pPr>
        <w:pStyle w:val="Epgrafe"/>
        <w:spacing w:after="120"/>
        <w:jc w:val="center"/>
        <w:rPr>
          <w:rFonts w:ascii="Calibri" w:hAnsi="Calibri" w:cs="Calibri"/>
          <w:color w:val="365F91"/>
          <w:sz w:val="24"/>
          <w:szCs w:val="24"/>
          <w:lang w:val="es-GT"/>
        </w:rPr>
      </w:pPr>
    </w:p>
    <w:p w:rsidR="00D34928" w:rsidRDefault="00D34928" w:rsidP="008327B2">
      <w:pPr>
        <w:pStyle w:val="Epgrafe"/>
        <w:spacing w:after="120"/>
        <w:jc w:val="center"/>
        <w:rPr>
          <w:rFonts w:ascii="Calibri" w:hAnsi="Calibri" w:cs="Calibri"/>
          <w:color w:val="365F91"/>
          <w:sz w:val="24"/>
          <w:szCs w:val="24"/>
          <w:lang w:val="es-GT"/>
        </w:rPr>
      </w:pPr>
    </w:p>
    <w:p w:rsidR="00D34928" w:rsidRDefault="00D34928" w:rsidP="008327B2">
      <w:pPr>
        <w:pStyle w:val="Epgrafe"/>
        <w:spacing w:after="120"/>
        <w:jc w:val="center"/>
        <w:rPr>
          <w:rFonts w:ascii="Calibri" w:hAnsi="Calibri" w:cs="Calibri"/>
          <w:color w:val="365F91"/>
          <w:sz w:val="24"/>
          <w:szCs w:val="24"/>
          <w:lang w:val="es-GT"/>
        </w:rPr>
      </w:pPr>
    </w:p>
    <w:p w:rsidR="00D34928" w:rsidRDefault="00D34928" w:rsidP="008327B2">
      <w:pPr>
        <w:pStyle w:val="Epgrafe"/>
        <w:spacing w:after="120"/>
        <w:jc w:val="center"/>
        <w:rPr>
          <w:rFonts w:ascii="Calibri" w:hAnsi="Calibri" w:cs="Calibri"/>
          <w:color w:val="365F91"/>
          <w:sz w:val="24"/>
          <w:szCs w:val="24"/>
          <w:lang w:val="es-GT"/>
        </w:rPr>
      </w:pPr>
    </w:p>
    <w:p w:rsidR="00D34928" w:rsidRDefault="00D34928" w:rsidP="008327B2">
      <w:pPr>
        <w:pStyle w:val="Epgrafe"/>
        <w:spacing w:after="120"/>
        <w:jc w:val="center"/>
        <w:rPr>
          <w:rFonts w:ascii="Calibri" w:hAnsi="Calibri" w:cs="Calibri"/>
          <w:color w:val="365F91"/>
          <w:sz w:val="24"/>
          <w:szCs w:val="24"/>
          <w:lang w:val="es-GT"/>
        </w:rPr>
      </w:pPr>
    </w:p>
    <w:p w:rsidR="00D34928" w:rsidRDefault="00D34928" w:rsidP="008327B2">
      <w:pPr>
        <w:pStyle w:val="Epgrafe"/>
        <w:spacing w:after="120"/>
        <w:jc w:val="center"/>
        <w:rPr>
          <w:rFonts w:ascii="Calibri" w:hAnsi="Calibri" w:cs="Calibri"/>
          <w:color w:val="365F91"/>
          <w:sz w:val="24"/>
          <w:szCs w:val="24"/>
          <w:lang w:val="es-GT"/>
        </w:rPr>
      </w:pPr>
    </w:p>
    <w:p w:rsidR="00D34928" w:rsidRDefault="00D34928" w:rsidP="008327B2">
      <w:pPr>
        <w:pStyle w:val="Epgrafe"/>
        <w:spacing w:after="120"/>
        <w:jc w:val="center"/>
        <w:rPr>
          <w:rFonts w:ascii="Calibri" w:hAnsi="Calibri" w:cs="Calibri"/>
          <w:color w:val="365F91"/>
          <w:sz w:val="24"/>
          <w:szCs w:val="24"/>
          <w:lang w:val="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287" w:name="_Toc347841255"/>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32</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Intensidad de uso de la tierra. Año 2003</w:t>
      </w:r>
      <w:bookmarkEnd w:id="283"/>
      <w:bookmarkEnd w:id="284"/>
      <w:bookmarkEnd w:id="285"/>
      <w:bookmarkEnd w:id="286"/>
      <w:bookmarkEnd w:id="287"/>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762625" cy="7410450"/>
            <wp:effectExtent l="0" t="0" r="9525" b="0"/>
            <wp:docPr id="2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r="557"/>
                    <a:stretch>
                      <a:fillRect/>
                    </a:stretch>
                  </pic:blipFill>
                  <pic:spPr bwMode="auto">
                    <a:xfrm>
                      <a:off x="0" y="0"/>
                      <a:ext cx="5762625" cy="7410450"/>
                    </a:xfrm>
                    <a:prstGeom prst="rect">
                      <a:avLst/>
                    </a:prstGeom>
                    <a:noFill/>
                    <a:ln>
                      <a:noFill/>
                    </a:ln>
                  </pic:spPr>
                </pic:pic>
              </a:graphicData>
            </a:graphic>
          </wp:inline>
        </w:drawing>
      </w:r>
    </w:p>
    <w:p w:rsidR="008327B2" w:rsidRPr="001A01AB" w:rsidRDefault="008327B2" w:rsidP="008327B2">
      <w:pPr>
        <w:autoSpaceDE w:val="0"/>
        <w:autoSpaceDN w:val="0"/>
        <w:adjustRightInd w:val="0"/>
        <w:ind w:right="288"/>
        <w:jc w:val="right"/>
        <w:rPr>
          <w:rFonts w:ascii="Calibri" w:hAnsi="Calibri" w:cs="Calibri"/>
          <w:color w:val="414142"/>
          <w:sz w:val="20"/>
          <w:szCs w:val="20"/>
          <w:lang w:val="es-GT" w:eastAsia="es-GT"/>
        </w:rPr>
      </w:pPr>
      <w:r w:rsidRPr="001A01AB">
        <w:rPr>
          <w:rFonts w:ascii="Calibri" w:hAnsi="Calibri" w:cs="Calibri"/>
          <w:sz w:val="20"/>
          <w:szCs w:val="20"/>
          <w:lang w:val="es-GT"/>
        </w:rPr>
        <w:t xml:space="preserve">Fuente: </w:t>
      </w:r>
      <w:r w:rsidR="00D34928">
        <w:rPr>
          <w:rFonts w:ascii="Calibri" w:hAnsi="Calibri" w:cs="Calibri"/>
          <w:color w:val="414142"/>
          <w:sz w:val="20"/>
          <w:szCs w:val="20"/>
          <w:lang w:val="es-GT" w:eastAsia="es-GT"/>
        </w:rPr>
        <w:t>IARNA-URL</w:t>
      </w:r>
      <w:r w:rsidRPr="001A01AB">
        <w:rPr>
          <w:rFonts w:ascii="Calibri" w:hAnsi="Calibri" w:cs="Calibri"/>
          <w:color w:val="414142"/>
          <w:sz w:val="20"/>
          <w:szCs w:val="20"/>
          <w:lang w:val="es-GT" w:eastAsia="es-GT"/>
        </w:rPr>
        <w:t xml:space="preserve"> </w:t>
      </w:r>
      <w:r w:rsidR="00D34928">
        <w:rPr>
          <w:rFonts w:ascii="Calibri" w:hAnsi="Calibri" w:cs="Calibri"/>
          <w:color w:val="414142"/>
          <w:sz w:val="20"/>
          <w:szCs w:val="20"/>
          <w:lang w:val="es-GT" w:eastAsia="es-GT"/>
        </w:rPr>
        <w:t>(</w:t>
      </w:r>
      <w:r w:rsidRPr="001A01AB">
        <w:rPr>
          <w:rFonts w:ascii="Calibri" w:hAnsi="Calibri" w:cs="Calibri"/>
          <w:color w:val="414142"/>
          <w:sz w:val="20"/>
          <w:szCs w:val="20"/>
          <w:lang w:val="es-GT" w:eastAsia="es-GT"/>
        </w:rPr>
        <w:t xml:space="preserve">2009).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lastRenderedPageBreak/>
        <w:t xml:space="preserve">La mayor parte de las tierras </w:t>
      </w:r>
      <w:r w:rsidR="006E7DEC">
        <w:rPr>
          <w:rFonts w:ascii="Calibri" w:hAnsi="Calibri" w:cs="Calibri"/>
          <w:lang w:val="es-GT"/>
        </w:rPr>
        <w:t>sobreutilizadas tienen</w:t>
      </w:r>
      <w:r w:rsidRPr="001A01AB">
        <w:rPr>
          <w:rFonts w:ascii="Calibri" w:hAnsi="Calibri" w:cs="Calibri"/>
          <w:lang w:val="es-GT"/>
        </w:rPr>
        <w:t xml:space="preserve"> capacidad de uso forestal productivo o de protección y están dedicadas a la producción de cultivos agrícolas tradicionales, fundamentalmente granos básicos. El anterior análisis muestra que</w:t>
      </w:r>
      <w:r w:rsidR="006E7DEC">
        <w:rPr>
          <w:rFonts w:ascii="Calibri" w:hAnsi="Calibri" w:cs="Calibri"/>
          <w:lang w:val="es-GT"/>
        </w:rPr>
        <w:t>,</w:t>
      </w:r>
      <w:r w:rsidRPr="001A01AB">
        <w:rPr>
          <w:rFonts w:ascii="Calibri" w:hAnsi="Calibri" w:cs="Calibri"/>
          <w:lang w:val="es-GT"/>
        </w:rPr>
        <w:t xml:space="preserve"> para el año 2003</w:t>
      </w:r>
      <w:r w:rsidR="006E7DEC">
        <w:rPr>
          <w:rFonts w:ascii="Calibri" w:hAnsi="Calibri" w:cs="Calibri"/>
          <w:lang w:val="es-GT"/>
        </w:rPr>
        <w:t>,</w:t>
      </w:r>
      <w:r w:rsidRPr="001A01AB">
        <w:rPr>
          <w:rFonts w:ascii="Calibri" w:hAnsi="Calibri" w:cs="Calibri"/>
          <w:lang w:val="es-GT"/>
        </w:rPr>
        <w:t xml:space="preserve"> el 15% del territorio nacional se encontraba en condiciones de sobreuso.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análisis muestra que</w:t>
      </w:r>
      <w:r w:rsidR="006E7DEC">
        <w:rPr>
          <w:rFonts w:ascii="Calibri" w:hAnsi="Calibri" w:cs="Calibri"/>
          <w:lang w:val="es-GT"/>
        </w:rPr>
        <w:t xml:space="preserve"> la región occidental del país -</w:t>
      </w:r>
      <w:r w:rsidRPr="001A01AB">
        <w:rPr>
          <w:rFonts w:ascii="Calibri" w:hAnsi="Calibri" w:cs="Calibri"/>
          <w:lang w:val="es-GT"/>
        </w:rPr>
        <w:t>en los departamentos de San Marcos, Huehuetenango, Quetzaltenango y Quiché</w:t>
      </w:r>
      <w:r w:rsidR="006E7DEC">
        <w:rPr>
          <w:rFonts w:ascii="Calibri" w:hAnsi="Calibri" w:cs="Calibri"/>
          <w:lang w:val="es-GT"/>
        </w:rPr>
        <w:t>-</w:t>
      </w:r>
      <w:r w:rsidRPr="001A01AB">
        <w:rPr>
          <w:rFonts w:ascii="Calibri" w:hAnsi="Calibri" w:cs="Calibri"/>
          <w:lang w:val="es-GT"/>
        </w:rPr>
        <w:t xml:space="preserve"> concentra la mayor cantidad de tierras en condiciones altas de deterioro por sobreuso. Esta misma condición se presenta en los municipios al sur de la región de las </w:t>
      </w:r>
      <w:r w:rsidR="006E7DEC">
        <w:rPr>
          <w:rFonts w:ascii="Calibri" w:hAnsi="Calibri" w:cs="Calibri"/>
          <w:lang w:val="es-GT"/>
        </w:rPr>
        <w:t>v</w:t>
      </w:r>
      <w:r w:rsidRPr="001A01AB">
        <w:rPr>
          <w:rFonts w:ascii="Calibri" w:hAnsi="Calibri" w:cs="Calibri"/>
          <w:lang w:val="es-GT"/>
        </w:rPr>
        <w:t xml:space="preserve">erapaces, en la </w:t>
      </w:r>
      <w:r w:rsidR="006E7DEC">
        <w:rPr>
          <w:rFonts w:ascii="Calibri" w:hAnsi="Calibri" w:cs="Calibri"/>
          <w:lang w:val="es-GT"/>
        </w:rPr>
        <w:t>r</w:t>
      </w:r>
      <w:r w:rsidRPr="001A01AB">
        <w:rPr>
          <w:rFonts w:ascii="Calibri" w:hAnsi="Calibri" w:cs="Calibri"/>
          <w:lang w:val="es-GT"/>
        </w:rPr>
        <w:t>egión Chortí en Chiquimula, en el centro y sur de Petén</w:t>
      </w:r>
      <w:r w:rsidR="006E7DEC">
        <w:rPr>
          <w:rFonts w:ascii="Calibri" w:hAnsi="Calibri" w:cs="Calibri"/>
          <w:lang w:val="es-GT"/>
        </w:rPr>
        <w:t>,</w:t>
      </w:r>
      <w:r w:rsidRPr="001A01AB">
        <w:rPr>
          <w:rFonts w:ascii="Calibri" w:hAnsi="Calibri" w:cs="Calibri"/>
          <w:lang w:val="es-GT"/>
        </w:rPr>
        <w:t xml:space="preserve"> y en los departamentos de la parte central del país.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bCs/>
          <w:i/>
          <w:iCs/>
          <w:color w:val="365F91"/>
          <w:lang w:val="es-GT"/>
        </w:rPr>
      </w:pPr>
      <w:r w:rsidRPr="001A01AB">
        <w:rPr>
          <w:rFonts w:ascii="Calibri" w:hAnsi="Calibri" w:cs="Calibri"/>
          <w:b/>
          <w:bCs/>
          <w:i/>
          <w:iCs/>
          <w:color w:val="365F91"/>
          <w:lang w:val="es-GT"/>
        </w:rPr>
        <w:t>Actividades desarrolladas en tierras sobreutilizadas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Los cultivos anuales ocupan el mayor porcentaje de tierras sobreutilizadas, casi en un 62%. Sin embargo, la superficie de tierras dedicada a los cultivos perennes también es significativa, ya que representa el segundo lugar, con casi 31%. Estas cifras hacen notoria la alta correlación espacial entre los </w:t>
      </w:r>
      <w:r w:rsidR="006E7DEC">
        <w:rPr>
          <w:rFonts w:ascii="Calibri" w:hAnsi="Calibri" w:cs="Calibri"/>
          <w:lang w:val="es-GT"/>
        </w:rPr>
        <w:t xml:space="preserve">cultivos anuales y perennes, y </w:t>
      </w:r>
      <w:r w:rsidRPr="001A01AB">
        <w:rPr>
          <w:rFonts w:ascii="Calibri" w:hAnsi="Calibri" w:cs="Calibri"/>
          <w:lang w:val="es-GT"/>
        </w:rPr>
        <w:t>el sobreuso, directamente relacionado con la degradación de los suelos.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6E7DEC" w:rsidP="008327B2">
      <w:pPr>
        <w:autoSpaceDE w:val="0"/>
        <w:autoSpaceDN w:val="0"/>
        <w:adjustRightInd w:val="0"/>
        <w:jc w:val="both"/>
        <w:rPr>
          <w:rFonts w:ascii="Calibri" w:hAnsi="Calibri" w:cs="Calibri"/>
          <w:lang w:val="es-GT"/>
        </w:rPr>
      </w:pPr>
      <w:r>
        <w:rPr>
          <w:rFonts w:ascii="Calibri" w:hAnsi="Calibri" w:cs="Calibri"/>
          <w:lang w:val="es-GT"/>
        </w:rPr>
        <w:t>U</w:t>
      </w:r>
      <w:r w:rsidR="008327B2" w:rsidRPr="001A01AB">
        <w:rPr>
          <w:rFonts w:ascii="Calibri" w:hAnsi="Calibri" w:cs="Calibri"/>
          <w:lang w:val="es-GT"/>
        </w:rPr>
        <w:t>n pequeño porcentaje del sobreuso (menos de 0.1%) es causado por plantaciones forestales</w:t>
      </w:r>
      <w:r w:rsidR="00061AE0">
        <w:rPr>
          <w:rFonts w:ascii="Calibri" w:hAnsi="Calibri" w:cs="Calibri"/>
          <w:lang w:val="es-GT"/>
        </w:rPr>
        <w:t>. Esto</w:t>
      </w:r>
      <w:r w:rsidR="008327B2" w:rsidRPr="001A01AB">
        <w:rPr>
          <w:rFonts w:ascii="Calibri" w:hAnsi="Calibri" w:cs="Calibri"/>
          <w:lang w:val="es-GT"/>
        </w:rPr>
        <w:t xml:space="preserve"> indica que cierta proporción de las tierras cuya capacidad de uso es </w:t>
      </w:r>
      <w:r w:rsidR="008327B2" w:rsidRPr="006E7DEC">
        <w:rPr>
          <w:rFonts w:ascii="Calibri" w:hAnsi="Calibri" w:cs="Calibri"/>
          <w:i/>
          <w:lang w:val="es-GT"/>
        </w:rPr>
        <w:t>forestal de protección</w:t>
      </w:r>
      <w:r w:rsidR="008327B2" w:rsidRPr="001A01AB">
        <w:rPr>
          <w:rFonts w:ascii="Calibri" w:hAnsi="Calibri" w:cs="Calibri"/>
          <w:lang w:val="es-GT"/>
        </w:rPr>
        <w:t xml:space="preserve">, está siendo utilizada para establecer plantaciones forestales para la producción de madera. El Cuadro </w:t>
      </w:r>
      <w:r>
        <w:rPr>
          <w:rFonts w:ascii="Calibri" w:hAnsi="Calibri" w:cs="Calibri"/>
          <w:lang w:val="es-GT"/>
        </w:rPr>
        <w:t>2</w:t>
      </w:r>
      <w:r w:rsidR="004C77F8">
        <w:rPr>
          <w:rFonts w:ascii="Calibri" w:hAnsi="Calibri" w:cs="Calibri"/>
          <w:lang w:val="es-GT"/>
        </w:rPr>
        <w:t>3</w:t>
      </w:r>
      <w:r>
        <w:rPr>
          <w:rFonts w:ascii="Calibri" w:hAnsi="Calibri" w:cs="Calibri"/>
          <w:lang w:val="es-GT"/>
        </w:rPr>
        <w:t xml:space="preserve"> </w:t>
      </w:r>
      <w:r w:rsidR="008327B2" w:rsidRPr="001A01AB">
        <w:rPr>
          <w:rFonts w:ascii="Calibri" w:hAnsi="Calibri" w:cs="Calibri"/>
          <w:lang w:val="es-GT"/>
        </w:rPr>
        <w:t>muestra la distribución de las tierras sobreutilizadas en Guatemala, bajo los principales patrones de uso de la tierra.</w:t>
      </w:r>
    </w:p>
    <w:p w:rsidR="008327B2" w:rsidRPr="001A01AB" w:rsidRDefault="008327B2" w:rsidP="008327B2">
      <w:pPr>
        <w:autoSpaceDE w:val="0"/>
        <w:autoSpaceDN w:val="0"/>
        <w:adjustRightInd w:val="0"/>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288" w:name="_Toc340004977"/>
      <w:bookmarkStart w:id="289" w:name="_Toc340032167"/>
      <w:bookmarkStart w:id="290" w:name="_Toc340034444"/>
      <w:bookmarkStart w:id="291" w:name="_Toc343164651"/>
      <w:bookmarkStart w:id="292" w:name="_Toc347841205"/>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23</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17736D" w:rsidRPr="00216872">
        <w:rPr>
          <w:rFonts w:asciiTheme="minorHAnsi" w:hAnsiTheme="minorHAnsi" w:cstheme="minorHAnsi"/>
          <w:color w:val="365F91" w:themeColor="accent1" w:themeShade="BF"/>
          <w:sz w:val="22"/>
          <w:szCs w:val="22"/>
          <w:lang w:val="es-GT"/>
        </w:rPr>
        <w:t>Sobreutilizació</w:t>
      </w:r>
      <w:r w:rsidR="008327B2" w:rsidRPr="00216872">
        <w:rPr>
          <w:rFonts w:asciiTheme="minorHAnsi" w:hAnsiTheme="minorHAnsi" w:cstheme="minorHAnsi"/>
          <w:color w:val="365F91" w:themeColor="accent1" w:themeShade="BF"/>
          <w:sz w:val="22"/>
          <w:szCs w:val="22"/>
          <w:lang w:val="es-GT"/>
        </w:rPr>
        <w:t>n de las tierras por categoría de uso. Año 2003</w:t>
      </w:r>
      <w:bookmarkEnd w:id="288"/>
      <w:bookmarkEnd w:id="289"/>
      <w:bookmarkEnd w:id="290"/>
      <w:bookmarkEnd w:id="291"/>
      <w:bookmarkEnd w:id="292"/>
    </w:p>
    <w:p w:rsidR="00216872" w:rsidRPr="00216872" w:rsidRDefault="00216872" w:rsidP="00216872">
      <w:pPr>
        <w:rPr>
          <w:lang w:val="es-GT"/>
        </w:rPr>
      </w:pPr>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761355" cy="1771650"/>
            <wp:effectExtent l="0" t="0" r="0" b="0"/>
            <wp:docPr id="2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8"/>
                    <pic:cNvPicPr>
                      <a:picLocks noChangeAspect="1" noChangeArrowheads="1"/>
                    </pic:cNvPicPr>
                  </pic:nvPicPr>
                  <pic:blipFill>
                    <a:blip r:embed="rId76" cstate="print">
                      <a:duotone>
                        <a:schemeClr val="accent1">
                          <a:shade val="45000"/>
                          <a:satMod val="135000"/>
                        </a:schemeClr>
                        <a:prstClr val="white"/>
                      </a:duotone>
                    </a:blip>
                    <a:srcRect l="8716" t="32129" r="5403" b="21065"/>
                    <a:stretch>
                      <a:fillRect/>
                    </a:stretch>
                  </pic:blipFill>
                  <pic:spPr bwMode="auto">
                    <a:xfrm>
                      <a:off x="0" y="0"/>
                      <a:ext cx="5761355" cy="1771650"/>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right="288"/>
        <w:jc w:val="right"/>
        <w:rPr>
          <w:rFonts w:ascii="Calibri" w:hAnsi="Calibri" w:cs="Calibri"/>
          <w:color w:val="414142"/>
          <w:sz w:val="20"/>
          <w:szCs w:val="20"/>
          <w:lang w:val="es-GT" w:eastAsia="es-GT"/>
        </w:rPr>
      </w:pPr>
      <w:r w:rsidRPr="001A01AB">
        <w:rPr>
          <w:rFonts w:ascii="Calibri" w:hAnsi="Calibri" w:cs="Calibri"/>
          <w:sz w:val="20"/>
          <w:szCs w:val="20"/>
          <w:lang w:val="es-GT"/>
        </w:rPr>
        <w:t xml:space="preserve">Fuente: </w:t>
      </w:r>
      <w:r w:rsidR="00061AE0">
        <w:rPr>
          <w:rFonts w:ascii="Calibri" w:hAnsi="Calibri" w:cs="Calibri"/>
          <w:color w:val="414142"/>
          <w:sz w:val="20"/>
          <w:szCs w:val="20"/>
          <w:lang w:val="es-GT" w:eastAsia="es-GT"/>
        </w:rPr>
        <w:t>IARNA-URL</w:t>
      </w:r>
      <w:r w:rsidRPr="001A01AB">
        <w:rPr>
          <w:rFonts w:ascii="Calibri" w:hAnsi="Calibri" w:cs="Calibri"/>
          <w:color w:val="414142"/>
          <w:sz w:val="20"/>
          <w:szCs w:val="20"/>
          <w:lang w:val="es-GT" w:eastAsia="es-GT"/>
        </w:rPr>
        <w:t xml:space="preserve"> </w:t>
      </w:r>
      <w:r w:rsidR="00061AE0">
        <w:rPr>
          <w:rFonts w:ascii="Calibri" w:hAnsi="Calibri" w:cs="Calibri"/>
          <w:color w:val="414142"/>
          <w:sz w:val="20"/>
          <w:szCs w:val="20"/>
          <w:lang w:val="es-GT" w:eastAsia="es-GT"/>
        </w:rPr>
        <w:t>(</w:t>
      </w:r>
      <w:r w:rsidRPr="001A01AB">
        <w:rPr>
          <w:rFonts w:ascii="Calibri" w:hAnsi="Calibri" w:cs="Calibri"/>
          <w:color w:val="414142"/>
          <w:sz w:val="20"/>
          <w:szCs w:val="20"/>
          <w:lang w:val="es-GT" w:eastAsia="es-GT"/>
        </w:rPr>
        <w:t xml:space="preserve">2009).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lastRenderedPageBreak/>
        <w:t>1.3.2.</w:t>
      </w:r>
      <w:r w:rsidRPr="001A01AB">
        <w:rPr>
          <w:rFonts w:ascii="Calibri" w:hAnsi="Calibri" w:cs="Calibri"/>
          <w:b/>
          <w:color w:val="365F91"/>
          <w:lang w:val="es-GT"/>
        </w:rPr>
        <w:tab/>
        <w:t>Indicador: S</w:t>
      </w:r>
      <w:r w:rsidR="00061AE0" w:rsidRPr="001A01AB">
        <w:rPr>
          <w:rFonts w:ascii="Calibri" w:hAnsi="Calibri" w:cs="Calibri"/>
          <w:b/>
          <w:color w:val="365F91"/>
          <w:lang w:val="es-GT"/>
        </w:rPr>
        <w:t>usceptibilidad a la erosión (erosión potencial)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deterioro de las tierras se traduce principalmente en la erosión del suelo</w:t>
      </w:r>
      <w:r w:rsidR="00061AE0">
        <w:rPr>
          <w:rFonts w:ascii="Calibri" w:hAnsi="Calibri" w:cs="Calibri"/>
          <w:lang w:val="es-GT"/>
        </w:rPr>
        <w:t>, que</w:t>
      </w:r>
      <w:r w:rsidRPr="001A01AB">
        <w:rPr>
          <w:rFonts w:ascii="Calibri" w:hAnsi="Calibri" w:cs="Calibri"/>
          <w:lang w:val="es-GT"/>
        </w:rPr>
        <w:t xml:space="preserve"> a su vez</w:t>
      </w:r>
      <w:r w:rsidR="00061AE0">
        <w:rPr>
          <w:rFonts w:ascii="Calibri" w:hAnsi="Calibri" w:cs="Calibri"/>
          <w:lang w:val="es-GT"/>
        </w:rPr>
        <w:t>,</w:t>
      </w:r>
      <w:r w:rsidRPr="001A01AB">
        <w:rPr>
          <w:rFonts w:ascii="Calibri" w:hAnsi="Calibri" w:cs="Calibri"/>
          <w:lang w:val="es-GT"/>
        </w:rPr>
        <w:t xml:space="preserve"> es el inicio de una cadena de complicaciones ambientales, entre las que se puede mencionar el empobrecimiento de los suelos, la contaminación de fuentes de agua con sólidos, el azolvamiento de cauces de ríos y la disminución de la capacidad de infiltración hacia los mantos freáticos. El riesgo de erosión está estrechamente relacionado con el patrón de precipitación, las características del suelo, la topografía y la cobertura vegetal.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Estas mismas características biofísicas se relacionan con la capacidad de uso de la tierra, la cual, al ser excedida, aumenta el riesgo de degradación por erosión.</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Al aplicar el método de la ecuación universal de pérdida de suelo (</w:t>
      </w:r>
      <w:r w:rsidRPr="00010086">
        <w:rPr>
          <w:rFonts w:ascii="Calibri" w:hAnsi="Calibri" w:cs="Calibri"/>
          <w:highlight w:val="magenta"/>
          <w:lang w:val="es-GT"/>
        </w:rPr>
        <w:t>Wischmeier y Smith, 1978, citado por Hernández, 2001</w:t>
      </w:r>
      <w:r w:rsidRPr="001A01AB">
        <w:rPr>
          <w:rFonts w:ascii="Calibri" w:hAnsi="Calibri" w:cs="Calibri"/>
          <w:lang w:val="es-GT"/>
        </w:rPr>
        <w:t xml:space="preserve">) sobre </w:t>
      </w:r>
      <w:r w:rsidR="00061AE0">
        <w:rPr>
          <w:rFonts w:ascii="Calibri" w:hAnsi="Calibri" w:cs="Calibri"/>
          <w:lang w:val="es-GT"/>
        </w:rPr>
        <w:t xml:space="preserve">el </w:t>
      </w:r>
      <w:r w:rsidRPr="001A01AB">
        <w:rPr>
          <w:rFonts w:ascii="Calibri" w:hAnsi="Calibri" w:cs="Calibri"/>
          <w:lang w:val="es-GT"/>
        </w:rPr>
        <w:t>mapa de intensidad de uso de la tierra, se encontró que la erosión potencial en las tierras sobreutilizadas es casi siete veces mayor que en aquellas que están siendo utilizadas adecuadamente o que están subutilizadas. En las tierras sobreutilizadas, la erosión potencial se calcula en 91 toneladas por hectárea por año (t/ha/año), mientras que en los otros usos la erosión potencial es de 14 t/ha/año.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erosión potencial de la superficie en sobreuso</w:t>
      </w:r>
      <w:r w:rsidR="00141A70">
        <w:rPr>
          <w:rFonts w:ascii="Calibri" w:hAnsi="Calibri" w:cs="Calibri"/>
          <w:lang w:val="es-GT"/>
        </w:rPr>
        <w:t xml:space="preserve"> </w:t>
      </w:r>
      <w:r w:rsidRPr="001A01AB">
        <w:rPr>
          <w:rFonts w:ascii="Calibri" w:hAnsi="Calibri" w:cs="Calibri"/>
          <w:lang w:val="es-GT"/>
        </w:rPr>
        <w:t>totaliza 149 millones de toneladas de suelo al año, mientras que en las tierras bien utilizadas y en las subutilizadas la erosión anual es de 114 millones. Esto quiere decir que el 15% del territorio que está en sobreuso puede ser el causante de casi el 57% de la erosión total del país, en las tres categorías.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Si se compara la erosión potencial en tierras sobreutilizadas con la erosión en tierras subutilizadas, la relación aumenta a casi 8:1, pues en las tierras subutilizadas la erosión potencial e</w:t>
      </w:r>
      <w:r w:rsidR="00D64A87">
        <w:rPr>
          <w:rFonts w:ascii="Calibri" w:hAnsi="Calibri" w:cs="Calibri"/>
          <w:lang w:val="es-GT"/>
        </w:rPr>
        <w:t>s de 12 t/ha/año. En la Figura 33</w:t>
      </w:r>
      <w:r w:rsidRPr="001A01AB">
        <w:rPr>
          <w:rFonts w:ascii="Calibri" w:hAnsi="Calibri" w:cs="Calibri"/>
          <w:lang w:val="es-GT"/>
        </w:rPr>
        <w:t xml:space="preserve"> se muestra el mapa </w:t>
      </w:r>
      <w:r w:rsidR="00D64A87">
        <w:rPr>
          <w:rFonts w:ascii="Calibri" w:hAnsi="Calibri" w:cs="Calibri"/>
          <w:lang w:val="es-GT"/>
        </w:rPr>
        <w:t xml:space="preserve">nacional </w:t>
      </w:r>
      <w:r w:rsidRPr="001A01AB">
        <w:rPr>
          <w:rFonts w:ascii="Calibri" w:hAnsi="Calibri" w:cs="Calibri"/>
          <w:lang w:val="es-GT"/>
        </w:rPr>
        <w:t xml:space="preserve">de riesgo potencial de erosión en tierras con sobreuso.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Con base en este mapa se obtuvieron valores a nivel departamental, y se estimó que los cuatro departamentos con los valores más altos de erosión potencial son: Huehuetenango (183.09 t/ha/año), Izabal (129.23 t/ha/año), Quiché (124.84 t/ha/año) y Alta Verapaz (115.33 t/ha/año).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Es importante indicar que para los cuatro departamentos mencionados, el Censo Agropecuario del año </w:t>
      </w:r>
      <w:r w:rsidRPr="00010086">
        <w:rPr>
          <w:rFonts w:ascii="Calibri" w:hAnsi="Calibri" w:cs="Calibri"/>
          <w:lang w:val="es-GT"/>
        </w:rPr>
        <w:t>2003 (INE, 2004) reporta</w:t>
      </w:r>
      <w:r w:rsidRPr="001A01AB">
        <w:rPr>
          <w:rFonts w:ascii="Calibri" w:hAnsi="Calibri" w:cs="Calibri"/>
          <w:lang w:val="es-GT"/>
        </w:rPr>
        <w:t xml:space="preserve"> rendimientos de maíz muy bajos (menos de 23 quintales por ha), lo que podr</w:t>
      </w:r>
      <w:r w:rsidR="00D64A87">
        <w:rPr>
          <w:rFonts w:ascii="Calibri" w:hAnsi="Calibri" w:cs="Calibri"/>
          <w:lang w:val="es-GT"/>
        </w:rPr>
        <w:t>ía ser consecuencia, o al menos</w:t>
      </w:r>
      <w:r w:rsidRPr="001A01AB">
        <w:rPr>
          <w:rFonts w:ascii="Calibri" w:hAnsi="Calibri" w:cs="Calibri"/>
          <w:lang w:val="es-GT"/>
        </w:rPr>
        <w:t xml:space="preserve"> estar relacionado</w:t>
      </w:r>
      <w:r w:rsidR="00D64A87">
        <w:rPr>
          <w:rFonts w:ascii="Calibri" w:hAnsi="Calibri" w:cs="Calibri"/>
          <w:lang w:val="es-GT"/>
        </w:rPr>
        <w:t>,</w:t>
      </w:r>
      <w:r w:rsidRPr="001A01AB">
        <w:rPr>
          <w:rFonts w:ascii="Calibri" w:hAnsi="Calibri" w:cs="Calibri"/>
          <w:lang w:val="es-GT"/>
        </w:rPr>
        <w:t xml:space="preserve"> con la utilización de tierras </w:t>
      </w:r>
      <w:r w:rsidR="00010086" w:rsidRPr="001A01AB">
        <w:rPr>
          <w:rFonts w:ascii="Calibri" w:hAnsi="Calibri" w:cs="Calibri"/>
          <w:lang w:val="es-GT"/>
        </w:rPr>
        <w:t>más</w:t>
      </w:r>
      <w:r w:rsidRPr="001A01AB">
        <w:rPr>
          <w:rFonts w:ascii="Calibri" w:hAnsi="Calibri" w:cs="Calibri"/>
          <w:lang w:val="es-GT"/>
        </w:rPr>
        <w:t xml:space="preserve"> allá de su capacidad de uso, especialmente los cultivos limpios en zonas de alta pendiente. Esta situación es más crítica en Alta Verapaz, el segundo departamento con mayor superficie cultivada de maíz, sólo superado por Petén.</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293" w:name="_Toc340005086"/>
      <w:bookmarkStart w:id="294" w:name="_Toc340034501"/>
      <w:bookmarkStart w:id="295" w:name="_Toc343098415"/>
      <w:bookmarkStart w:id="296" w:name="_Toc343098523"/>
      <w:bookmarkStart w:id="297" w:name="_Toc347841256"/>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33</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Erosión potencial </w:t>
      </w:r>
      <w:r w:rsidR="00D64A87" w:rsidRPr="00224B57">
        <w:rPr>
          <w:rFonts w:ascii="Calibri" w:eastAsia="Calibri" w:hAnsi="Calibri" w:cs="Calibri"/>
          <w:b/>
          <w:color w:val="365F91"/>
          <w:sz w:val="22"/>
          <w:szCs w:val="22"/>
          <w:lang w:val="es-GT"/>
        </w:rPr>
        <w:t>en áreas con sobreuso de</w:t>
      </w:r>
      <w:r w:rsidRPr="00224B57">
        <w:rPr>
          <w:rFonts w:ascii="Calibri" w:eastAsia="Calibri" w:hAnsi="Calibri" w:cs="Calibri"/>
          <w:b/>
          <w:color w:val="365F91"/>
          <w:sz w:val="22"/>
          <w:szCs w:val="22"/>
          <w:lang w:val="es-GT"/>
        </w:rPr>
        <w:t xml:space="preserve"> Guatemala</w:t>
      </w:r>
      <w:r w:rsidR="00D64A87" w:rsidRPr="00224B57">
        <w:rPr>
          <w:rFonts w:ascii="Calibri" w:eastAsia="Calibri" w:hAnsi="Calibri" w:cs="Calibri"/>
          <w:b/>
          <w:color w:val="365F91"/>
          <w:sz w:val="22"/>
          <w:szCs w:val="22"/>
          <w:lang w:val="es-GT"/>
        </w:rPr>
        <w:t xml:space="preserve"> (</w:t>
      </w:r>
      <w:r w:rsidRPr="00224B57">
        <w:rPr>
          <w:rFonts w:ascii="Calibri" w:eastAsia="Calibri" w:hAnsi="Calibri" w:cs="Calibri"/>
          <w:b/>
          <w:color w:val="365F91"/>
          <w:sz w:val="22"/>
          <w:szCs w:val="22"/>
          <w:lang w:val="es-GT"/>
        </w:rPr>
        <w:t xml:space="preserve">t/ha/año </w:t>
      </w:r>
      <w:bookmarkEnd w:id="293"/>
      <w:bookmarkEnd w:id="294"/>
      <w:bookmarkEnd w:id="295"/>
      <w:bookmarkEnd w:id="296"/>
      <w:r w:rsidR="00D64A87" w:rsidRPr="00224B57">
        <w:rPr>
          <w:rFonts w:ascii="Calibri" w:eastAsia="Calibri" w:hAnsi="Calibri" w:cs="Calibri"/>
          <w:b/>
          <w:color w:val="365F91"/>
          <w:sz w:val="22"/>
          <w:szCs w:val="22"/>
          <w:lang w:val="es-GT"/>
        </w:rPr>
        <w:t>)</w:t>
      </w:r>
      <w:bookmarkEnd w:id="297"/>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829300" cy="7267575"/>
            <wp:effectExtent l="0" t="0" r="0" b="9525"/>
            <wp:docPr id="2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r="835" b="7420"/>
                    <a:stretch>
                      <a:fillRect/>
                    </a:stretch>
                  </pic:blipFill>
                  <pic:spPr bwMode="auto">
                    <a:xfrm>
                      <a:off x="0" y="0"/>
                      <a:ext cx="5829300" cy="7267575"/>
                    </a:xfrm>
                    <a:prstGeom prst="rect">
                      <a:avLst/>
                    </a:prstGeom>
                    <a:noFill/>
                    <a:ln>
                      <a:noFill/>
                    </a:ln>
                  </pic:spPr>
                </pic:pic>
              </a:graphicData>
            </a:graphic>
          </wp:inline>
        </w:drawing>
      </w:r>
    </w:p>
    <w:p w:rsidR="008327B2" w:rsidRPr="001A01AB" w:rsidRDefault="008327B2" w:rsidP="008327B2">
      <w:pPr>
        <w:autoSpaceDE w:val="0"/>
        <w:autoSpaceDN w:val="0"/>
        <w:adjustRightInd w:val="0"/>
        <w:ind w:right="288"/>
        <w:jc w:val="right"/>
        <w:rPr>
          <w:rFonts w:ascii="Calibri" w:hAnsi="Calibri" w:cs="Calibri"/>
          <w:color w:val="414142"/>
          <w:sz w:val="20"/>
          <w:szCs w:val="20"/>
          <w:lang w:val="es-GT" w:eastAsia="es-GT"/>
        </w:rPr>
      </w:pPr>
      <w:r w:rsidRPr="001A01AB">
        <w:rPr>
          <w:rFonts w:ascii="Calibri" w:hAnsi="Calibri" w:cs="Calibri"/>
          <w:sz w:val="20"/>
          <w:szCs w:val="20"/>
          <w:lang w:val="es-GT"/>
        </w:rPr>
        <w:t xml:space="preserve">Fuente: </w:t>
      </w:r>
      <w:r w:rsidR="00D64A87">
        <w:rPr>
          <w:rFonts w:ascii="Calibri" w:hAnsi="Calibri" w:cs="Calibri"/>
          <w:color w:val="414142"/>
          <w:sz w:val="20"/>
          <w:szCs w:val="20"/>
          <w:lang w:val="es-GT" w:eastAsia="es-GT"/>
        </w:rPr>
        <w:t>IARNA-URL</w:t>
      </w:r>
      <w:r w:rsidRPr="001A01AB">
        <w:rPr>
          <w:rFonts w:ascii="Calibri" w:hAnsi="Calibri" w:cs="Calibri"/>
          <w:color w:val="414142"/>
          <w:sz w:val="20"/>
          <w:szCs w:val="20"/>
          <w:lang w:val="es-GT" w:eastAsia="es-GT"/>
        </w:rPr>
        <w:t xml:space="preserve"> </w:t>
      </w:r>
      <w:r w:rsidR="00D64A87">
        <w:rPr>
          <w:rFonts w:ascii="Calibri" w:hAnsi="Calibri" w:cs="Calibri"/>
          <w:color w:val="414142"/>
          <w:sz w:val="20"/>
          <w:szCs w:val="20"/>
          <w:lang w:val="es-GT" w:eastAsia="es-GT"/>
        </w:rPr>
        <w:t>(</w:t>
      </w:r>
      <w:r w:rsidRPr="001A01AB">
        <w:rPr>
          <w:rFonts w:ascii="Calibri" w:hAnsi="Calibri" w:cs="Calibri"/>
          <w:color w:val="414142"/>
          <w:sz w:val="20"/>
          <w:szCs w:val="20"/>
          <w:lang w:val="es-GT" w:eastAsia="es-GT"/>
        </w:rPr>
        <w:t xml:space="preserve">2009).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lang w:val="es-GT"/>
        </w:rPr>
        <w:br w:type="page"/>
      </w:r>
      <w:r w:rsidRPr="001A01AB">
        <w:rPr>
          <w:rFonts w:ascii="Calibri" w:hAnsi="Calibri" w:cs="Calibri"/>
          <w:b/>
          <w:color w:val="365F91"/>
          <w:sz w:val="28"/>
          <w:lang w:val="es-GT"/>
        </w:rPr>
        <w:lastRenderedPageBreak/>
        <w:t>Evaluación del FCD 1: Recursos Naturales Estratégicos (agua, suelo y bosque)</w:t>
      </w:r>
    </w:p>
    <w:p w:rsidR="008327B2" w:rsidRPr="001A01AB" w:rsidRDefault="008327B2" w:rsidP="008327B2">
      <w:pPr>
        <w:autoSpaceDE w:val="0"/>
        <w:autoSpaceDN w:val="0"/>
        <w:adjustRightInd w:val="0"/>
        <w:jc w:val="both"/>
        <w:rPr>
          <w:rFonts w:ascii="Calibri" w:hAnsi="Calibri" w:cs="Calibri"/>
          <w:sz w:val="20"/>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Derivado del análisis antes realizado, se procedió a determinar las fortalezas, oportunidades, debilidades y amenazas (FODA) de cada uno de los FCD identificados. Adicionalme</w:t>
      </w:r>
      <w:r w:rsidR="00D64A87">
        <w:rPr>
          <w:rFonts w:ascii="Calibri" w:hAnsi="Calibri" w:cs="Calibri"/>
          <w:lang w:val="es-GT"/>
        </w:rPr>
        <w:t>nte</w:t>
      </w:r>
      <w:r w:rsidR="00C6224C">
        <w:rPr>
          <w:rFonts w:ascii="Calibri" w:hAnsi="Calibri" w:cs="Calibri"/>
          <w:lang w:val="es-GT"/>
        </w:rPr>
        <w:t>,</w:t>
      </w:r>
      <w:r w:rsidR="00D64A87">
        <w:rPr>
          <w:rFonts w:ascii="Calibri" w:hAnsi="Calibri" w:cs="Calibri"/>
          <w:lang w:val="es-GT"/>
        </w:rPr>
        <w:t xml:space="preserve"> se analizó</w:t>
      </w:r>
      <w:r w:rsidRPr="001A01AB">
        <w:rPr>
          <w:rFonts w:ascii="Calibri" w:hAnsi="Calibri" w:cs="Calibri"/>
          <w:lang w:val="es-GT"/>
        </w:rPr>
        <w:t xml:space="preserve"> la tendencia que se espera de estos factores, considerando e</w:t>
      </w:r>
      <w:r w:rsidR="00C6224C">
        <w:rPr>
          <w:rFonts w:ascii="Calibri" w:hAnsi="Calibri" w:cs="Calibri"/>
          <w:lang w:val="es-GT"/>
        </w:rPr>
        <w:t>l</w:t>
      </w:r>
      <w:r w:rsidRPr="001A01AB">
        <w:rPr>
          <w:rFonts w:ascii="Calibri" w:hAnsi="Calibri" w:cs="Calibri"/>
          <w:lang w:val="es-GT"/>
        </w:rPr>
        <w:t xml:space="preserve"> escenario tendencial que a la fecha se ha evaluado en el país. Los resultados </w:t>
      </w:r>
      <w:r w:rsidR="0017736D">
        <w:rPr>
          <w:rFonts w:ascii="Calibri" w:hAnsi="Calibri" w:cs="Calibri"/>
          <w:lang w:val="es-GT"/>
        </w:rPr>
        <w:t>se presentan a continuació</w:t>
      </w:r>
      <w:r w:rsidRPr="001A01AB">
        <w:rPr>
          <w:rFonts w:ascii="Calibri" w:hAnsi="Calibri" w:cs="Calibri"/>
          <w:lang w:val="es-GT"/>
        </w:rPr>
        <w:t>n.</w:t>
      </w:r>
    </w:p>
    <w:p w:rsidR="008327B2" w:rsidRPr="001A01AB" w:rsidRDefault="008327B2" w:rsidP="008327B2">
      <w:pPr>
        <w:jc w:val="both"/>
        <w:rPr>
          <w:rFonts w:ascii="Calibri" w:hAnsi="Calibri" w:cs="Calibri"/>
          <w:sz w:val="20"/>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4788"/>
        <w:gridCol w:w="4788"/>
      </w:tblGrid>
      <w:tr w:rsidR="008327B2" w:rsidRPr="000364C9" w:rsidTr="001A01AB">
        <w:trPr>
          <w:jc w:val="center"/>
        </w:trPr>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Fortalezas: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Guatemala </w:t>
            </w:r>
            <w:r w:rsidR="00C6224C" w:rsidRPr="001A01AB">
              <w:rPr>
                <w:rFonts w:ascii="Calibri" w:hAnsi="Calibri" w:cs="Calibri"/>
                <w:sz w:val="20"/>
                <w:szCs w:val="22"/>
                <w:lang w:val="es-GT"/>
              </w:rPr>
              <w:t>aún</w:t>
            </w:r>
            <w:r w:rsidRPr="001A01AB">
              <w:rPr>
                <w:rFonts w:ascii="Calibri" w:hAnsi="Calibri" w:cs="Calibri"/>
                <w:sz w:val="20"/>
                <w:szCs w:val="22"/>
                <w:lang w:val="es-GT"/>
              </w:rPr>
              <w:t xml:space="preserve"> conserva el 34% de su territorio cubierto por bosques.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condiciones naturales favorecen la regeneración natural de los bosques.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Existen sistemas agroforestales como café, cardamomo y cacao, que proveen bienes y servicios ambientales, aunque en menor medida, pero de importancia para la sociedad.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Cultivos como el caucho natural se encuentran en franca expansión, propiciando la recuperación de la cobertura forestal.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balance hídrico nacional es, en general, excedentario: la utilización anual del agua representa entre el 20-22% de la oferta hídrica disponible.</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En Guatemala existe una superficie total de tierras aptas para la agricultura de 2.6 millones de hectáreas.</w:t>
            </w:r>
          </w:p>
        </w:tc>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Oportunidades: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El PINFOR y </w:t>
            </w:r>
            <w:r w:rsidR="00C6224C">
              <w:rPr>
                <w:rFonts w:ascii="Calibri" w:hAnsi="Calibri" w:cs="Calibri"/>
                <w:sz w:val="20"/>
                <w:szCs w:val="22"/>
                <w:lang w:val="es-GT"/>
              </w:rPr>
              <w:t xml:space="preserve">el </w:t>
            </w:r>
            <w:r w:rsidRPr="001A01AB">
              <w:rPr>
                <w:rFonts w:ascii="Calibri" w:hAnsi="Calibri" w:cs="Calibri"/>
                <w:sz w:val="20"/>
                <w:szCs w:val="22"/>
                <w:lang w:val="es-GT"/>
              </w:rPr>
              <w:t>PINPEP son mecanismos financieros ex</w:t>
            </w:r>
            <w:r w:rsidR="00C6224C">
              <w:rPr>
                <w:rFonts w:ascii="Calibri" w:hAnsi="Calibri" w:cs="Calibri"/>
                <w:sz w:val="20"/>
                <w:szCs w:val="22"/>
                <w:lang w:val="es-GT"/>
              </w:rPr>
              <w:t xml:space="preserve">istentes, que pueden potenciar </w:t>
            </w:r>
            <w:r w:rsidRPr="001A01AB">
              <w:rPr>
                <w:rFonts w:ascii="Calibri" w:hAnsi="Calibri" w:cs="Calibri"/>
                <w:sz w:val="20"/>
                <w:szCs w:val="22"/>
                <w:lang w:val="es-GT"/>
              </w:rPr>
              <w:t>e</w:t>
            </w:r>
            <w:r w:rsidR="00C6224C">
              <w:rPr>
                <w:rFonts w:ascii="Calibri" w:hAnsi="Calibri" w:cs="Calibri"/>
                <w:sz w:val="20"/>
                <w:szCs w:val="22"/>
                <w:lang w:val="es-GT"/>
              </w:rPr>
              <w:t>l</w:t>
            </w:r>
            <w:r w:rsidRPr="001A01AB">
              <w:rPr>
                <w:rFonts w:ascii="Calibri" w:hAnsi="Calibri" w:cs="Calibri"/>
                <w:sz w:val="20"/>
                <w:szCs w:val="22"/>
                <w:lang w:val="es-GT"/>
              </w:rPr>
              <w:t xml:space="preserve"> aumento del área bajo manejo forestal.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42% de la</w:t>
            </w:r>
            <w:r w:rsidR="00C6224C">
              <w:rPr>
                <w:rFonts w:ascii="Calibri" w:hAnsi="Calibri" w:cs="Calibri"/>
                <w:sz w:val="20"/>
                <w:szCs w:val="22"/>
                <w:lang w:val="es-GT"/>
              </w:rPr>
              <w:t xml:space="preserve"> deforestación se concentra en cinco</w:t>
            </w:r>
            <w:r w:rsidRPr="001A01AB">
              <w:rPr>
                <w:rFonts w:ascii="Calibri" w:hAnsi="Calibri" w:cs="Calibri"/>
                <w:sz w:val="20"/>
                <w:szCs w:val="22"/>
                <w:lang w:val="es-GT"/>
              </w:rPr>
              <w:t xml:space="preserve"> “frentes” bien identificados, permitiendo focalizar los esfuerzos y los instrumentos de política.</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Los sistemas agroforestales son una alternativa para la recuperación de cobertura forestal, </w:t>
            </w:r>
            <w:r w:rsidR="00C6224C">
              <w:rPr>
                <w:rFonts w:ascii="Calibri" w:hAnsi="Calibri" w:cs="Calibri"/>
                <w:sz w:val="20"/>
                <w:szCs w:val="22"/>
                <w:lang w:val="es-GT"/>
              </w:rPr>
              <w:t xml:space="preserve">la </w:t>
            </w:r>
            <w:r w:rsidRPr="001A01AB">
              <w:rPr>
                <w:rFonts w:ascii="Calibri" w:hAnsi="Calibri" w:cs="Calibri"/>
                <w:sz w:val="20"/>
                <w:szCs w:val="22"/>
                <w:lang w:val="es-GT"/>
              </w:rPr>
              <w:t>generación de ingreso sostenible y el ordenamiento del territorio.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Los mecanismos para la reducción de emisiones de GEI por deforestación y degradación de bosques, </w:t>
            </w:r>
            <w:r w:rsidR="00C6224C">
              <w:rPr>
                <w:rFonts w:ascii="Calibri" w:hAnsi="Calibri" w:cs="Calibri"/>
                <w:sz w:val="20"/>
                <w:szCs w:val="22"/>
                <w:lang w:val="es-GT"/>
              </w:rPr>
              <w:t>son una oportunidad para disminuir</w:t>
            </w:r>
            <w:r w:rsidRPr="001A01AB">
              <w:rPr>
                <w:rFonts w:ascii="Calibri" w:hAnsi="Calibri" w:cs="Calibri"/>
                <w:sz w:val="20"/>
                <w:szCs w:val="22"/>
                <w:lang w:val="es-GT"/>
              </w:rPr>
              <w:t xml:space="preserve"> la deforestación.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disponibilidad de agua en la mayor parte del territorio nacional, durante la mayor parte del año, ofrece una oportunidad para el desarrollo de actividades productivas.</w:t>
            </w:r>
          </w:p>
          <w:p w:rsidR="008327B2" w:rsidRPr="001A01AB" w:rsidRDefault="008327B2" w:rsidP="00C6224C">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De las tierras susceptibles de </w:t>
            </w:r>
            <w:r w:rsidR="00C6224C">
              <w:rPr>
                <w:rFonts w:ascii="Calibri" w:hAnsi="Calibri" w:cs="Calibri"/>
                <w:sz w:val="20"/>
                <w:szCs w:val="22"/>
                <w:lang w:val="es-GT"/>
              </w:rPr>
              <w:t>riego</w:t>
            </w:r>
            <w:r w:rsidRPr="001A01AB">
              <w:rPr>
                <w:rFonts w:ascii="Calibri" w:hAnsi="Calibri" w:cs="Calibri"/>
                <w:sz w:val="20"/>
                <w:szCs w:val="22"/>
                <w:lang w:val="es-GT"/>
              </w:rPr>
              <w:t xml:space="preserve"> (1.5 millones de ha), solo un 10% posee cultivos bajo riego. La agricultura de riego es una oportunidad para satisfacer la creciente demanda de alimentos.</w:t>
            </w:r>
          </w:p>
        </w:tc>
      </w:tr>
      <w:tr w:rsidR="008327B2" w:rsidRPr="000364C9" w:rsidTr="001A01AB">
        <w:trPr>
          <w:jc w:val="center"/>
        </w:trPr>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Más del 50% de la deforestación ocurre en áreas protegidas.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No existen políticas públicas que dirijan ni controlen la regeneración natural de la cobertura forestal</w:t>
            </w:r>
            <w:r w:rsidR="00C6224C">
              <w:rPr>
                <w:rFonts w:ascii="Calibri" w:hAnsi="Calibri" w:cs="Calibri"/>
                <w:sz w:val="20"/>
                <w:szCs w:val="22"/>
                <w:lang w:val="es-GT"/>
              </w:rPr>
              <w:t>,</w:t>
            </w:r>
            <w:r w:rsidRPr="001A01AB">
              <w:rPr>
                <w:rFonts w:ascii="Calibri" w:hAnsi="Calibri" w:cs="Calibri"/>
                <w:sz w:val="20"/>
                <w:szCs w:val="22"/>
                <w:lang w:val="es-GT"/>
              </w:rPr>
              <w:t xml:space="preserve"> por lo que la tendencia de la misma no puede ser considerada permanente.</w:t>
            </w:r>
            <w:r w:rsidR="00141A70">
              <w:rPr>
                <w:rFonts w:ascii="Calibri" w:hAnsi="Calibri" w:cs="Calibri"/>
                <w:sz w:val="20"/>
                <w:szCs w:val="22"/>
                <w:lang w:val="es-GT"/>
              </w:rPr>
              <w:t xml:space="preserve">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Aunque el balance hídrico nacional es excedentario, la mala gestión del recurso, la contaminación y la estacionalidad de la precipitación, causan periodos de escasez en algunas regiones durante la temporada seca.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marco institucional y regulatorio asociado al agua es sumamente débil, impidiendo la gestión integral del recurso.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No existe un marco de política integral que fomente y regule el ordenamiento territorial.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Desde el ámbito público no existen políticas ni instrumentos orientados a promover la conservación </w:t>
            </w:r>
            <w:r w:rsidRPr="001A01AB">
              <w:rPr>
                <w:rFonts w:ascii="Calibri" w:hAnsi="Calibri" w:cs="Calibri"/>
                <w:sz w:val="20"/>
                <w:szCs w:val="22"/>
                <w:lang w:val="es-GT"/>
              </w:rPr>
              <w:lastRenderedPageBreak/>
              <w:t>de suelos.</w:t>
            </w:r>
          </w:p>
        </w:tc>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deforestación tiende a sustituir bosques a </w:t>
            </w:r>
            <w:r w:rsidR="00C6224C">
              <w:rPr>
                <w:rFonts w:ascii="Calibri" w:hAnsi="Calibri" w:cs="Calibri"/>
                <w:sz w:val="20"/>
                <w:szCs w:val="22"/>
                <w:lang w:val="es-GT"/>
              </w:rPr>
              <w:t>causa de la ganadería extensiva,</w:t>
            </w:r>
            <w:r w:rsidRPr="001A01AB">
              <w:rPr>
                <w:rFonts w:ascii="Calibri" w:hAnsi="Calibri" w:cs="Calibri"/>
                <w:sz w:val="20"/>
                <w:szCs w:val="22"/>
                <w:lang w:val="es-GT"/>
              </w:rPr>
              <w:t xml:space="preserve"> la agricultura (</w:t>
            </w:r>
            <w:r w:rsidR="00C6224C">
              <w:rPr>
                <w:rFonts w:ascii="Calibri" w:hAnsi="Calibri" w:cs="Calibri"/>
                <w:sz w:val="20"/>
                <w:szCs w:val="22"/>
                <w:lang w:val="es-GT"/>
              </w:rPr>
              <w:t>pequeña, mediana y gran escala), incendios forestales,</w:t>
            </w:r>
            <w:r w:rsidRPr="001A01AB">
              <w:rPr>
                <w:rFonts w:ascii="Calibri" w:hAnsi="Calibri" w:cs="Calibri"/>
                <w:sz w:val="20"/>
                <w:szCs w:val="22"/>
                <w:lang w:val="es-GT"/>
              </w:rPr>
              <w:t xml:space="preserve"> asentamientos humanos produ</w:t>
            </w:r>
            <w:r w:rsidR="00C6224C">
              <w:rPr>
                <w:rFonts w:ascii="Calibri" w:hAnsi="Calibri" w:cs="Calibri"/>
                <w:sz w:val="20"/>
                <w:szCs w:val="22"/>
                <w:lang w:val="es-GT"/>
              </w:rPr>
              <w:t>cto de la migración rural-rural, la narcoactividad,</w:t>
            </w:r>
            <w:r w:rsidRPr="001A01AB">
              <w:rPr>
                <w:rFonts w:ascii="Calibri" w:hAnsi="Calibri" w:cs="Calibri"/>
                <w:sz w:val="20"/>
                <w:szCs w:val="22"/>
                <w:lang w:val="es-GT"/>
              </w:rPr>
              <w:t xml:space="preserve"> y </w:t>
            </w:r>
            <w:r w:rsidR="00C6224C">
              <w:rPr>
                <w:rFonts w:ascii="Calibri" w:hAnsi="Calibri" w:cs="Calibri"/>
                <w:sz w:val="20"/>
                <w:szCs w:val="22"/>
                <w:lang w:val="es-GT"/>
              </w:rPr>
              <w:t>la combinación de estos factores</w:t>
            </w:r>
            <w:r w:rsidRPr="001A01AB">
              <w:rPr>
                <w:rFonts w:ascii="Calibri" w:hAnsi="Calibri" w:cs="Calibri"/>
                <w:sz w:val="20"/>
                <w:szCs w:val="22"/>
                <w:lang w:val="es-GT"/>
              </w:rPr>
              <w:t>.</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incendios forestales sigu</w:t>
            </w:r>
            <w:r w:rsidR="00C6224C">
              <w:rPr>
                <w:rFonts w:ascii="Calibri" w:hAnsi="Calibri" w:cs="Calibri"/>
                <w:sz w:val="20"/>
                <w:szCs w:val="22"/>
                <w:lang w:val="es-GT"/>
              </w:rPr>
              <w:t>en siendo una de las amenazas má</w:t>
            </w:r>
            <w:r w:rsidRPr="001A01AB">
              <w:rPr>
                <w:rFonts w:ascii="Calibri" w:hAnsi="Calibri" w:cs="Calibri"/>
                <w:sz w:val="20"/>
                <w:szCs w:val="22"/>
                <w:lang w:val="es-GT"/>
              </w:rPr>
              <w:t>s graves para los bosques.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El ritmo de la deforestación excede la tasa </w:t>
            </w:r>
            <w:r w:rsidR="00C6224C">
              <w:rPr>
                <w:rFonts w:ascii="Calibri" w:hAnsi="Calibri" w:cs="Calibri"/>
                <w:sz w:val="20"/>
                <w:szCs w:val="22"/>
                <w:lang w:val="es-GT"/>
              </w:rPr>
              <w:t>de</w:t>
            </w:r>
            <w:r w:rsidRPr="001A01AB">
              <w:rPr>
                <w:rFonts w:ascii="Calibri" w:hAnsi="Calibri" w:cs="Calibri"/>
                <w:sz w:val="20"/>
                <w:szCs w:val="22"/>
                <w:lang w:val="es-GT"/>
              </w:rPr>
              <w:t xml:space="preserve"> reforestación y la regeneración natural.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leña representa el 67% del total de madera extraída de los bosques, utilizándose en un 95% como recurso energético de la población rural.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El 95% de la extracción de madera corresponde a aprovechamientos ilegales o no controlados.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Solo el 38% de las tierras media, alta y muy alta para la captación y regulación hídrica se encuentran cubiertas por bosques; el 24% se encuentra en de </w:t>
            </w:r>
            <w:r w:rsidRPr="001A01AB">
              <w:rPr>
                <w:rFonts w:ascii="Calibri" w:hAnsi="Calibri" w:cs="Calibri"/>
                <w:sz w:val="20"/>
                <w:szCs w:val="22"/>
                <w:lang w:val="es-GT"/>
              </w:rPr>
              <w:lastRenderedPageBreak/>
              <w:t xml:space="preserve">sobreuso, creando condiciones ambientales adversas para mantener el ciclo hidrológico.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práctica agrícola convencional en Guatemala es responsable de una pérdida total del suelo de 299 millones de m</w:t>
            </w:r>
            <w:r w:rsidRPr="00C6224C">
              <w:rPr>
                <w:rFonts w:ascii="Calibri" w:hAnsi="Calibri" w:cs="Calibri"/>
                <w:sz w:val="20"/>
                <w:szCs w:val="22"/>
                <w:vertAlign w:val="superscript"/>
                <w:lang w:val="es-GT"/>
              </w:rPr>
              <w:t>3</w:t>
            </w:r>
            <w:r w:rsidRPr="001A01AB">
              <w:rPr>
                <w:rFonts w:ascii="Calibri" w:hAnsi="Calibri" w:cs="Calibri"/>
                <w:sz w:val="20"/>
                <w:szCs w:val="22"/>
                <w:lang w:val="es-GT"/>
              </w:rPr>
              <w:t>/año, que ha causado la sedimentación de los cursos de agua y altos niveles de eutrofización.</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contaminación del agua de ríos y lagos alcanza niveles alarmantes, reduciendo la disponibilidad efectiva del agua, amenazando todos los usos consuntivos y no consuntivos del agua.</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El 15% de la superficie del territorio nacional se encuentra en condiciones de sobreuso, siendo causante del 57% de la erosión total del país.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62% de las tierras en sobreuso están dedicadas a la producción de cultivos agrícolas tradicionales, fundamentalmente granos básicos.</w:t>
            </w:r>
          </w:p>
        </w:tc>
      </w:tr>
    </w:tbl>
    <w:p w:rsidR="008327B2" w:rsidRPr="001A01AB" w:rsidRDefault="008327B2" w:rsidP="008327B2">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9576"/>
      </w:tblGrid>
      <w:tr w:rsidR="008327B2" w:rsidRPr="000364C9" w:rsidTr="001A01AB">
        <w:trPr>
          <w:jc w:val="center"/>
        </w:trPr>
        <w:tc>
          <w:tcPr>
            <w:tcW w:w="9576" w:type="dxa"/>
            <w:shd w:val="clear" w:color="auto" w:fill="auto"/>
          </w:tcPr>
          <w:p w:rsidR="008327B2" w:rsidRPr="001A01AB" w:rsidRDefault="008327B2" w:rsidP="001A01AB">
            <w:pPr>
              <w:autoSpaceDE w:val="0"/>
              <w:autoSpaceDN w:val="0"/>
              <w:adjustRightInd w:val="0"/>
              <w:spacing w:after="60"/>
              <w:jc w:val="both"/>
              <w:rPr>
                <w:rFonts w:ascii="Calibri" w:hAnsi="Calibri" w:cs="Calibri"/>
                <w:b/>
                <w:color w:val="365F91"/>
                <w:sz w:val="22"/>
                <w:szCs w:val="22"/>
                <w:lang w:val="es-GT"/>
              </w:rPr>
            </w:pPr>
            <w:r w:rsidRPr="001A01AB">
              <w:rPr>
                <w:rFonts w:ascii="Calibri" w:hAnsi="Calibri" w:cs="Calibri"/>
                <w:b/>
                <w:color w:val="365F91"/>
                <w:sz w:val="22"/>
                <w:szCs w:val="22"/>
                <w:lang w:val="es-GT"/>
              </w:rPr>
              <w:t>Tendencias (basadas en un escenario de tipo tendencial)</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Existe una alarmante tendencia creciente de la tasa de deforestación anual, la cual se espera que se mantenga a corto y mediano plazo.</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 xml:space="preserve">La regeneración natural de bosques se ha mantenido como un factor importante </w:t>
            </w:r>
            <w:r w:rsidR="00EB3450">
              <w:rPr>
                <w:rFonts w:cs="Calibri"/>
              </w:rPr>
              <w:t>en</w:t>
            </w:r>
            <w:r w:rsidRPr="001A01AB">
              <w:rPr>
                <w:rFonts w:cs="Calibri"/>
              </w:rPr>
              <w:t xml:space="preserve"> la recuperación de la cobertura forestal, pero esta tendencia no se considera permanente al no estar soportada por una política institucional que garantice </w:t>
            </w:r>
            <w:r w:rsidR="00EB3450">
              <w:rPr>
                <w:rFonts w:cs="Calibri"/>
              </w:rPr>
              <w:t>su</w:t>
            </w:r>
            <w:r w:rsidRPr="001A01AB">
              <w:rPr>
                <w:rFonts w:cs="Calibri"/>
              </w:rPr>
              <w:t xml:space="preserve"> permanencia.</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 xml:space="preserve">El área bajo manejo forestal sostenible se ha reducido de 22,060 </w:t>
            </w:r>
            <w:r w:rsidR="00EB3450">
              <w:rPr>
                <w:rFonts w:cs="Calibri"/>
              </w:rPr>
              <w:t xml:space="preserve">ha </w:t>
            </w:r>
            <w:r w:rsidRPr="001A01AB">
              <w:rPr>
                <w:rFonts w:cs="Calibri"/>
              </w:rPr>
              <w:t>en 2006 a 7,782 ha en 2010, incentivando indirectamente, las actividades al margen de la ley. De no implementarse medidas al respecto, se espera que esta tendencia se mantenga a mediano plazo</w:t>
            </w:r>
            <w:r w:rsidR="00EB3450">
              <w:rPr>
                <w:rFonts w:cs="Calibri"/>
              </w:rPr>
              <w:t>.</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El aumento de la población influirá en el crecimiento constante de la demanda de agua. Este factor será crítico en las áreas altamente pobladas del país.</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Existe una clara tendencia hacia el incremento de la contaminación del agua. Las regulaciones actuales son débiles</w:t>
            </w:r>
            <w:r w:rsidR="00EB3450">
              <w:rPr>
                <w:rFonts w:cs="Calibri"/>
              </w:rPr>
              <w:t>,</w:t>
            </w:r>
            <w:r w:rsidRPr="001A01AB">
              <w:rPr>
                <w:rFonts w:cs="Calibri"/>
              </w:rPr>
              <w:t xml:space="preserve"> por lo que se espera que la tendencia de la misma se mantenga creciente.</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La deforestación provoca una tendencia a la disminución de la cobertura vegetal en TFCRH. Esto a su vez</w:t>
            </w:r>
            <w:r w:rsidR="00EB3450">
              <w:rPr>
                <w:rFonts w:cs="Calibri"/>
              </w:rPr>
              <w:t>,</w:t>
            </w:r>
            <w:r w:rsidRPr="001A01AB">
              <w:rPr>
                <w:rFonts w:cs="Calibri"/>
              </w:rPr>
              <w:t xml:space="preserve"> incidirá en la ofert</w:t>
            </w:r>
            <w:r w:rsidR="00EB3450">
              <w:rPr>
                <w:rFonts w:cs="Calibri"/>
              </w:rPr>
              <w:t>a de las aguas superficiales d</w:t>
            </w:r>
            <w:r w:rsidRPr="001A01AB">
              <w:rPr>
                <w:rFonts w:cs="Calibri"/>
              </w:rPr>
              <w:t>el país.</w:t>
            </w:r>
          </w:p>
          <w:p w:rsidR="008327B2" w:rsidRPr="001A01AB" w:rsidRDefault="00EB3450" w:rsidP="001A01AB">
            <w:pPr>
              <w:pStyle w:val="Prrafodelista"/>
              <w:numPr>
                <w:ilvl w:val="0"/>
                <w:numId w:val="28"/>
              </w:numPr>
              <w:autoSpaceDE w:val="0"/>
              <w:autoSpaceDN w:val="0"/>
              <w:adjustRightInd w:val="0"/>
              <w:spacing w:after="60"/>
              <w:ind w:left="282" w:hanging="284"/>
              <w:jc w:val="both"/>
              <w:rPr>
                <w:rFonts w:cs="Calibri"/>
              </w:rPr>
            </w:pPr>
            <w:r>
              <w:rPr>
                <w:rFonts w:cs="Calibri"/>
              </w:rPr>
              <w:t>L</w:t>
            </w:r>
            <w:r w:rsidR="008327B2" w:rsidRPr="001A01AB">
              <w:rPr>
                <w:rFonts w:cs="Calibri"/>
              </w:rPr>
              <w:t xml:space="preserve">a agricultura anual y de cultivos de subsistencia muestra una tendencia a expandirse hacia tierras marginales para la agricultura. </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La tendencia de reducción de la cobertura forestal, provoca el aumento de las tierras en condiciones de sobreuso, especialmente en zonas de ladera.</w:t>
            </w:r>
            <w:r w:rsidR="00141A70">
              <w:rPr>
                <w:rFonts w:cs="Calibri"/>
              </w:rPr>
              <w:t xml:space="preserve"> </w:t>
            </w:r>
            <w:r w:rsidRPr="001A01AB">
              <w:rPr>
                <w:rFonts w:cs="Calibri"/>
              </w:rPr>
              <w:t>Esto provoca u</w:t>
            </w:r>
            <w:r w:rsidR="00EB3450">
              <w:rPr>
                <w:rFonts w:cs="Calibri"/>
              </w:rPr>
              <w:t>na marcada tendencia hacia la pé</w:t>
            </w:r>
            <w:r w:rsidRPr="001A01AB">
              <w:rPr>
                <w:rFonts w:cs="Calibri"/>
              </w:rPr>
              <w:t>rdida de la fertilidad de los suelos, la cual se incrementará de no reducirse esta tendencia.</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Se espera que la tendencia de la erosión se mantenga a mediano plazo, debido principalmente a la ausencia de una política e instrumentos orientados a la protección y conservación de los suelos agrícolas.</w:t>
            </w:r>
          </w:p>
        </w:tc>
      </w:tr>
    </w:tbl>
    <w:p w:rsidR="008327B2" w:rsidRPr="001A01AB" w:rsidRDefault="008327B2" w:rsidP="008327B2">
      <w:pPr>
        <w:jc w:val="both"/>
        <w:rPr>
          <w:rFonts w:ascii="Calibri" w:hAnsi="Calibri" w:cs="Calibri"/>
          <w:lang w:val="es-GT"/>
        </w:rPr>
      </w:pPr>
    </w:p>
    <w:p w:rsidR="008327B2" w:rsidRPr="001A01AB" w:rsidRDefault="008327B2" w:rsidP="008327B2">
      <w:pPr>
        <w:rPr>
          <w:rFonts w:ascii="Calibri" w:hAnsi="Calibri" w:cs="Calibri"/>
          <w:lang w:val="es-GT"/>
        </w:rPr>
      </w:pPr>
      <w:r w:rsidRPr="001A01AB">
        <w:rPr>
          <w:rFonts w:ascii="Calibri" w:hAnsi="Calibri" w:cs="Calibri"/>
          <w:lang w:val="es-GT"/>
        </w:rPr>
        <w:br w:type="page"/>
      </w:r>
    </w:p>
    <w:p w:rsidR="008327B2" w:rsidRPr="001A01AB" w:rsidRDefault="008327B2" w:rsidP="001A01AB">
      <w:pPr>
        <w:pBdr>
          <w:bottom w:val="single" w:sz="4" w:space="1" w:color="365F91"/>
        </w:pBdr>
        <w:autoSpaceDE w:val="0"/>
        <w:autoSpaceDN w:val="0"/>
        <w:adjustRightInd w:val="0"/>
        <w:jc w:val="both"/>
        <w:rPr>
          <w:rFonts w:ascii="Calibri" w:hAnsi="Calibri" w:cs="Calibri"/>
          <w:b/>
          <w:color w:val="365F91"/>
          <w:sz w:val="32"/>
          <w:lang w:val="es-GT"/>
        </w:rPr>
      </w:pPr>
      <w:r w:rsidRPr="001A01AB">
        <w:rPr>
          <w:rFonts w:ascii="Calibri" w:hAnsi="Calibri" w:cs="Calibri"/>
          <w:b/>
          <w:color w:val="365F91"/>
          <w:sz w:val="32"/>
          <w:lang w:val="es-GT"/>
        </w:rPr>
        <w:lastRenderedPageBreak/>
        <w:t>FCD 2: Productividad Rural Campesina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Enfoque:</w:t>
      </w:r>
    </w:p>
    <w:p w:rsidR="008327B2" w:rsidRPr="001A01AB" w:rsidRDefault="008327B2" w:rsidP="006B0A31">
      <w:pPr>
        <w:numPr>
          <w:ilvl w:val="0"/>
          <w:numId w:val="34"/>
        </w:numPr>
        <w:autoSpaceDE w:val="0"/>
        <w:autoSpaceDN w:val="0"/>
        <w:adjustRightInd w:val="0"/>
        <w:ind w:left="360"/>
        <w:jc w:val="both"/>
        <w:rPr>
          <w:rFonts w:ascii="Calibri" w:hAnsi="Calibri" w:cs="Calibri"/>
          <w:lang w:val="es-GT"/>
        </w:rPr>
      </w:pPr>
      <w:r w:rsidRPr="001A01AB">
        <w:rPr>
          <w:rFonts w:ascii="Calibri" w:hAnsi="Calibri" w:cs="Calibri"/>
          <w:lang w:val="es-GT"/>
        </w:rPr>
        <w:t>Infraestructura product</w:t>
      </w:r>
      <w:r w:rsidR="00261DF4">
        <w:rPr>
          <w:rFonts w:ascii="Calibri" w:hAnsi="Calibri" w:cs="Calibri"/>
          <w:lang w:val="es-GT"/>
        </w:rPr>
        <w:t>iva orientada al desarrollo de pequeños productores rurales</w:t>
      </w:r>
      <w:r w:rsidRPr="001A01AB">
        <w:rPr>
          <w:rFonts w:ascii="Calibri" w:hAnsi="Calibri" w:cs="Calibri"/>
          <w:lang w:val="es-GT"/>
        </w:rPr>
        <w:t xml:space="preserve"> en territorios prioritarios</w:t>
      </w:r>
      <w:r w:rsidR="00261DF4">
        <w:rPr>
          <w:rFonts w:ascii="Calibri" w:hAnsi="Calibri" w:cs="Calibri"/>
          <w:lang w:val="es-GT"/>
        </w:rPr>
        <w:t>.</w:t>
      </w:r>
    </w:p>
    <w:p w:rsidR="008327B2" w:rsidRPr="001A01AB" w:rsidRDefault="008327B2" w:rsidP="006B0A31">
      <w:pPr>
        <w:numPr>
          <w:ilvl w:val="0"/>
          <w:numId w:val="34"/>
        </w:numPr>
        <w:autoSpaceDE w:val="0"/>
        <w:autoSpaceDN w:val="0"/>
        <w:adjustRightInd w:val="0"/>
        <w:ind w:left="360"/>
        <w:jc w:val="both"/>
        <w:rPr>
          <w:rFonts w:ascii="Calibri" w:hAnsi="Calibri" w:cs="Calibri"/>
          <w:lang w:val="es-GT"/>
        </w:rPr>
      </w:pPr>
      <w:r w:rsidRPr="001A01AB">
        <w:rPr>
          <w:rFonts w:ascii="Calibri" w:hAnsi="Calibri" w:cs="Calibri"/>
          <w:lang w:val="es-GT"/>
        </w:rPr>
        <w:t>Empresarialidad rural para la generación de empleo e ingresos agrícola</w:t>
      </w:r>
      <w:r w:rsidR="00261DF4">
        <w:rPr>
          <w:rFonts w:ascii="Calibri" w:hAnsi="Calibri" w:cs="Calibri"/>
          <w:lang w:val="es-GT"/>
        </w:rPr>
        <w:t>s</w:t>
      </w:r>
      <w:r w:rsidRPr="001A01AB">
        <w:rPr>
          <w:rFonts w:ascii="Calibri" w:hAnsi="Calibri" w:cs="Calibri"/>
          <w:lang w:val="es-GT"/>
        </w:rPr>
        <w:t xml:space="preserve"> y no agrícola</w:t>
      </w:r>
      <w:r w:rsidR="00261DF4">
        <w:rPr>
          <w:rFonts w:ascii="Calibri" w:hAnsi="Calibri" w:cs="Calibri"/>
          <w:lang w:val="es-GT"/>
        </w:rPr>
        <w:t>s.</w:t>
      </w:r>
    </w:p>
    <w:p w:rsidR="008327B2" w:rsidRPr="001A01AB" w:rsidRDefault="008327B2" w:rsidP="006B0A31">
      <w:pPr>
        <w:numPr>
          <w:ilvl w:val="0"/>
          <w:numId w:val="34"/>
        </w:numPr>
        <w:autoSpaceDE w:val="0"/>
        <w:autoSpaceDN w:val="0"/>
        <w:adjustRightInd w:val="0"/>
        <w:ind w:left="360"/>
        <w:jc w:val="both"/>
        <w:rPr>
          <w:rFonts w:ascii="Calibri" w:hAnsi="Calibri" w:cs="Calibri"/>
          <w:lang w:val="es-GT"/>
        </w:rPr>
      </w:pPr>
      <w:r w:rsidRPr="001A01AB">
        <w:rPr>
          <w:rFonts w:ascii="Calibri" w:hAnsi="Calibri" w:cs="Calibri"/>
          <w:lang w:val="es-GT"/>
        </w:rPr>
        <w:t xml:space="preserve">Dinamización de las economías campesinas.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b/>
          <w:color w:val="365F91"/>
          <w:sz w:val="28"/>
          <w:lang w:val="es-GT"/>
        </w:rPr>
        <w:t>2.1.</w:t>
      </w:r>
      <w:r w:rsidRPr="001A01AB">
        <w:rPr>
          <w:rFonts w:ascii="Calibri" w:hAnsi="Calibri" w:cs="Calibri"/>
          <w:b/>
          <w:color w:val="365F91"/>
          <w:sz w:val="28"/>
          <w:lang w:val="es-GT"/>
        </w:rPr>
        <w:tab/>
        <w:t>Criterio de evaluación: I</w:t>
      </w:r>
      <w:r w:rsidR="00261DF4" w:rsidRPr="001A01AB">
        <w:rPr>
          <w:rFonts w:ascii="Calibri" w:hAnsi="Calibri" w:cs="Calibri"/>
          <w:b/>
          <w:color w:val="365F91"/>
          <w:sz w:val="28"/>
          <w:lang w:val="es-GT"/>
        </w:rPr>
        <w:t>nfraestructura vial</w:t>
      </w:r>
    </w:p>
    <w:p w:rsidR="008327B2" w:rsidRPr="001A01AB" w:rsidRDefault="008327B2" w:rsidP="008327B2">
      <w:pPr>
        <w:autoSpaceDE w:val="0"/>
        <w:autoSpaceDN w:val="0"/>
        <w:adjustRightInd w:val="0"/>
        <w:ind w:left="36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2.1.1.</w:t>
      </w:r>
      <w:r w:rsidRPr="001A01AB">
        <w:rPr>
          <w:rFonts w:ascii="Calibri" w:hAnsi="Calibri" w:cs="Calibri"/>
          <w:b/>
          <w:color w:val="365F91"/>
          <w:lang w:val="es-GT"/>
        </w:rPr>
        <w:tab/>
        <w:t>Indicador: R</w:t>
      </w:r>
      <w:r w:rsidR="00261DF4" w:rsidRPr="001A01AB">
        <w:rPr>
          <w:rFonts w:ascii="Calibri" w:hAnsi="Calibri" w:cs="Calibri"/>
          <w:b/>
          <w:color w:val="365F91"/>
          <w:lang w:val="es-GT"/>
        </w:rPr>
        <w:t>elación entre caminos rurales y ocupación agrícola</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Numerosos estudios econométricos en los que se relaciona la tasa de desarrollo agrícola con diversas variables, muestran, en forma consistente, el papel preponderante que juegan los caminos rurales </w:t>
      </w:r>
      <w:r w:rsidRPr="003F6E61">
        <w:rPr>
          <w:rFonts w:ascii="Calibri" w:hAnsi="Calibri" w:cs="Calibri"/>
          <w:highlight w:val="yellow"/>
          <w:lang w:val="es-GT"/>
        </w:rPr>
        <w:t>situándose muy cerca de la inversión en investigación</w:t>
      </w:r>
      <w:r w:rsidRPr="001A01AB">
        <w:rPr>
          <w:rFonts w:ascii="Calibri" w:hAnsi="Calibri" w:cs="Calibri"/>
          <w:lang w:val="es-GT"/>
        </w:rPr>
        <w:t xml:space="preserve"> agrícola. El presente análisis relaciona los caminos rurales con propósitos de reducción de la pobreza a través de su impacto en el desarrollo agrícola. </w:t>
      </w:r>
      <w:r w:rsidR="004B3F83">
        <w:rPr>
          <w:rFonts w:ascii="Calibri" w:hAnsi="Calibri" w:cs="Calibri"/>
          <w:lang w:val="es-GT"/>
        </w:rPr>
        <w:t>S</w:t>
      </w:r>
      <w:r w:rsidRPr="001A01AB">
        <w:rPr>
          <w:rFonts w:ascii="Calibri" w:hAnsi="Calibri" w:cs="Calibri"/>
          <w:lang w:val="es-GT"/>
        </w:rPr>
        <w:t>e demuestra que una unidad de gasto en caminos rurales es mucho más eficiente, en términos de reducción de pobreza, que cualquier otro tipo de gasto, particularmente aquel que se dirige directamente a la población pobre.</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El impacto de una buena red vial en el dinamismo de la agricultura es un hecho palpable en el altiplano guatemalteco. El valor monetario de la producción hortícola del altiplano constituye el 40% del valor monetario de la producción agrícola total de la región. Si se agrega que el 70% de las áreas destinadas a la producción hortícola se encuentran a menos de 2.5 kilómetros de una carretera asfaltada y/o a menos de un kilómetro de una carretera de terracería, resulta evidente la relación entre un buen acceso a carreteras y la decisión de incursionar en un esquema de producción agrícola rentable y promisorio.</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En virtud de este evidente potencial, y considerando que la región del altiplano se caracteriza por la alta incidencia de pobreza entre sus habitantes, puede concluirse que brindar las condiciones para el desarrollo agrícola de la región es de importancia estratégica nacional.</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Ante esto, las estrategias de apoyo al desarrollo rural deben priorizar las alternativas que impulsen la generación de empleo y </w:t>
      </w:r>
      <w:r w:rsidR="004B3F83">
        <w:rPr>
          <w:rFonts w:ascii="Calibri" w:hAnsi="Calibri" w:cs="Calibri"/>
          <w:lang w:val="es-GT"/>
        </w:rPr>
        <w:t xml:space="preserve">la </w:t>
      </w:r>
      <w:r w:rsidRPr="001A01AB">
        <w:rPr>
          <w:rFonts w:ascii="Calibri" w:hAnsi="Calibri" w:cs="Calibri"/>
          <w:lang w:val="es-GT"/>
        </w:rPr>
        <w:t>diversificación de la economía. La apuesta por el desarrollo agrícola como impulsor de la economía local</w:t>
      </w:r>
      <w:r w:rsidR="004B3F83">
        <w:rPr>
          <w:rFonts w:ascii="Calibri" w:hAnsi="Calibri" w:cs="Calibri"/>
          <w:lang w:val="es-GT"/>
        </w:rPr>
        <w:t xml:space="preserve"> radica en sus</w:t>
      </w:r>
      <w:r w:rsidRPr="001A01AB">
        <w:rPr>
          <w:rFonts w:ascii="Calibri" w:hAnsi="Calibri" w:cs="Calibri"/>
          <w:lang w:val="es-GT"/>
        </w:rPr>
        <w:t xml:space="preserve"> efectos directos e indirectos. En primer lugar, las áreas de producción agrícola, al ser destinadas a cultivos con alta demanda en mercados nacionales e internacionales, pueden incrementar la demanda por fuerza laboral local.</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434A51">
        <w:rPr>
          <w:rFonts w:ascii="Calibri" w:hAnsi="Calibri" w:cs="Calibri"/>
          <w:lang w:val="es-GT"/>
        </w:rPr>
        <w:t>Por otro lado, cuando el agricultor u obrero agrícola es un actor local (y esto ocurre cuando las unidades de producción agrícola son pequeñas)</w:t>
      </w:r>
      <w:r w:rsidR="004B3F83" w:rsidRPr="00434A51">
        <w:rPr>
          <w:rFonts w:ascii="Calibri" w:hAnsi="Calibri" w:cs="Calibri"/>
          <w:lang w:val="es-GT"/>
        </w:rPr>
        <w:t>,</w:t>
      </w:r>
      <w:r w:rsidRPr="00434A51">
        <w:rPr>
          <w:rFonts w:ascii="Calibri" w:hAnsi="Calibri" w:cs="Calibri"/>
          <w:lang w:val="es-GT"/>
        </w:rPr>
        <w:t xml:space="preserve"> el aumento </w:t>
      </w:r>
      <w:r w:rsidR="00434A51" w:rsidRPr="00434A51">
        <w:rPr>
          <w:rFonts w:ascii="Calibri" w:hAnsi="Calibri" w:cs="Calibri"/>
          <w:lang w:val="es-GT"/>
        </w:rPr>
        <w:t>de</w:t>
      </w:r>
      <w:r w:rsidRPr="00434A51">
        <w:rPr>
          <w:rFonts w:ascii="Calibri" w:hAnsi="Calibri" w:cs="Calibri"/>
          <w:lang w:val="es-GT"/>
        </w:rPr>
        <w:t xml:space="preserve"> sus ingresos económicos se traduce en un incremento en la demanda por bienes y servicios producidos por el sector rural no agrícola. Con ello, el ingreso de las actividades agrícolas contribuye a la diversificación de la </w:t>
      </w:r>
      <w:r w:rsidRPr="00434A51">
        <w:rPr>
          <w:rFonts w:ascii="Calibri" w:hAnsi="Calibri" w:cs="Calibri"/>
          <w:lang w:val="es-GT"/>
        </w:rPr>
        <w:lastRenderedPageBreak/>
        <w:t>economía local y a la generación de empleo en el sector rural no agrícola a través de los efectos multiplicadores y del patrón de consumo de los agricultores y obreros agrícolas.</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Analizando datos de varios países, Binswanger (1983) realizó uno de los primeros estudios para medir la importancia de diversas variables en la tasa de desarrollo agrícola. De nuevo, la inversión en caminos resultó ser la más importante. La mayoría de los estudios no hacen una distinción </w:t>
      </w:r>
      <w:r w:rsidR="005E6C95">
        <w:rPr>
          <w:rFonts w:ascii="Calibri" w:hAnsi="Calibri" w:cs="Calibri"/>
          <w:lang w:val="es-GT"/>
        </w:rPr>
        <w:t>sobre</w:t>
      </w:r>
      <w:r w:rsidRPr="001A01AB">
        <w:rPr>
          <w:rFonts w:ascii="Calibri" w:hAnsi="Calibri" w:cs="Calibri"/>
          <w:lang w:val="es-GT"/>
        </w:rPr>
        <w:t xml:space="preserve"> la calidad de los caminos, con excepción del estudio de IFPRI realizado por </w:t>
      </w:r>
      <w:r w:rsidRPr="00010086">
        <w:rPr>
          <w:rFonts w:ascii="Calibri" w:hAnsi="Calibri" w:cs="Calibri"/>
          <w:highlight w:val="magenta"/>
          <w:lang w:val="es-GT"/>
        </w:rPr>
        <w:t>Raisuddin Ahmed en Bangladesh (1990</w:t>
      </w:r>
      <w:r w:rsidR="005E6C95">
        <w:rPr>
          <w:rFonts w:ascii="Calibri" w:hAnsi="Calibri" w:cs="Calibri"/>
          <w:lang w:val="es-GT"/>
        </w:rPr>
        <w:t xml:space="preserve">), el cual </w:t>
      </w:r>
      <w:r w:rsidRPr="001A01AB">
        <w:rPr>
          <w:rFonts w:ascii="Calibri" w:hAnsi="Calibri" w:cs="Calibri"/>
          <w:lang w:val="es-GT"/>
        </w:rPr>
        <w:t>muestra que los caminos pavimentados tienen un impacto enorme en el desarrollo agrícola, a diferencia de los caminos de tierra que tienen poco o ningún efecto.</w:t>
      </w:r>
      <w:r w:rsidR="00291FC1">
        <w:rPr>
          <w:rFonts w:ascii="Calibri" w:hAnsi="Calibri" w:cs="Calibri"/>
          <w:lang w:val="es-GT"/>
        </w:rPr>
        <w:t xml:space="preserve"> </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El impacto de los caminos en el desarrollo agrícola sobrepasa la simple explicación de su efecto en la reducción de costos de transporte de insumos y productos agrícolas. Esto aplica particularmente para los caminos pavimentados. A este respecto pueden hacerse dos consideraciones importantes:</w:t>
      </w:r>
    </w:p>
    <w:p w:rsidR="008327B2" w:rsidRPr="001A01AB" w:rsidRDefault="008327B2" w:rsidP="008327B2">
      <w:pPr>
        <w:jc w:val="both"/>
        <w:rPr>
          <w:rFonts w:ascii="Calibri" w:hAnsi="Calibri" w:cs="Calibri"/>
          <w:lang w:val="es-GT"/>
        </w:rPr>
      </w:pPr>
    </w:p>
    <w:p w:rsidR="008327B2" w:rsidRPr="005E6C95" w:rsidRDefault="008327B2" w:rsidP="005E6C95">
      <w:pPr>
        <w:pStyle w:val="Prrafodelista"/>
        <w:numPr>
          <w:ilvl w:val="0"/>
          <w:numId w:val="76"/>
        </w:numPr>
        <w:jc w:val="both"/>
        <w:rPr>
          <w:rFonts w:cs="Calibri"/>
        </w:rPr>
      </w:pPr>
      <w:r w:rsidRPr="005E6C95">
        <w:rPr>
          <w:rFonts w:cs="Calibri"/>
        </w:rPr>
        <w:t>En primera instancia, es evidente que cuando los caminos son malos, el servicio de abastecimiento de insumos para la producción y compra de los productos agrícolas para la comercialización es prestado por uno o pocos intermediarios. Es decir, desapare</w:t>
      </w:r>
      <w:r w:rsidR="005E6C95">
        <w:rPr>
          <w:rFonts w:cs="Calibri"/>
        </w:rPr>
        <w:t>ce la competencia. Posiblemente</w:t>
      </w:r>
      <w:r w:rsidRPr="005E6C95">
        <w:rPr>
          <w:rFonts w:cs="Calibri"/>
        </w:rPr>
        <w:t xml:space="preserve"> esto ocurra porque bajo esas condiciones los costos de operación de transporte son altos. Este factor es un disuasivo para que más prestadores de estos servicios entren a competir. Como resultado de lo anterior, los márgenes de ganancia del intermediario se vuelven más altos –los fertilizantes resultan más costosos y los precios de los productos agrícolas bajan–. Estos hechos desincentivan a los agricultores a invertir en cultivos de alto valor comercial.</w:t>
      </w:r>
    </w:p>
    <w:p w:rsidR="008327B2" w:rsidRPr="001A01AB" w:rsidRDefault="008327B2" w:rsidP="008327B2">
      <w:pPr>
        <w:jc w:val="both"/>
        <w:rPr>
          <w:rFonts w:ascii="Calibri" w:hAnsi="Calibri" w:cs="Calibri"/>
          <w:lang w:val="es-GT"/>
        </w:rPr>
      </w:pPr>
    </w:p>
    <w:p w:rsidR="008327B2" w:rsidRPr="005E6C95" w:rsidRDefault="008327B2" w:rsidP="005E6C95">
      <w:pPr>
        <w:pStyle w:val="Prrafodelista"/>
        <w:numPr>
          <w:ilvl w:val="0"/>
          <w:numId w:val="76"/>
        </w:numPr>
        <w:jc w:val="both"/>
        <w:rPr>
          <w:rFonts w:cs="Calibri"/>
        </w:rPr>
      </w:pPr>
      <w:r w:rsidRPr="005E6C95">
        <w:rPr>
          <w:rFonts w:cs="Calibri"/>
        </w:rPr>
        <w:t xml:space="preserve">En segundo lugar, para lograr un desarrollo agrícola acelerado se necesita una serie de servicios como crédito, comercialización, provisión de insumos y extensión. Todos ellos requieren </w:t>
      </w:r>
      <w:r w:rsidR="009961F6">
        <w:rPr>
          <w:rFonts w:cs="Calibri"/>
        </w:rPr>
        <w:t xml:space="preserve">de </w:t>
      </w:r>
      <w:r w:rsidRPr="005E6C95">
        <w:rPr>
          <w:rFonts w:cs="Calibri"/>
        </w:rPr>
        <w:t>los servicios de personas calificadas profesionalmente, como contadores y técnicos, por ejemplo</w:t>
      </w:r>
      <w:r w:rsidR="009961F6">
        <w:rPr>
          <w:rFonts w:cs="Calibri"/>
        </w:rPr>
        <w:t xml:space="preserve">, quienes </w:t>
      </w:r>
      <w:r w:rsidRPr="005E6C95">
        <w:rPr>
          <w:rFonts w:cs="Calibri"/>
        </w:rPr>
        <w:t>desean tener acceso a los servicios que proporcionan las áreas urbanas y, por lo tanto, precisan</w:t>
      </w:r>
      <w:r w:rsidR="009961F6">
        <w:rPr>
          <w:rFonts w:cs="Calibri"/>
        </w:rPr>
        <w:t xml:space="preserve"> de</w:t>
      </w:r>
      <w:r w:rsidRPr="005E6C95">
        <w:rPr>
          <w:rFonts w:cs="Calibri"/>
        </w:rPr>
        <w:t xml:space="preserve"> caminos pavimentados que sean transitables duran</w:t>
      </w:r>
      <w:r w:rsidR="009961F6">
        <w:rPr>
          <w:rFonts w:cs="Calibri"/>
        </w:rPr>
        <w:t>te todo el año</w:t>
      </w:r>
      <w:r w:rsidRPr="005E6C95">
        <w:rPr>
          <w:rFonts w:cs="Calibri"/>
        </w:rPr>
        <w:t xml:space="preserve"> para poder acceder a estos servicios en forma rápida y a bajo costo. Este punto es análogo al énfasis contemporáneo que se centra en conglomerados (o </w:t>
      </w:r>
      <w:r w:rsidRPr="009961F6">
        <w:rPr>
          <w:rFonts w:cs="Calibri"/>
          <w:i/>
        </w:rPr>
        <w:t>clusters</w:t>
      </w:r>
      <w:r w:rsidRPr="005E6C95">
        <w:rPr>
          <w:rFonts w:cs="Calibri"/>
        </w:rPr>
        <w:t xml:space="preserve">) de desarrollo. De acuerdo </w:t>
      </w:r>
      <w:r w:rsidR="009961F6">
        <w:rPr>
          <w:rFonts w:cs="Calibri"/>
        </w:rPr>
        <w:t>con</w:t>
      </w:r>
      <w:r w:rsidRPr="005E6C95">
        <w:rPr>
          <w:rFonts w:cs="Calibri"/>
        </w:rPr>
        <w:t xml:space="preserve"> este enfoque, el desarrollo se da cuando actividades económicas similares (tales como la producción hortícola) se localizan geográficamente en puntos cercanos entre sí, de manera que el volumen de producción alcance cierto tamaño, y que los productores se beneficien uno a otro por su cercanía. Ciertamente, los caminos pavimentados son esenciales para lograr esta conglomeración.</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b/>
          <w:i/>
          <w:color w:val="365F91"/>
          <w:lang w:val="es-GT"/>
        </w:rPr>
      </w:pPr>
      <w:r w:rsidRPr="001A01AB">
        <w:rPr>
          <w:rFonts w:ascii="Calibri" w:hAnsi="Calibri" w:cs="Calibri"/>
          <w:b/>
          <w:i/>
          <w:color w:val="365F91"/>
          <w:lang w:val="es-GT"/>
        </w:rPr>
        <w:lastRenderedPageBreak/>
        <w:t>Estudio de caso: El altiplano occidental de Guatemala</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La región del altiplano presenta altas tasas de crecimiento poblacional que no son equiparadas con tasas similares de generación de fuentes de empleo. Esta descompensación resulta en altas tasas de desempleo y subempleo, cuya única válvula de escape es la migración a las ciudades y/o al extranjero, especialmente a Estados Unidos.</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El altiplano guatemalteco tiene carencias importantes en las condicionantes del crecimiento agrícola, tales como: deficiencias en la infraestructura vial, ausencia o deficiencia en los servicios de extensión e investigación agrícola, deficiencia en opciones de acceso a </w:t>
      </w:r>
      <w:r w:rsidR="00F47149">
        <w:rPr>
          <w:rFonts w:ascii="Calibri" w:hAnsi="Calibri" w:cs="Calibri"/>
          <w:lang w:val="es-GT"/>
        </w:rPr>
        <w:t>crédito, debilidad o ausencia de</w:t>
      </w:r>
      <w:r w:rsidRPr="001A01AB">
        <w:rPr>
          <w:rFonts w:ascii="Calibri" w:hAnsi="Calibri" w:cs="Calibri"/>
          <w:lang w:val="es-GT"/>
        </w:rPr>
        <w:t xml:space="preserve"> las estructuras organizativas, etc. Entre estos factores, el más costoso en términos de inversión pública, es el de la infraestructura vial.</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El patrón de agricultura prevaleciente en el altiplano es el de subsistencia. El sistema de cultivos está dominado generalmente por maíz, frijol y hortalizas de temporada</w:t>
      </w:r>
      <w:r w:rsidR="00B67DF7">
        <w:rPr>
          <w:rFonts w:ascii="Calibri" w:hAnsi="Calibri" w:cs="Calibri"/>
          <w:lang w:val="es-GT"/>
        </w:rPr>
        <w:t>,</w:t>
      </w:r>
      <w:r w:rsidRPr="001A01AB">
        <w:rPr>
          <w:rFonts w:ascii="Calibri" w:hAnsi="Calibri" w:cs="Calibri"/>
          <w:lang w:val="es-GT"/>
        </w:rPr>
        <w:t xml:space="preserve"> e implica un calendario anual de actividades no uniforme, con </w:t>
      </w:r>
      <w:r w:rsidR="00B67DF7">
        <w:rPr>
          <w:rFonts w:ascii="Calibri" w:hAnsi="Calibri" w:cs="Calibri"/>
          <w:lang w:val="es-GT"/>
        </w:rPr>
        <w:t>la mayor</w:t>
      </w:r>
      <w:r w:rsidRPr="001A01AB">
        <w:rPr>
          <w:rFonts w:ascii="Calibri" w:hAnsi="Calibri" w:cs="Calibri"/>
          <w:lang w:val="es-GT"/>
        </w:rPr>
        <w:t xml:space="preserve"> demanda de mano de obra durante la </w:t>
      </w:r>
      <w:r w:rsidR="00B67DF7">
        <w:rPr>
          <w:rFonts w:ascii="Calibri" w:hAnsi="Calibri" w:cs="Calibri"/>
          <w:lang w:val="es-GT"/>
        </w:rPr>
        <w:t>época</w:t>
      </w:r>
      <w:r w:rsidRPr="001A01AB">
        <w:rPr>
          <w:rFonts w:ascii="Calibri" w:hAnsi="Calibri" w:cs="Calibri"/>
          <w:lang w:val="es-GT"/>
        </w:rPr>
        <w:t xml:space="preserve"> de siembra, limpia y cosecha. Si la familia campesina emplea todo su potencial de mano de obra en dicha temporada, el resto del año adolece generalmente de subempleo. Debido a esta característica estructural, la agricultura de subsistencia resulta inadecuada si se desea incrementar las oportunidades de empleo, ya que por su propia naturaleza perpetúa un estado de subempleo.</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Un rasgo sobresaliente de la región del altiplano es que la mayor parte de su producción agrícola proviene de unidades productivas pequeñas. Por ejemplo, del total de la superficie con cultivos anuales o permanentes, el 75% se encuentra en fincas censales menores de 5 manzanas (3.5 hectáreas). Otra forma de expresar el carácter minifundista de la estructura de tenencia de la tierra en el altiplano, es el hecho que el 47.5% de la superficie total con cultivos anuales y permanentes se encuentra en fincas menores de 2 manzanas (1.40 ha).</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Esta atomización de las unidades productivas resulta poco relevante mientras no amenace la seguridad alimentaria, haya capacidad de absorción de la mano de obra familiar y se generen ingresos suficientes para la cobertura de las necesidades mínimas de la familia.</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El principal uso agrícola de la tierra en el altiplano es la producción de cultivos anuales, primordialmente de granos básicos con destino al autoabastecimiento y a la satisfacción de las demandas internas, cuyo proceso productivo se caracteriza por niveles bajos de productividad y rendimiento.</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La producción de hortalizas de exportación, catalogadas dentro de los productos no tradicionales, ha sido un fenómeno creciente en la agricultura de la región a partir de la década de los ochenta. Algunos de los factores que han favorecido </w:t>
      </w:r>
      <w:r w:rsidR="00216CF7">
        <w:rPr>
          <w:rFonts w:ascii="Calibri" w:hAnsi="Calibri" w:cs="Calibri"/>
          <w:lang w:val="es-GT"/>
        </w:rPr>
        <w:t>esta</w:t>
      </w:r>
      <w:r w:rsidRPr="001A01AB">
        <w:rPr>
          <w:rFonts w:ascii="Calibri" w:hAnsi="Calibri" w:cs="Calibri"/>
          <w:lang w:val="es-GT"/>
        </w:rPr>
        <w:t xml:space="preserve"> expansión son las condiciones climáticas y edáficas adecuadas para el desarrollo de la horticultura y la posibilidad, dada su condición de cultivo minifundista, de obtener productos de alta calidad como consecuencia de la atención que el agricultor brinda al cultivo en todas las fases del proceso productivo. </w:t>
      </w:r>
    </w:p>
    <w:p w:rsidR="008327B2" w:rsidRPr="001A01AB" w:rsidRDefault="008327B2" w:rsidP="008327B2">
      <w:pPr>
        <w:jc w:val="both"/>
        <w:rPr>
          <w:rFonts w:ascii="Calibri" w:hAnsi="Calibri" w:cs="Calibri"/>
          <w:lang w:val="es-GT"/>
        </w:rPr>
      </w:pPr>
      <w:r w:rsidRPr="001A01AB">
        <w:rPr>
          <w:rFonts w:ascii="Calibri" w:hAnsi="Calibri" w:cs="Calibri"/>
          <w:lang w:val="es-GT"/>
        </w:rPr>
        <w:lastRenderedPageBreak/>
        <w:t xml:space="preserve">Con base en datos de producción reportados por el </w:t>
      </w:r>
      <w:r w:rsidRPr="001A01AB">
        <w:rPr>
          <w:rFonts w:ascii="Calibri" w:hAnsi="Calibri" w:cs="Calibri"/>
          <w:iCs/>
          <w:lang w:val="es-GT"/>
        </w:rPr>
        <w:t xml:space="preserve">Censo Nacional Agropecuario 2003 </w:t>
      </w:r>
      <w:r w:rsidRPr="00AC507E">
        <w:rPr>
          <w:rFonts w:ascii="Calibri" w:hAnsi="Calibri" w:cs="Calibri"/>
          <w:highlight w:val="magenta"/>
          <w:lang w:val="es-GT"/>
        </w:rPr>
        <w:t>(INE, 2004)</w:t>
      </w:r>
      <w:r w:rsidRPr="001A01AB">
        <w:rPr>
          <w:rFonts w:ascii="Calibri" w:hAnsi="Calibri" w:cs="Calibri"/>
          <w:lang w:val="es-GT"/>
        </w:rPr>
        <w:t xml:space="preserve"> y con precios promedio de productos agrícolas, se estimó que el valor de la producción hortícola del altiplano constituye aproximadamente el 37% del valor de la producción hortícola n</w:t>
      </w:r>
      <w:r w:rsidR="0085069E">
        <w:rPr>
          <w:rFonts w:ascii="Calibri" w:hAnsi="Calibri" w:cs="Calibri"/>
          <w:lang w:val="es-GT"/>
        </w:rPr>
        <w:t>acional. Como se muestra en el C</w:t>
      </w:r>
      <w:r w:rsidRPr="001A01AB">
        <w:rPr>
          <w:rFonts w:ascii="Calibri" w:hAnsi="Calibri" w:cs="Calibri"/>
          <w:lang w:val="es-GT"/>
        </w:rPr>
        <w:t xml:space="preserve">uadro </w:t>
      </w:r>
      <w:r w:rsidR="0085069E">
        <w:rPr>
          <w:rFonts w:ascii="Calibri" w:hAnsi="Calibri" w:cs="Calibri"/>
          <w:lang w:val="es-GT"/>
        </w:rPr>
        <w:t>2</w:t>
      </w:r>
      <w:r w:rsidR="004C77F8">
        <w:rPr>
          <w:rFonts w:ascii="Calibri" w:hAnsi="Calibri" w:cs="Calibri"/>
          <w:lang w:val="es-GT"/>
        </w:rPr>
        <w:t>4</w:t>
      </w:r>
      <w:r w:rsidRPr="001A01AB">
        <w:rPr>
          <w:rFonts w:ascii="Calibri" w:hAnsi="Calibri" w:cs="Calibri"/>
          <w:lang w:val="es-GT"/>
        </w:rPr>
        <w:t>, el grueso de la producción agrícola de cultivos anuales en el altiplano proviene de fincas censales pequeñas. Estos datos revelan el carácter minifundista de la región y la relevancia de la producción de granos básicos en la conformación de la agricultura regional.</w:t>
      </w:r>
    </w:p>
    <w:p w:rsidR="008327B2" w:rsidRPr="001A01AB" w:rsidRDefault="008327B2" w:rsidP="008327B2">
      <w:pPr>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298" w:name="_Toc340004978"/>
      <w:bookmarkStart w:id="299" w:name="_Toc340032168"/>
      <w:bookmarkStart w:id="300" w:name="_Toc340034445"/>
      <w:bookmarkStart w:id="301" w:name="_Toc343164652"/>
      <w:bookmarkStart w:id="302" w:name="_Toc347841206"/>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24</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Superficie bajo cultivos anuales (ha) en el altiplano occidental de Guatemala</w:t>
      </w:r>
      <w:bookmarkEnd w:id="298"/>
      <w:bookmarkEnd w:id="299"/>
      <w:bookmarkEnd w:id="300"/>
      <w:bookmarkEnd w:id="301"/>
      <w:bookmarkEnd w:id="302"/>
    </w:p>
    <w:p w:rsidR="00216872" w:rsidRPr="00216872" w:rsidRDefault="00216872" w:rsidP="00216872">
      <w:pPr>
        <w:rPr>
          <w:lang w:val="es-GT"/>
        </w:rPr>
      </w:pPr>
    </w:p>
    <w:p w:rsidR="008327B2" w:rsidRPr="001A01AB" w:rsidRDefault="00544A9F" w:rsidP="008327B2">
      <w:pPr>
        <w:jc w:val="center"/>
        <w:rPr>
          <w:rFonts w:ascii="Calibri" w:hAnsi="Calibri" w:cs="Calibri"/>
          <w:noProof/>
          <w:lang w:val="es-GT" w:eastAsia="es-GT"/>
        </w:rPr>
      </w:pPr>
      <w:r>
        <w:rPr>
          <w:rFonts w:ascii="Calibri" w:hAnsi="Calibri" w:cs="Calibri"/>
          <w:noProof/>
          <w:lang w:val="es-GT" w:eastAsia="es-GT"/>
        </w:rPr>
        <w:drawing>
          <wp:inline distT="0" distB="0" distL="0" distR="0">
            <wp:extent cx="5761355" cy="2226567"/>
            <wp:effectExtent l="0" t="0" r="0" b="2540"/>
            <wp:docPr id="2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9"/>
                    <pic:cNvPicPr>
                      <a:picLocks noChangeAspect="1" noChangeArrowheads="1"/>
                    </pic:cNvPicPr>
                  </pic:nvPicPr>
                  <pic:blipFill>
                    <a:blip r:embed="rId78" cstate="print">
                      <a:duotone>
                        <a:schemeClr val="accent1">
                          <a:shade val="45000"/>
                          <a:satMod val="135000"/>
                        </a:schemeClr>
                        <a:prstClr val="white"/>
                      </a:duotone>
                    </a:blip>
                    <a:srcRect l="6119" t="23692" r="4418" b="14696"/>
                    <a:stretch>
                      <a:fillRect/>
                    </a:stretch>
                  </pic:blipFill>
                  <pic:spPr bwMode="auto">
                    <a:xfrm>
                      <a:off x="0" y="0"/>
                      <a:ext cx="5761355" cy="2226310"/>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right="146"/>
        <w:jc w:val="right"/>
        <w:rPr>
          <w:rFonts w:ascii="Calibri" w:hAnsi="Calibri" w:cs="Calibri"/>
          <w:sz w:val="28"/>
          <w:lang w:val="es-GT"/>
        </w:rPr>
      </w:pPr>
      <w:r w:rsidRPr="001A01AB">
        <w:rPr>
          <w:rFonts w:ascii="Calibri" w:hAnsi="Calibri" w:cs="Calibri"/>
          <w:bCs/>
          <w:sz w:val="20"/>
          <w:szCs w:val="18"/>
          <w:lang w:val="es-GT" w:eastAsia="es-GT"/>
        </w:rPr>
        <w:t xml:space="preserve">Fuente: </w:t>
      </w:r>
      <w:r w:rsidR="004B3F83">
        <w:rPr>
          <w:rFonts w:ascii="Calibri" w:hAnsi="Calibri" w:cs="Calibri"/>
          <w:sz w:val="20"/>
          <w:szCs w:val="18"/>
          <w:lang w:val="es-GT" w:eastAsia="es-GT"/>
        </w:rPr>
        <w:t>IARNA-</w:t>
      </w:r>
      <w:r w:rsidRPr="001A01AB">
        <w:rPr>
          <w:rFonts w:ascii="Calibri" w:hAnsi="Calibri" w:cs="Calibri"/>
          <w:sz w:val="20"/>
          <w:szCs w:val="18"/>
          <w:lang w:val="es-GT" w:eastAsia="es-GT"/>
        </w:rPr>
        <w:t xml:space="preserve">URL </w:t>
      </w:r>
      <w:r w:rsidR="004B3F83">
        <w:rPr>
          <w:rFonts w:ascii="Calibri" w:hAnsi="Calibri" w:cs="Calibri"/>
          <w:sz w:val="20"/>
          <w:szCs w:val="18"/>
          <w:lang w:val="es-GT" w:eastAsia="es-GT"/>
        </w:rPr>
        <w:t>(</w:t>
      </w:r>
      <w:r w:rsidRPr="001A01AB">
        <w:rPr>
          <w:rFonts w:ascii="Calibri" w:hAnsi="Calibri" w:cs="Calibri"/>
          <w:sz w:val="20"/>
          <w:szCs w:val="18"/>
          <w:lang w:val="es-GT" w:eastAsia="es-GT"/>
        </w:rPr>
        <w:t>2008).</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Partiendo de la premisa de que el crecimiento agrícola puede impulsar procesos de desarrollo económico rural en la región bajo estudio, un insumo primordial para la planificación de inversiones en infraestructura vial es la identificación de áreas con condiciones naturales para el crecimiento óptimo de cultivos con potencial claro de obtener buen posicionamiento en los mercados nacionales e internacionales.</w:t>
      </w:r>
      <w:r w:rsidR="00141A70">
        <w:rPr>
          <w:rFonts w:ascii="Calibri" w:hAnsi="Calibri" w:cs="Calibri"/>
          <w:lang w:val="es-GT"/>
        </w:rPr>
        <w:t xml:space="preserve"> </w:t>
      </w:r>
      <w:r w:rsidRPr="001A01AB">
        <w:rPr>
          <w:rFonts w:ascii="Calibri" w:hAnsi="Calibri" w:cs="Calibri"/>
          <w:lang w:val="es-GT"/>
        </w:rPr>
        <w:t>Para identificar estas áreas, se utilizaron dos insumos: el índice de ventaja competitiva de los principales cultivos de la región y los requerimientos agronómicos de los mismos, que definen las áreas con potencial, como se explica a continuación:</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El índice de ventaja competitiva fue calculado por </w:t>
      </w:r>
      <w:r w:rsidRPr="00AC507E">
        <w:rPr>
          <w:rFonts w:ascii="Calibri" w:hAnsi="Calibri" w:cs="Calibri"/>
          <w:lang w:val="es-GT"/>
        </w:rPr>
        <w:t>Vargas (2005)</w:t>
      </w:r>
      <w:r w:rsidRPr="001A01AB">
        <w:rPr>
          <w:rFonts w:ascii="Calibri" w:hAnsi="Calibri" w:cs="Calibri"/>
          <w:lang w:val="es-GT"/>
        </w:rPr>
        <w:t xml:space="preserve"> para varios productos agrícolas que se cultivan en el altiplano guatemalteco (Cuadro </w:t>
      </w:r>
      <w:r w:rsidR="0085069E">
        <w:rPr>
          <w:rFonts w:ascii="Calibri" w:hAnsi="Calibri" w:cs="Calibri"/>
          <w:lang w:val="es-GT"/>
        </w:rPr>
        <w:t>2</w:t>
      </w:r>
      <w:r w:rsidR="004C77F8">
        <w:rPr>
          <w:rFonts w:ascii="Calibri" w:hAnsi="Calibri" w:cs="Calibri"/>
          <w:lang w:val="es-GT"/>
        </w:rPr>
        <w:t>5</w:t>
      </w:r>
      <w:r w:rsidRPr="001A01AB">
        <w:rPr>
          <w:rFonts w:ascii="Calibri" w:hAnsi="Calibri" w:cs="Calibri"/>
          <w:lang w:val="es-GT"/>
        </w:rPr>
        <w:t>).</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p>
    <w:p w:rsidR="004B3F83" w:rsidRDefault="004B3F83" w:rsidP="008327B2">
      <w:pPr>
        <w:jc w:val="both"/>
        <w:rPr>
          <w:rFonts w:ascii="Calibri" w:hAnsi="Calibri" w:cs="Calibri"/>
          <w:lang w:val="es-GT"/>
        </w:rPr>
      </w:pPr>
    </w:p>
    <w:p w:rsidR="004B3F83" w:rsidRDefault="004B3F83" w:rsidP="008327B2">
      <w:pPr>
        <w:jc w:val="both"/>
        <w:rPr>
          <w:rFonts w:ascii="Calibri" w:hAnsi="Calibri" w:cs="Calibri"/>
          <w:lang w:val="es-GT"/>
        </w:rPr>
      </w:pPr>
    </w:p>
    <w:p w:rsidR="004B3F83" w:rsidRPr="001A01AB" w:rsidRDefault="004B3F83" w:rsidP="008327B2">
      <w:pPr>
        <w:jc w:val="both"/>
        <w:rPr>
          <w:rFonts w:ascii="Calibri" w:hAnsi="Calibri" w:cs="Calibri"/>
          <w:lang w:val="es-GT"/>
        </w:rPr>
      </w:pPr>
    </w:p>
    <w:p w:rsidR="0085069E" w:rsidRDefault="0085069E" w:rsidP="008327B2">
      <w:pPr>
        <w:pStyle w:val="Epgrafe"/>
        <w:spacing w:after="120"/>
        <w:jc w:val="center"/>
        <w:rPr>
          <w:rFonts w:ascii="Calibri" w:hAnsi="Calibri" w:cs="Calibri"/>
          <w:color w:val="365F91"/>
          <w:sz w:val="24"/>
          <w:lang w:val="es-GT"/>
        </w:rPr>
      </w:pPr>
      <w:bookmarkStart w:id="303" w:name="_Toc340004979"/>
      <w:bookmarkStart w:id="304" w:name="_Toc340032169"/>
      <w:bookmarkStart w:id="305" w:name="_Toc340034446"/>
      <w:bookmarkStart w:id="306" w:name="_Toc343164653"/>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307" w:name="_Toc347841207"/>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25</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Índice de ventaja comparativa para cultivos del altiplano occidental de Guatemala</w:t>
      </w:r>
      <w:bookmarkEnd w:id="303"/>
      <w:bookmarkEnd w:id="304"/>
      <w:bookmarkEnd w:id="305"/>
      <w:bookmarkEnd w:id="306"/>
      <w:bookmarkEnd w:id="307"/>
    </w:p>
    <w:p w:rsidR="00216872" w:rsidRPr="00216872" w:rsidRDefault="00216872" w:rsidP="00216872">
      <w:pPr>
        <w:rPr>
          <w:lang w:val="es-GT"/>
        </w:rPr>
      </w:pPr>
    </w:p>
    <w:p w:rsidR="008327B2" w:rsidRPr="001A01AB" w:rsidRDefault="00544A9F" w:rsidP="008327B2">
      <w:pPr>
        <w:jc w:val="center"/>
        <w:rPr>
          <w:rFonts w:ascii="Calibri" w:hAnsi="Calibri" w:cs="Calibri"/>
          <w:lang w:val="es-GT"/>
        </w:rPr>
      </w:pPr>
      <w:r>
        <w:rPr>
          <w:rFonts w:ascii="Calibri" w:hAnsi="Calibri" w:cs="Calibri"/>
          <w:noProof/>
          <w:lang w:val="es-GT" w:eastAsia="es-GT"/>
        </w:rPr>
        <w:drawing>
          <wp:inline distT="0" distB="0" distL="0" distR="0">
            <wp:extent cx="5761355" cy="1987799"/>
            <wp:effectExtent l="0" t="0" r="0" b="0"/>
            <wp:docPr id="2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0"/>
                    <pic:cNvPicPr>
                      <a:picLocks noChangeAspect="1" noChangeArrowheads="1"/>
                    </pic:cNvPicPr>
                  </pic:nvPicPr>
                  <pic:blipFill>
                    <a:blip r:embed="rId79" cstate="print">
                      <a:duotone>
                        <a:schemeClr val="accent1">
                          <a:shade val="45000"/>
                          <a:satMod val="135000"/>
                        </a:schemeClr>
                        <a:prstClr val="white"/>
                      </a:duotone>
                    </a:blip>
                    <a:srcRect l="7003" t="24800" r="3433" b="20428"/>
                    <a:stretch>
                      <a:fillRect/>
                    </a:stretch>
                  </pic:blipFill>
                  <pic:spPr bwMode="auto">
                    <a:xfrm>
                      <a:off x="0" y="0"/>
                      <a:ext cx="5761355" cy="1987550"/>
                    </a:xfrm>
                    <a:prstGeom prst="rect">
                      <a:avLst/>
                    </a:prstGeom>
                    <a:noFill/>
                    <a:ln w="9525">
                      <a:noFill/>
                      <a:miter lim="800000"/>
                      <a:headEnd/>
                      <a:tailEnd/>
                    </a:ln>
                  </pic:spPr>
                </pic:pic>
              </a:graphicData>
            </a:graphic>
          </wp:inline>
        </w:drawing>
      </w:r>
    </w:p>
    <w:p w:rsidR="004B3F83" w:rsidRPr="001A01AB" w:rsidRDefault="004B3F83" w:rsidP="004B3F83">
      <w:pPr>
        <w:autoSpaceDE w:val="0"/>
        <w:autoSpaceDN w:val="0"/>
        <w:adjustRightInd w:val="0"/>
        <w:ind w:right="146"/>
        <w:jc w:val="right"/>
        <w:rPr>
          <w:rFonts w:ascii="Calibri" w:hAnsi="Calibri" w:cs="Calibri"/>
          <w:sz w:val="28"/>
          <w:lang w:val="es-GT"/>
        </w:rPr>
      </w:pPr>
      <w:r w:rsidRPr="001A01AB">
        <w:rPr>
          <w:rFonts w:ascii="Calibri" w:hAnsi="Calibri" w:cs="Calibri"/>
          <w:bCs/>
          <w:sz w:val="20"/>
          <w:szCs w:val="18"/>
          <w:lang w:val="es-GT" w:eastAsia="es-GT"/>
        </w:rPr>
        <w:t xml:space="preserve">Fuente: </w:t>
      </w:r>
      <w:r>
        <w:rPr>
          <w:rFonts w:ascii="Calibri" w:hAnsi="Calibri" w:cs="Calibri"/>
          <w:sz w:val="20"/>
          <w:szCs w:val="18"/>
          <w:lang w:val="es-GT" w:eastAsia="es-GT"/>
        </w:rPr>
        <w:t>IARNA-</w:t>
      </w:r>
      <w:r w:rsidRPr="001A01AB">
        <w:rPr>
          <w:rFonts w:ascii="Calibri" w:hAnsi="Calibri" w:cs="Calibri"/>
          <w:sz w:val="20"/>
          <w:szCs w:val="18"/>
          <w:lang w:val="es-GT" w:eastAsia="es-GT"/>
        </w:rPr>
        <w:t xml:space="preserve">URL </w:t>
      </w:r>
      <w:r>
        <w:rPr>
          <w:rFonts w:ascii="Calibri" w:hAnsi="Calibri" w:cs="Calibri"/>
          <w:sz w:val="20"/>
          <w:szCs w:val="18"/>
          <w:lang w:val="es-GT" w:eastAsia="es-GT"/>
        </w:rPr>
        <w:t>(</w:t>
      </w:r>
      <w:r w:rsidRPr="001A01AB">
        <w:rPr>
          <w:rFonts w:ascii="Calibri" w:hAnsi="Calibri" w:cs="Calibri"/>
          <w:sz w:val="20"/>
          <w:szCs w:val="18"/>
          <w:lang w:val="es-GT" w:eastAsia="es-GT"/>
        </w:rPr>
        <w:t>2008).</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El índice de ventaja comparativa de cada producto resulta del cálculo de la diferencia entre la ventaja comparativa para exportaciones y la ventaja comparativa para importaciones. Para los productos presentados en el cuadro anterior, el índice de ventaja comparativa revelada resulta de un valor positivo para exportaciones y un valor negativo para importaciones. Estas cifras dan señales de un buen posicionamiento de la producción nacional de cada producto en el mercado internacional, así como de la satisfacción de la demanda doméstica con la producción nacional.</w:t>
      </w: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r w:rsidRPr="001A01AB">
        <w:rPr>
          <w:rFonts w:ascii="Calibri" w:hAnsi="Calibri" w:cs="Calibri"/>
          <w:lang w:val="es-GT"/>
        </w:rPr>
        <w:t>En virtud de las anteriores consideraciones, se seleccionaron los cultivos: brócoli, coliflor, zanahoria, papa, lechuga, arveja china y cebolla</w:t>
      </w:r>
      <w:r w:rsidR="004C16CC">
        <w:rPr>
          <w:rFonts w:ascii="Calibri" w:hAnsi="Calibri" w:cs="Calibri"/>
          <w:lang w:val="es-GT"/>
        </w:rPr>
        <w:t>,</w:t>
      </w:r>
      <w:r w:rsidRPr="001A01AB">
        <w:rPr>
          <w:rFonts w:ascii="Calibri" w:hAnsi="Calibri" w:cs="Calibri"/>
          <w:lang w:val="es-GT"/>
        </w:rPr>
        <w:t xml:space="preserve"> como un conjunto de productos hortícolas que, junto al cultivo de café en fincas pequeñas, pueden dar un carácter comercial a la actividad productiva del pequeño agricultor.</w:t>
      </w:r>
    </w:p>
    <w:p w:rsidR="004C16CC" w:rsidRPr="001A01AB" w:rsidRDefault="004C16CC"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La importancia del pequeño agricultor en la producción regional de estos cultivos se hace evidente a través de los datos de producción y superficie cultivada que se presentan en el Cuadro </w:t>
      </w:r>
      <w:r w:rsidR="004C16CC">
        <w:rPr>
          <w:rFonts w:ascii="Calibri" w:hAnsi="Calibri" w:cs="Calibri"/>
          <w:lang w:val="es-GT"/>
        </w:rPr>
        <w:t>2</w:t>
      </w:r>
      <w:r w:rsidR="004C77F8">
        <w:rPr>
          <w:rFonts w:ascii="Calibri" w:hAnsi="Calibri" w:cs="Calibri"/>
          <w:lang w:val="es-GT"/>
        </w:rPr>
        <w:t>6</w:t>
      </w:r>
      <w:r w:rsidRPr="001A01AB">
        <w:rPr>
          <w:rFonts w:ascii="Calibri" w:hAnsi="Calibri" w:cs="Calibri"/>
          <w:lang w:val="es-GT"/>
        </w:rPr>
        <w:t>.</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p>
    <w:p w:rsidR="004C16CC" w:rsidRPr="001A01AB" w:rsidRDefault="004C16CC"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Default="00C54ACC" w:rsidP="00216872">
      <w:pPr>
        <w:pStyle w:val="Epgrafe"/>
        <w:jc w:val="center"/>
        <w:rPr>
          <w:rFonts w:asciiTheme="minorHAnsi" w:hAnsiTheme="minorHAnsi" w:cstheme="minorHAnsi"/>
          <w:color w:val="365F91" w:themeColor="accent1" w:themeShade="BF"/>
          <w:sz w:val="22"/>
          <w:szCs w:val="22"/>
          <w:lang w:val="es-GT"/>
        </w:rPr>
      </w:pPr>
      <w:bookmarkStart w:id="308" w:name="_Toc340004980"/>
      <w:bookmarkStart w:id="309" w:name="_Toc340032170"/>
      <w:bookmarkStart w:id="310" w:name="_Toc340034447"/>
      <w:bookmarkStart w:id="311" w:name="_Toc343164654"/>
      <w:bookmarkStart w:id="312" w:name="_Toc347841208"/>
      <w:r w:rsidRPr="00216872">
        <w:rPr>
          <w:rFonts w:asciiTheme="minorHAnsi" w:hAnsiTheme="minorHAnsi" w:cstheme="minorHAnsi"/>
          <w:color w:val="365F91" w:themeColor="accent1" w:themeShade="BF"/>
          <w:sz w:val="22"/>
          <w:szCs w:val="22"/>
          <w:lang w:val="es-GT"/>
        </w:rPr>
        <w:t xml:space="preserve">Cuadro </w:t>
      </w:r>
      <w:r w:rsidRPr="00216872">
        <w:rPr>
          <w:rFonts w:asciiTheme="minorHAnsi" w:hAnsiTheme="minorHAnsi" w:cstheme="minorHAnsi"/>
          <w:color w:val="365F91" w:themeColor="accent1" w:themeShade="BF"/>
          <w:sz w:val="22"/>
          <w:szCs w:val="22"/>
          <w:lang w:val="es-GT"/>
        </w:rPr>
        <w:fldChar w:fldCharType="begin"/>
      </w:r>
      <w:r w:rsidRPr="00216872">
        <w:rPr>
          <w:rFonts w:asciiTheme="minorHAnsi" w:hAnsiTheme="minorHAnsi" w:cstheme="minorHAnsi"/>
          <w:color w:val="365F91" w:themeColor="accent1" w:themeShade="BF"/>
          <w:sz w:val="22"/>
          <w:szCs w:val="22"/>
          <w:lang w:val="es-GT"/>
        </w:rPr>
        <w:instrText xml:space="preserve"> SEQ Cuadro \* ARABIC </w:instrText>
      </w:r>
      <w:r w:rsidRPr="00216872">
        <w:rPr>
          <w:rFonts w:asciiTheme="minorHAnsi" w:hAnsiTheme="minorHAnsi" w:cstheme="minorHAnsi"/>
          <w:color w:val="365F91" w:themeColor="accent1" w:themeShade="BF"/>
          <w:sz w:val="22"/>
          <w:szCs w:val="22"/>
          <w:lang w:val="es-GT"/>
        </w:rPr>
        <w:fldChar w:fldCharType="separate"/>
      </w:r>
      <w:r w:rsidRPr="00216872">
        <w:rPr>
          <w:rFonts w:asciiTheme="minorHAnsi" w:hAnsiTheme="minorHAnsi" w:cstheme="minorHAnsi"/>
          <w:color w:val="365F91" w:themeColor="accent1" w:themeShade="BF"/>
          <w:sz w:val="22"/>
          <w:szCs w:val="22"/>
          <w:lang w:val="es-GT"/>
        </w:rPr>
        <w:t>26</w:t>
      </w:r>
      <w:r w:rsidRPr="00216872">
        <w:rPr>
          <w:rFonts w:asciiTheme="minorHAnsi" w:hAnsiTheme="minorHAnsi" w:cstheme="minorHAnsi"/>
          <w:color w:val="365F91" w:themeColor="accent1" w:themeShade="BF"/>
          <w:sz w:val="22"/>
          <w:szCs w:val="22"/>
          <w:lang w:val="es-GT"/>
        </w:rPr>
        <w:fldChar w:fldCharType="end"/>
      </w:r>
      <w:r w:rsidRPr="00216872">
        <w:rPr>
          <w:rFonts w:asciiTheme="minorHAnsi" w:hAnsiTheme="minorHAnsi" w:cstheme="minorHAnsi"/>
          <w:color w:val="365F91" w:themeColor="accent1" w:themeShade="BF"/>
          <w:sz w:val="22"/>
          <w:szCs w:val="22"/>
          <w:lang w:val="es-GT"/>
        </w:rPr>
        <w:t xml:space="preserve">. </w:t>
      </w:r>
      <w:r w:rsidR="008327B2" w:rsidRPr="00216872">
        <w:rPr>
          <w:rFonts w:asciiTheme="minorHAnsi" w:hAnsiTheme="minorHAnsi" w:cstheme="minorHAnsi"/>
          <w:color w:val="365F91" w:themeColor="accent1" w:themeShade="BF"/>
          <w:sz w:val="22"/>
          <w:szCs w:val="22"/>
          <w:lang w:val="es-GT"/>
        </w:rPr>
        <w:t>Distribución del volumen de producción y superficie cultivada para cultivos seleccionados del altiplano occidental de Guatemala</w:t>
      </w:r>
      <w:bookmarkEnd w:id="308"/>
      <w:bookmarkEnd w:id="309"/>
      <w:bookmarkEnd w:id="310"/>
      <w:bookmarkEnd w:id="311"/>
      <w:bookmarkEnd w:id="312"/>
    </w:p>
    <w:p w:rsidR="00216872" w:rsidRPr="00216872" w:rsidRDefault="00216872" w:rsidP="00216872">
      <w:pPr>
        <w:rPr>
          <w:lang w:val="es-GT"/>
        </w:rPr>
      </w:pPr>
    </w:p>
    <w:p w:rsidR="008327B2" w:rsidRPr="001A01AB" w:rsidRDefault="00544A9F" w:rsidP="008327B2">
      <w:pPr>
        <w:jc w:val="center"/>
        <w:rPr>
          <w:rFonts w:ascii="Calibri" w:hAnsi="Calibri" w:cs="Calibri"/>
          <w:lang w:val="es-GT"/>
        </w:rPr>
      </w:pPr>
      <w:r>
        <w:rPr>
          <w:rFonts w:ascii="Calibri" w:hAnsi="Calibri" w:cs="Calibri"/>
          <w:noProof/>
          <w:lang w:val="es-GT" w:eastAsia="es-GT"/>
        </w:rPr>
        <w:drawing>
          <wp:inline distT="0" distB="0" distL="0" distR="0">
            <wp:extent cx="5761355" cy="2266823"/>
            <wp:effectExtent l="0" t="0" r="0" b="635"/>
            <wp:docPr id="2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1"/>
                    <pic:cNvPicPr>
                      <a:picLocks noChangeAspect="1" noChangeArrowheads="1"/>
                    </pic:cNvPicPr>
                  </pic:nvPicPr>
                  <pic:blipFill>
                    <a:blip r:embed="rId80" cstate="print">
                      <a:duotone>
                        <a:schemeClr val="accent1">
                          <a:shade val="45000"/>
                          <a:satMod val="135000"/>
                        </a:schemeClr>
                        <a:prstClr val="white"/>
                      </a:duotone>
                    </a:blip>
                    <a:srcRect l="7003" t="23120" r="3343" b="14060"/>
                    <a:stretch>
                      <a:fillRect/>
                    </a:stretch>
                  </pic:blipFill>
                  <pic:spPr bwMode="auto">
                    <a:xfrm>
                      <a:off x="0" y="0"/>
                      <a:ext cx="5761355" cy="2266315"/>
                    </a:xfrm>
                    <a:prstGeom prst="rect">
                      <a:avLst/>
                    </a:prstGeom>
                    <a:noFill/>
                    <a:ln w="9525">
                      <a:noFill/>
                      <a:miter lim="800000"/>
                      <a:headEnd/>
                      <a:tailEnd/>
                    </a:ln>
                  </pic:spPr>
                </pic:pic>
              </a:graphicData>
            </a:graphic>
          </wp:inline>
        </w:drawing>
      </w:r>
    </w:p>
    <w:p w:rsidR="004B3F83" w:rsidRPr="001A01AB" w:rsidRDefault="004B3F83" w:rsidP="004B3F83">
      <w:pPr>
        <w:autoSpaceDE w:val="0"/>
        <w:autoSpaceDN w:val="0"/>
        <w:adjustRightInd w:val="0"/>
        <w:ind w:right="146"/>
        <w:jc w:val="right"/>
        <w:rPr>
          <w:rFonts w:ascii="Calibri" w:hAnsi="Calibri" w:cs="Calibri"/>
          <w:sz w:val="28"/>
          <w:lang w:val="es-GT"/>
        </w:rPr>
      </w:pPr>
      <w:r w:rsidRPr="001A01AB">
        <w:rPr>
          <w:rFonts w:ascii="Calibri" w:hAnsi="Calibri" w:cs="Calibri"/>
          <w:bCs/>
          <w:sz w:val="20"/>
          <w:szCs w:val="18"/>
          <w:lang w:val="es-GT" w:eastAsia="es-GT"/>
        </w:rPr>
        <w:t xml:space="preserve">Fuente: </w:t>
      </w:r>
      <w:r>
        <w:rPr>
          <w:rFonts w:ascii="Calibri" w:hAnsi="Calibri" w:cs="Calibri"/>
          <w:sz w:val="20"/>
          <w:szCs w:val="18"/>
          <w:lang w:val="es-GT" w:eastAsia="es-GT"/>
        </w:rPr>
        <w:t>IARNA-</w:t>
      </w:r>
      <w:r w:rsidRPr="001A01AB">
        <w:rPr>
          <w:rFonts w:ascii="Calibri" w:hAnsi="Calibri" w:cs="Calibri"/>
          <w:sz w:val="20"/>
          <w:szCs w:val="18"/>
          <w:lang w:val="es-GT" w:eastAsia="es-GT"/>
        </w:rPr>
        <w:t xml:space="preserve">URL </w:t>
      </w:r>
      <w:r>
        <w:rPr>
          <w:rFonts w:ascii="Calibri" w:hAnsi="Calibri" w:cs="Calibri"/>
          <w:sz w:val="20"/>
          <w:szCs w:val="18"/>
          <w:lang w:val="es-GT" w:eastAsia="es-GT"/>
        </w:rPr>
        <w:t>(</w:t>
      </w:r>
      <w:r w:rsidRPr="001A01AB">
        <w:rPr>
          <w:rFonts w:ascii="Calibri" w:hAnsi="Calibri" w:cs="Calibri"/>
          <w:sz w:val="20"/>
          <w:szCs w:val="18"/>
          <w:lang w:val="es-GT" w:eastAsia="es-GT"/>
        </w:rPr>
        <w:t>2008).</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En función de los requerimientos agronómicos de cada uno de estos cultivos en términos de elevación, temperatura, precipitación pluvial, textura del suelo, drenaje, pendiente y profundidad del suelo, mediante un proceso de análisis espacial, se determinaron las áreas que, dentro de la región del altiplano, son aptas para el crecimiento de estos cultivos (Figura </w:t>
      </w:r>
      <w:r w:rsidR="004C16CC">
        <w:rPr>
          <w:rFonts w:ascii="Calibri" w:hAnsi="Calibri" w:cs="Calibri"/>
          <w:lang w:val="es-GT"/>
        </w:rPr>
        <w:t>34</w:t>
      </w:r>
      <w:r w:rsidRPr="001A01AB">
        <w:rPr>
          <w:rFonts w:ascii="Calibri" w:hAnsi="Calibri" w:cs="Calibri"/>
          <w:lang w:val="es-GT"/>
        </w:rPr>
        <w:t>).</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016E8A" w:rsidRPr="001A01AB" w:rsidRDefault="00016E8A"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p>
    <w:p w:rsidR="004B3F83" w:rsidRPr="001A01AB" w:rsidRDefault="004B3F83" w:rsidP="008327B2">
      <w:pPr>
        <w:jc w:val="both"/>
        <w:rPr>
          <w:rFonts w:ascii="Calibri" w:hAnsi="Calibri" w:cs="Calibri"/>
          <w:lang w:val="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313" w:name="_Toc340005087"/>
      <w:bookmarkStart w:id="314" w:name="_Toc340034502"/>
      <w:bookmarkStart w:id="315" w:name="_Toc343098416"/>
      <w:bookmarkStart w:id="316" w:name="_Toc343098524"/>
      <w:bookmarkStart w:id="317" w:name="_Toc347841257"/>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34</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Áreas con potencial</w:t>
      </w:r>
      <w:r w:rsidR="004C16CC" w:rsidRPr="00224B57">
        <w:rPr>
          <w:rFonts w:ascii="Calibri" w:eastAsia="Calibri" w:hAnsi="Calibri" w:cs="Calibri"/>
          <w:b/>
          <w:color w:val="365F91"/>
          <w:sz w:val="22"/>
          <w:szCs w:val="22"/>
          <w:lang w:val="es-GT"/>
        </w:rPr>
        <w:t xml:space="preserve"> de producción hortícola en el a</w:t>
      </w:r>
      <w:r w:rsidRPr="00224B57">
        <w:rPr>
          <w:rFonts w:ascii="Calibri" w:eastAsia="Calibri" w:hAnsi="Calibri" w:cs="Calibri"/>
          <w:b/>
          <w:color w:val="365F91"/>
          <w:sz w:val="22"/>
          <w:szCs w:val="22"/>
          <w:lang w:val="es-GT"/>
        </w:rPr>
        <w:t>ltiplano de Guatemala</w:t>
      </w:r>
      <w:bookmarkEnd w:id="313"/>
      <w:bookmarkEnd w:id="314"/>
      <w:bookmarkEnd w:id="315"/>
      <w:bookmarkEnd w:id="316"/>
      <w:bookmarkEnd w:id="317"/>
    </w:p>
    <w:p w:rsidR="008327B2" w:rsidRPr="001A01AB" w:rsidRDefault="00544A9F" w:rsidP="008327B2">
      <w:pPr>
        <w:jc w:val="center"/>
        <w:rPr>
          <w:rFonts w:ascii="Calibri" w:hAnsi="Calibri" w:cs="Calibri"/>
          <w:lang w:val="es-GT"/>
        </w:rPr>
      </w:pPr>
      <w:r>
        <w:rPr>
          <w:rFonts w:ascii="Calibri" w:hAnsi="Calibri" w:cs="Calibri"/>
          <w:noProof/>
          <w:lang w:val="es-GT" w:eastAsia="es-GT"/>
        </w:rPr>
        <w:drawing>
          <wp:inline distT="0" distB="0" distL="0" distR="0">
            <wp:extent cx="5762625" cy="7696200"/>
            <wp:effectExtent l="0" t="0" r="9525" b="0"/>
            <wp:docPr id="24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1">
                      <a:extLst>
                        <a:ext uri="{28A0092B-C50C-407E-A947-70E740481C1C}">
                          <a14:useLocalDpi xmlns:a14="http://schemas.microsoft.com/office/drawing/2010/main" val="0"/>
                        </a:ext>
                      </a:extLst>
                    </a:blip>
                    <a:srcRect l="7628" t="6201" r="2820" b="455"/>
                    <a:stretch>
                      <a:fillRect/>
                    </a:stretch>
                  </pic:blipFill>
                  <pic:spPr bwMode="auto">
                    <a:xfrm>
                      <a:off x="0" y="0"/>
                      <a:ext cx="5762625" cy="7696200"/>
                    </a:xfrm>
                    <a:prstGeom prst="rect">
                      <a:avLst/>
                    </a:prstGeom>
                    <a:noFill/>
                    <a:ln>
                      <a:noFill/>
                    </a:ln>
                  </pic:spPr>
                </pic:pic>
              </a:graphicData>
            </a:graphic>
          </wp:inline>
        </w:drawing>
      </w:r>
    </w:p>
    <w:p w:rsidR="004B3F83" w:rsidRPr="001A01AB" w:rsidRDefault="004B3F83" w:rsidP="004B3F83">
      <w:pPr>
        <w:autoSpaceDE w:val="0"/>
        <w:autoSpaceDN w:val="0"/>
        <w:adjustRightInd w:val="0"/>
        <w:ind w:right="146"/>
        <w:jc w:val="right"/>
        <w:rPr>
          <w:rFonts w:ascii="Calibri" w:hAnsi="Calibri" w:cs="Calibri"/>
          <w:sz w:val="28"/>
          <w:lang w:val="es-GT"/>
        </w:rPr>
      </w:pPr>
      <w:r w:rsidRPr="001A01AB">
        <w:rPr>
          <w:rFonts w:ascii="Calibri" w:hAnsi="Calibri" w:cs="Calibri"/>
          <w:bCs/>
          <w:sz w:val="20"/>
          <w:szCs w:val="18"/>
          <w:lang w:val="es-GT" w:eastAsia="es-GT"/>
        </w:rPr>
        <w:t xml:space="preserve">Fuente: </w:t>
      </w:r>
      <w:r>
        <w:rPr>
          <w:rFonts w:ascii="Calibri" w:hAnsi="Calibri" w:cs="Calibri"/>
          <w:sz w:val="20"/>
          <w:szCs w:val="18"/>
          <w:lang w:val="es-GT" w:eastAsia="es-GT"/>
        </w:rPr>
        <w:t>IARNA-</w:t>
      </w:r>
      <w:r w:rsidRPr="001A01AB">
        <w:rPr>
          <w:rFonts w:ascii="Calibri" w:hAnsi="Calibri" w:cs="Calibri"/>
          <w:sz w:val="20"/>
          <w:szCs w:val="18"/>
          <w:lang w:val="es-GT" w:eastAsia="es-GT"/>
        </w:rPr>
        <w:t xml:space="preserve">URL </w:t>
      </w:r>
      <w:r>
        <w:rPr>
          <w:rFonts w:ascii="Calibri" w:hAnsi="Calibri" w:cs="Calibri"/>
          <w:sz w:val="20"/>
          <w:szCs w:val="18"/>
          <w:lang w:val="es-GT" w:eastAsia="es-GT"/>
        </w:rPr>
        <w:t>(</w:t>
      </w:r>
      <w:r w:rsidRPr="001A01AB">
        <w:rPr>
          <w:rFonts w:ascii="Calibri" w:hAnsi="Calibri" w:cs="Calibri"/>
          <w:sz w:val="20"/>
          <w:szCs w:val="18"/>
          <w:lang w:val="es-GT" w:eastAsia="es-GT"/>
        </w:rPr>
        <w:t>2008).</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Los resultados del anterior análisis representan el punto de partida para la identificación preliminar de áreas cuya vialidad debe </w:t>
      </w:r>
      <w:r w:rsidR="005D1453">
        <w:rPr>
          <w:rFonts w:ascii="Calibri" w:hAnsi="Calibri" w:cs="Calibri"/>
          <w:lang w:val="es-GT"/>
        </w:rPr>
        <w:t xml:space="preserve">ser mejorada. Previo ello, </w:t>
      </w:r>
      <w:r w:rsidRPr="001A01AB">
        <w:rPr>
          <w:rFonts w:ascii="Calibri" w:hAnsi="Calibri" w:cs="Calibri"/>
          <w:lang w:val="es-GT"/>
        </w:rPr>
        <w:t xml:space="preserve">se sustrajo </w:t>
      </w:r>
      <w:r w:rsidR="005D1453" w:rsidRPr="001A01AB">
        <w:rPr>
          <w:rFonts w:ascii="Calibri" w:hAnsi="Calibri" w:cs="Calibri"/>
          <w:lang w:val="es-GT"/>
        </w:rPr>
        <w:t>la cobertura forestal actual y el área ocupada por los poblados en las zonas con potencial para la producción hortícola</w:t>
      </w:r>
      <w:r w:rsidRPr="001A01AB">
        <w:rPr>
          <w:rFonts w:ascii="Calibri" w:hAnsi="Calibri" w:cs="Calibri"/>
          <w:lang w:val="es-GT"/>
        </w:rPr>
        <w:t xml:space="preserve">. Adicionalmente, se </w:t>
      </w:r>
      <w:r w:rsidR="005D1453">
        <w:rPr>
          <w:rFonts w:ascii="Calibri" w:hAnsi="Calibri" w:cs="Calibri"/>
          <w:lang w:val="es-GT"/>
        </w:rPr>
        <w:t>priorizaron</w:t>
      </w:r>
      <w:r w:rsidRPr="001A01AB">
        <w:rPr>
          <w:rFonts w:ascii="Calibri" w:hAnsi="Calibri" w:cs="Calibri"/>
          <w:lang w:val="es-GT"/>
        </w:rPr>
        <w:t xml:space="preserve"> aquellos municipios en los que el patrón de tenencia de la tierra es homogéneo y en donde se reportan importantes volúmenes de producción hortícola por parte de pequeños productores. El indicador utilizado para definir la equidad en la distribución de la tierra fue el </w:t>
      </w:r>
      <w:r w:rsidRPr="001A01AB">
        <w:rPr>
          <w:rFonts w:ascii="Calibri" w:hAnsi="Calibri" w:cs="Calibri"/>
          <w:i/>
          <w:iCs/>
          <w:lang w:val="es-GT"/>
        </w:rPr>
        <w:t xml:space="preserve">coeficiente de Gini </w:t>
      </w:r>
      <w:r w:rsidRPr="001A01AB">
        <w:rPr>
          <w:rFonts w:ascii="Calibri" w:hAnsi="Calibri" w:cs="Calibri"/>
          <w:lang w:val="es-GT"/>
        </w:rPr>
        <w:t xml:space="preserve">para todas las fincas de la región, de acuerdo con el </w:t>
      </w:r>
      <w:r w:rsidRPr="001A01AB">
        <w:rPr>
          <w:rFonts w:ascii="Calibri" w:hAnsi="Calibri" w:cs="Calibri"/>
          <w:i/>
          <w:iCs/>
          <w:lang w:val="es-GT"/>
        </w:rPr>
        <w:t xml:space="preserve">Informe Nacional de Desarrollo Humano </w:t>
      </w:r>
      <w:r w:rsidRPr="00AC507E">
        <w:rPr>
          <w:rFonts w:ascii="Calibri" w:hAnsi="Calibri" w:cs="Calibri"/>
          <w:i/>
          <w:iCs/>
          <w:lang w:val="es-GT"/>
        </w:rPr>
        <w:t xml:space="preserve">2005 </w:t>
      </w:r>
      <w:r w:rsidRPr="00AC507E">
        <w:rPr>
          <w:rFonts w:ascii="Calibri" w:hAnsi="Calibri" w:cs="Calibri"/>
          <w:lang w:val="es-GT"/>
        </w:rPr>
        <w:t>(PNUD, 2005).</w:t>
      </w:r>
      <w:r w:rsidR="005D1453">
        <w:rPr>
          <w:rFonts w:ascii="Calibri" w:hAnsi="Calibri" w:cs="Calibri"/>
          <w:lang w:val="es-GT"/>
        </w:rPr>
        <w:t xml:space="preserve"> </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Como resultado del contraste entre los factores anteriores y la red vial del país, se identificaron las áreas propuestas para destinar inversión p</w:t>
      </w:r>
      <w:r w:rsidR="005D1453">
        <w:rPr>
          <w:rFonts w:ascii="Calibri" w:hAnsi="Calibri" w:cs="Calibri"/>
          <w:lang w:val="es-GT"/>
        </w:rPr>
        <w:t xml:space="preserve">ública en infraestructura vial, las cuales </w:t>
      </w:r>
      <w:r w:rsidRPr="001A01AB">
        <w:rPr>
          <w:rFonts w:ascii="Calibri" w:hAnsi="Calibri" w:cs="Calibri"/>
          <w:lang w:val="es-GT"/>
        </w:rPr>
        <w:t xml:space="preserve">fueron sometidas a un proceso de consultas realizadas con actores de la región involucrados en iniciativas de producción agrícola, identificando rutas cuya mejora debe de ser objeto de atención prioritaria en los planes de inversión pública. Las rutas priorizadas atraviesan 55 municipios de la región del altiplano y su atención, en conjunto, representa una inversión que supera los mil millones de quetzales. </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La </w:t>
      </w:r>
      <w:r w:rsidR="005D1453">
        <w:rPr>
          <w:rFonts w:ascii="Calibri" w:hAnsi="Calibri" w:cs="Calibri"/>
          <w:lang w:val="es-GT"/>
        </w:rPr>
        <w:t>F</w:t>
      </w:r>
      <w:r w:rsidRPr="001A01AB">
        <w:rPr>
          <w:rFonts w:ascii="Calibri" w:hAnsi="Calibri" w:cs="Calibri"/>
          <w:lang w:val="es-GT"/>
        </w:rPr>
        <w:t xml:space="preserve">igura </w:t>
      </w:r>
      <w:r w:rsidR="005D1453">
        <w:rPr>
          <w:rFonts w:ascii="Calibri" w:hAnsi="Calibri" w:cs="Calibri"/>
          <w:lang w:val="es-GT"/>
        </w:rPr>
        <w:t xml:space="preserve">35 </w:t>
      </w:r>
      <w:r w:rsidRPr="001A01AB">
        <w:rPr>
          <w:rFonts w:ascii="Calibri" w:hAnsi="Calibri" w:cs="Calibri"/>
          <w:lang w:val="es-GT"/>
        </w:rPr>
        <w:t>muestra la ubicación geográfica de las áreas con potencial, así como los tramos viales prioritarios identificados.</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p>
    <w:p w:rsidR="004B3F83" w:rsidRPr="001A01AB" w:rsidRDefault="004B3F83"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p>
    <w:p w:rsidR="005D1453" w:rsidRPr="001A01AB" w:rsidRDefault="005D1453"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318" w:name="_Toc340005088"/>
      <w:bookmarkStart w:id="319" w:name="_Toc340034503"/>
      <w:bookmarkStart w:id="320" w:name="_Toc343098417"/>
      <w:bookmarkStart w:id="321" w:name="_Toc343098525"/>
      <w:bookmarkStart w:id="322" w:name="_Toc347841258"/>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35</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Áreas y tramos propuestos para inversión</w:t>
      </w:r>
      <w:r w:rsidR="005D1453" w:rsidRPr="00224B57">
        <w:rPr>
          <w:rFonts w:ascii="Calibri" w:eastAsia="Calibri" w:hAnsi="Calibri" w:cs="Calibri"/>
          <w:b/>
          <w:color w:val="365F91"/>
          <w:sz w:val="22"/>
          <w:szCs w:val="22"/>
          <w:lang w:val="es-GT"/>
        </w:rPr>
        <w:t xml:space="preserve"> en infraestructura vial en el a</w:t>
      </w:r>
      <w:r w:rsidRPr="00224B57">
        <w:rPr>
          <w:rFonts w:ascii="Calibri" w:eastAsia="Calibri" w:hAnsi="Calibri" w:cs="Calibri"/>
          <w:b/>
          <w:color w:val="365F91"/>
          <w:sz w:val="22"/>
          <w:szCs w:val="22"/>
          <w:lang w:val="es-GT"/>
        </w:rPr>
        <w:t>ltiplano de Guatemala</w:t>
      </w:r>
      <w:bookmarkEnd w:id="318"/>
      <w:bookmarkEnd w:id="319"/>
      <w:bookmarkEnd w:id="320"/>
      <w:bookmarkEnd w:id="321"/>
      <w:bookmarkEnd w:id="322"/>
    </w:p>
    <w:p w:rsidR="008327B2" w:rsidRPr="001A01AB" w:rsidRDefault="00544A9F" w:rsidP="008327B2">
      <w:pPr>
        <w:jc w:val="center"/>
        <w:rPr>
          <w:rFonts w:ascii="Calibri" w:hAnsi="Calibri" w:cs="Calibri"/>
          <w:lang w:val="es-GT"/>
        </w:rPr>
      </w:pPr>
      <w:r>
        <w:rPr>
          <w:rFonts w:ascii="Calibri" w:hAnsi="Calibri" w:cs="Calibri"/>
          <w:noProof/>
          <w:lang w:val="es-GT" w:eastAsia="es-GT"/>
        </w:rPr>
        <w:drawing>
          <wp:inline distT="0" distB="0" distL="0" distR="0">
            <wp:extent cx="5762625" cy="7124700"/>
            <wp:effectExtent l="0" t="0" r="9525" b="0"/>
            <wp:docPr id="244"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2">
                      <a:extLst>
                        <a:ext uri="{28A0092B-C50C-407E-A947-70E740481C1C}">
                          <a14:useLocalDpi xmlns:a14="http://schemas.microsoft.com/office/drawing/2010/main" val="0"/>
                        </a:ext>
                      </a:extLst>
                    </a:blip>
                    <a:srcRect b="7310"/>
                    <a:stretch>
                      <a:fillRect/>
                    </a:stretch>
                  </pic:blipFill>
                  <pic:spPr bwMode="auto">
                    <a:xfrm>
                      <a:off x="0" y="0"/>
                      <a:ext cx="5762625" cy="7124700"/>
                    </a:xfrm>
                    <a:prstGeom prst="rect">
                      <a:avLst/>
                    </a:prstGeom>
                    <a:noFill/>
                    <a:ln>
                      <a:noFill/>
                    </a:ln>
                  </pic:spPr>
                </pic:pic>
              </a:graphicData>
            </a:graphic>
          </wp:inline>
        </w:drawing>
      </w:r>
    </w:p>
    <w:p w:rsidR="004B3F83" w:rsidRPr="001A01AB" w:rsidRDefault="004B3F83" w:rsidP="004B3F83">
      <w:pPr>
        <w:autoSpaceDE w:val="0"/>
        <w:autoSpaceDN w:val="0"/>
        <w:adjustRightInd w:val="0"/>
        <w:ind w:right="146"/>
        <w:jc w:val="right"/>
        <w:rPr>
          <w:rFonts w:ascii="Calibri" w:hAnsi="Calibri" w:cs="Calibri"/>
          <w:sz w:val="28"/>
          <w:lang w:val="es-GT"/>
        </w:rPr>
      </w:pPr>
      <w:r w:rsidRPr="001A01AB">
        <w:rPr>
          <w:rFonts w:ascii="Calibri" w:hAnsi="Calibri" w:cs="Calibri"/>
          <w:bCs/>
          <w:sz w:val="20"/>
          <w:szCs w:val="18"/>
          <w:lang w:val="es-GT" w:eastAsia="es-GT"/>
        </w:rPr>
        <w:t xml:space="preserve">Fuente: </w:t>
      </w:r>
      <w:r>
        <w:rPr>
          <w:rFonts w:ascii="Calibri" w:hAnsi="Calibri" w:cs="Calibri"/>
          <w:sz w:val="20"/>
          <w:szCs w:val="18"/>
          <w:lang w:val="es-GT" w:eastAsia="es-GT"/>
        </w:rPr>
        <w:t>IARNA-</w:t>
      </w:r>
      <w:r w:rsidRPr="001A01AB">
        <w:rPr>
          <w:rFonts w:ascii="Calibri" w:hAnsi="Calibri" w:cs="Calibri"/>
          <w:sz w:val="20"/>
          <w:szCs w:val="18"/>
          <w:lang w:val="es-GT" w:eastAsia="es-GT"/>
        </w:rPr>
        <w:t xml:space="preserve">URL </w:t>
      </w:r>
      <w:r>
        <w:rPr>
          <w:rFonts w:ascii="Calibri" w:hAnsi="Calibri" w:cs="Calibri"/>
          <w:sz w:val="20"/>
          <w:szCs w:val="18"/>
          <w:lang w:val="es-GT" w:eastAsia="es-GT"/>
        </w:rPr>
        <w:t>(</w:t>
      </w:r>
      <w:r w:rsidRPr="001A01AB">
        <w:rPr>
          <w:rFonts w:ascii="Calibri" w:hAnsi="Calibri" w:cs="Calibri"/>
          <w:sz w:val="20"/>
          <w:szCs w:val="18"/>
          <w:lang w:val="es-GT" w:eastAsia="es-GT"/>
        </w:rPr>
        <w:t>2008).</w:t>
      </w:r>
    </w:p>
    <w:p w:rsidR="008327B2" w:rsidRDefault="008327B2" w:rsidP="008327B2">
      <w:pPr>
        <w:jc w:val="both"/>
        <w:rPr>
          <w:rFonts w:ascii="Calibri" w:hAnsi="Calibri" w:cs="Calibri"/>
          <w:lang w:val="es-GT"/>
        </w:rPr>
      </w:pPr>
    </w:p>
    <w:p w:rsidR="004B3F83" w:rsidRDefault="004B3F83" w:rsidP="008327B2">
      <w:pPr>
        <w:jc w:val="both"/>
        <w:rPr>
          <w:rFonts w:ascii="Calibri" w:hAnsi="Calibri" w:cs="Calibri"/>
          <w:lang w:val="es-GT"/>
        </w:rPr>
      </w:pPr>
    </w:p>
    <w:p w:rsidR="004B3F83" w:rsidRPr="001A01AB" w:rsidRDefault="004B3F83" w:rsidP="008327B2">
      <w:pPr>
        <w:jc w:val="both"/>
        <w:rPr>
          <w:rFonts w:ascii="Calibri" w:hAnsi="Calibri" w:cs="Calibri"/>
          <w:lang w:val="es-GT"/>
        </w:rPr>
      </w:pPr>
    </w:p>
    <w:p w:rsidR="008327B2" w:rsidRPr="001A01AB" w:rsidRDefault="008327B2" w:rsidP="008327B2">
      <w:pPr>
        <w:jc w:val="both"/>
        <w:rPr>
          <w:rFonts w:ascii="Calibri" w:hAnsi="Calibri" w:cs="Calibri"/>
          <w:b/>
          <w:color w:val="365F91"/>
          <w:lang w:val="es-GT"/>
        </w:rPr>
      </w:pPr>
      <w:r w:rsidRPr="001A01AB">
        <w:rPr>
          <w:rFonts w:ascii="Calibri" w:hAnsi="Calibri" w:cs="Calibri"/>
          <w:b/>
          <w:color w:val="365F91"/>
          <w:lang w:val="es-GT"/>
        </w:rPr>
        <w:lastRenderedPageBreak/>
        <w:t>Impactos esperados</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Las zonas prioritarias para la inversión en infraestructura vial fueron definidas en función de su potencial para ser escenarios de crecimiento agrícola acelerado. Estas zonas comprenden 55 municipios de la región, en donde se espera que la inversión que demanda el mejoramiento de la vialidad en esas áreas tenga como retorno en el mediano plazo, el desencadenamiento de procesos de interacción entre sectores económicos de los cuales, el crecimiento agrícola sería el detonante principal.</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Como ha sido planteado con anterioridad, el impulso </w:t>
      </w:r>
      <w:r w:rsidR="001E31FA">
        <w:rPr>
          <w:rFonts w:ascii="Calibri" w:hAnsi="Calibri" w:cs="Calibri"/>
          <w:lang w:val="es-GT"/>
        </w:rPr>
        <w:t>del</w:t>
      </w:r>
      <w:r w:rsidRPr="001A01AB">
        <w:rPr>
          <w:rFonts w:ascii="Calibri" w:hAnsi="Calibri" w:cs="Calibri"/>
          <w:lang w:val="es-GT"/>
        </w:rPr>
        <w:t xml:space="preserve"> crecimiento agrícola no es una función exclusiva de la condición de las carreteras. Es menester contar con la inversión necesaria para asegurar al empresario agrícola el acceso a los otros servicios de apoyo necesarios para que su actividad productiva pueda ser desempeñada de acuerdo a estándares internacionales.</w:t>
      </w:r>
    </w:p>
    <w:p w:rsidR="008327B2" w:rsidRPr="001A01AB" w:rsidRDefault="008327B2" w:rsidP="008327B2">
      <w:pPr>
        <w:jc w:val="both"/>
        <w:rPr>
          <w:rFonts w:ascii="Calibri" w:hAnsi="Calibri" w:cs="Calibri"/>
          <w:lang w:val="es-GT"/>
        </w:rPr>
      </w:pPr>
    </w:p>
    <w:p w:rsidR="008327B2" w:rsidRPr="001A01AB" w:rsidRDefault="003C6768" w:rsidP="008327B2">
      <w:pPr>
        <w:jc w:val="both"/>
        <w:rPr>
          <w:rFonts w:ascii="Calibri" w:hAnsi="Calibri" w:cs="Calibri"/>
          <w:lang w:val="es-GT"/>
        </w:rPr>
      </w:pPr>
      <w:r>
        <w:rPr>
          <w:rFonts w:ascii="Calibri" w:hAnsi="Calibri" w:cs="Calibri"/>
          <w:lang w:val="es-GT"/>
        </w:rPr>
        <w:t>E</w:t>
      </w:r>
      <w:r w:rsidR="008327B2" w:rsidRPr="001A01AB">
        <w:rPr>
          <w:rFonts w:ascii="Calibri" w:hAnsi="Calibri" w:cs="Calibri"/>
          <w:lang w:val="es-GT"/>
        </w:rPr>
        <w:t xml:space="preserve">l análisis de los posibles impactos de la inversión pública en infraestructura vial debe partir del supuesto </w:t>
      </w:r>
      <w:r w:rsidR="001E31FA">
        <w:rPr>
          <w:rFonts w:ascii="Calibri" w:hAnsi="Calibri" w:cs="Calibri"/>
          <w:lang w:val="es-GT"/>
        </w:rPr>
        <w:t xml:space="preserve">de </w:t>
      </w:r>
      <w:r w:rsidR="008327B2" w:rsidRPr="001A01AB">
        <w:rPr>
          <w:rFonts w:ascii="Calibri" w:hAnsi="Calibri" w:cs="Calibri"/>
          <w:lang w:val="es-GT"/>
        </w:rPr>
        <w:t>que ello es tan sólo un</w:t>
      </w:r>
      <w:r>
        <w:rPr>
          <w:rFonts w:ascii="Calibri" w:hAnsi="Calibri" w:cs="Calibri"/>
          <w:lang w:val="es-GT"/>
        </w:rPr>
        <w:t>o de los</w:t>
      </w:r>
      <w:r w:rsidR="008327B2" w:rsidRPr="001A01AB">
        <w:rPr>
          <w:rFonts w:ascii="Calibri" w:hAnsi="Calibri" w:cs="Calibri"/>
          <w:lang w:val="es-GT"/>
        </w:rPr>
        <w:t xml:space="preserve"> elemento</w:t>
      </w:r>
      <w:r>
        <w:rPr>
          <w:rFonts w:ascii="Calibri" w:hAnsi="Calibri" w:cs="Calibri"/>
          <w:lang w:val="es-GT"/>
        </w:rPr>
        <w:t>s</w:t>
      </w:r>
      <w:r w:rsidR="008327B2" w:rsidRPr="001A01AB">
        <w:rPr>
          <w:rFonts w:ascii="Calibri" w:hAnsi="Calibri" w:cs="Calibri"/>
          <w:lang w:val="es-GT"/>
        </w:rPr>
        <w:t xml:space="preserve"> </w:t>
      </w:r>
      <w:r>
        <w:rPr>
          <w:rFonts w:ascii="Calibri" w:hAnsi="Calibri" w:cs="Calibri"/>
          <w:lang w:val="es-GT"/>
        </w:rPr>
        <w:t>que forman parte de</w:t>
      </w:r>
      <w:r w:rsidR="008327B2" w:rsidRPr="001A01AB">
        <w:rPr>
          <w:rFonts w:ascii="Calibri" w:hAnsi="Calibri" w:cs="Calibri"/>
          <w:lang w:val="es-GT"/>
        </w:rPr>
        <w:t xml:space="preserve"> una estrategia integral de apoyo a la competitividad de la agricultura del altiplano.</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b/>
          <w:bCs/>
          <w:color w:val="365F91"/>
          <w:lang w:val="es-GT"/>
        </w:rPr>
      </w:pPr>
      <w:r w:rsidRPr="001A01AB">
        <w:rPr>
          <w:rFonts w:ascii="Calibri" w:hAnsi="Calibri" w:cs="Calibri"/>
          <w:b/>
          <w:bCs/>
          <w:color w:val="365F91"/>
          <w:lang w:val="es-GT"/>
        </w:rPr>
        <w:t>Impulso a inversiones productivas</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La economía nacional percibe cada vez con mayor intensidad el influjo de tratados comerciales con otras zonas del mundo y, en general, de un escenario económico internacional con acrecentada relación comercial entre países. En tal contexto, los precios de los productos son cada vez menos dependientes de dinámicas económicas locales y los precios internacionales tienden a prevalecer. Con ello, las regiones que puedan bajar sus costos de producción y transacción tendrán más posibilidad de sobrevivir en un mercado cada vez más competitivo.</w:t>
      </w:r>
      <w:r w:rsidR="003C6768">
        <w:rPr>
          <w:rFonts w:ascii="Calibri" w:hAnsi="Calibri" w:cs="Calibri"/>
          <w:lang w:val="es-GT"/>
        </w:rPr>
        <w:t xml:space="preserve"> </w:t>
      </w:r>
      <w:r w:rsidRPr="001A01AB">
        <w:rPr>
          <w:rFonts w:ascii="Calibri" w:hAnsi="Calibri" w:cs="Calibri"/>
          <w:lang w:val="es-GT"/>
        </w:rPr>
        <w:t>Los costos de operación y transacción asociados al transporte de insumos y productos se cuentan dentro de los obstáculos más importantes a superar en regiones que, como el altiplano, no han figurado en la lista de prioridades para la inversión pública en infraestructura vial.</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A pesar de que las condiciones no han sido del todo propicias para la inversión en la región, se pueden identificar iniciativas productivas interesantes que merece la pena complementar con inversiones que mejoren la vialidad de la región. La inversión en producción agrícola ha sido principalmente un esfuerzo de pequeños productores que, en el mejor de los casos, han constituido cooperativas o empresas campesinas para mejorar su acceso a mercados, financiamiento y otros servicios. Este ha sido el caso particular de la producción hortícola.</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Las inversiones </w:t>
      </w:r>
      <w:r w:rsidR="00804765" w:rsidRPr="001A01AB">
        <w:rPr>
          <w:rFonts w:ascii="Calibri" w:hAnsi="Calibri" w:cs="Calibri"/>
          <w:lang w:val="es-GT"/>
        </w:rPr>
        <w:t>del Estado a través del Programa de</w:t>
      </w:r>
      <w:r w:rsidR="00804765">
        <w:rPr>
          <w:rFonts w:ascii="Calibri" w:hAnsi="Calibri" w:cs="Calibri"/>
          <w:lang w:val="es-GT"/>
        </w:rPr>
        <w:t xml:space="preserve"> Incentivos Forestales (PINFOR) para</w:t>
      </w:r>
      <w:r w:rsidRPr="001A01AB">
        <w:rPr>
          <w:rFonts w:ascii="Calibri" w:hAnsi="Calibri" w:cs="Calibri"/>
          <w:lang w:val="es-GT"/>
        </w:rPr>
        <w:t xml:space="preserve"> el establecimiento de plantaciones forestales con fines comerciales también son dignas de mención</w:t>
      </w:r>
      <w:r w:rsidR="00804765">
        <w:rPr>
          <w:rFonts w:ascii="Calibri" w:hAnsi="Calibri" w:cs="Calibri"/>
          <w:lang w:val="es-GT"/>
        </w:rPr>
        <w:t xml:space="preserve"> en este análisis</w:t>
      </w:r>
      <w:r w:rsidRPr="001A01AB">
        <w:rPr>
          <w:rFonts w:ascii="Calibri" w:hAnsi="Calibri" w:cs="Calibri"/>
          <w:lang w:val="es-GT"/>
        </w:rPr>
        <w:t xml:space="preserve">. Uno de los objetivos del PINFOR es “generar una masa crítica de bosques productores de materia prima para el desarrollo de la industria forestal” </w:t>
      </w:r>
      <w:r w:rsidRPr="00AC507E">
        <w:rPr>
          <w:rFonts w:ascii="Calibri" w:hAnsi="Calibri" w:cs="Calibri"/>
          <w:highlight w:val="magenta"/>
          <w:lang w:val="es-GT"/>
        </w:rPr>
        <w:t>(INAB, 2004).</w:t>
      </w:r>
      <w:r w:rsidRPr="001A01AB">
        <w:rPr>
          <w:rFonts w:ascii="Calibri" w:hAnsi="Calibri" w:cs="Calibri"/>
          <w:lang w:val="es-GT"/>
        </w:rPr>
        <w:t xml:space="preserve"> El cumplimiento de este objetivo se verá impulsado si se mejoran las rutas en las áreas que han sido objeto de inversión en activos forestales por parte del Estado.</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lastRenderedPageBreak/>
        <w:t>En 33 de los 55 municipios seleccionados, al menos el 75% de las áreas de producción hortícola corresponde pequeños productores. Esta condición impulsa la ocurrencia de efectos directos e indirectos de la actividad agrícola en la generación de empleo local (efecto Mehlor).</w:t>
      </w:r>
    </w:p>
    <w:p w:rsidR="008327B2" w:rsidRPr="001A01AB" w:rsidRDefault="008327B2" w:rsidP="008327B2">
      <w:pPr>
        <w:jc w:val="both"/>
        <w:rPr>
          <w:rFonts w:ascii="Calibri" w:hAnsi="Calibri" w:cs="Calibri"/>
          <w:lang w:val="es-GT"/>
        </w:rPr>
      </w:pPr>
    </w:p>
    <w:p w:rsidR="008327B2" w:rsidRPr="001A01AB" w:rsidRDefault="00781A75" w:rsidP="008327B2">
      <w:pPr>
        <w:jc w:val="both"/>
        <w:rPr>
          <w:rFonts w:ascii="Calibri" w:hAnsi="Calibri" w:cs="Calibri"/>
          <w:lang w:val="es-GT"/>
        </w:rPr>
      </w:pPr>
      <w:r>
        <w:rPr>
          <w:rFonts w:ascii="Calibri" w:hAnsi="Calibri" w:cs="Calibri"/>
          <w:lang w:val="es-GT"/>
        </w:rPr>
        <w:t>La mejora</w:t>
      </w:r>
      <w:r w:rsidR="008327B2" w:rsidRPr="001A01AB">
        <w:rPr>
          <w:rFonts w:ascii="Calibri" w:hAnsi="Calibri" w:cs="Calibri"/>
          <w:lang w:val="es-GT"/>
        </w:rPr>
        <w:t xml:space="preserve"> de la vialidad en estos municipios daría un impulso importante a quienes ya han emprendido una actividad agrícola comercial</w:t>
      </w:r>
      <w:r>
        <w:rPr>
          <w:rFonts w:ascii="Calibri" w:hAnsi="Calibri" w:cs="Calibri"/>
          <w:lang w:val="es-GT"/>
        </w:rPr>
        <w:t>,</w:t>
      </w:r>
      <w:r w:rsidR="008327B2" w:rsidRPr="001A01AB">
        <w:rPr>
          <w:rFonts w:ascii="Calibri" w:hAnsi="Calibri" w:cs="Calibri"/>
          <w:lang w:val="es-GT"/>
        </w:rPr>
        <w:t xml:space="preserve"> y sería un estímulo para la ampliación de la superficie productiva y la incorporación de técnicas que tiendan a mejorar los rendimientos agrícolas. </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b/>
          <w:bCs/>
          <w:color w:val="365F91"/>
          <w:lang w:val="es-GT"/>
        </w:rPr>
      </w:pPr>
      <w:r w:rsidRPr="001A01AB">
        <w:rPr>
          <w:rFonts w:ascii="Calibri" w:hAnsi="Calibri" w:cs="Calibri"/>
          <w:b/>
          <w:bCs/>
          <w:color w:val="365F91"/>
          <w:lang w:val="es-GT"/>
        </w:rPr>
        <w:t>Generación de empleo rural</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Uno de los mecanismos más importantes a través del cual la agricultura contribuye sustancialmente a la disminución de los niveles de pobre</w:t>
      </w:r>
      <w:r w:rsidR="00781A75">
        <w:rPr>
          <w:rFonts w:ascii="Calibri" w:hAnsi="Calibri" w:cs="Calibri"/>
          <w:lang w:val="es-GT"/>
        </w:rPr>
        <w:t xml:space="preserve">za, es la generación de empleo, que </w:t>
      </w:r>
      <w:r w:rsidRPr="001A01AB">
        <w:rPr>
          <w:rFonts w:ascii="Calibri" w:hAnsi="Calibri" w:cs="Calibri"/>
          <w:lang w:val="es-GT"/>
        </w:rPr>
        <w:t>va más allá del empleo directo del cual se benefician los trabajadores agrícolas y los agricultores.</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Es a través de la acción de los multiplicadores de ingreso en la economía local y de la alta propensión de los agricultores hacia el consumo de bienes y servicios producidos localmente, que el ingreso de la actividad agrícola tiene un impacto que se propaga hacia el sector no agrícola de la economía.</w:t>
      </w:r>
    </w:p>
    <w:p w:rsidR="00781A75" w:rsidRDefault="00781A75"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Si bien no se han hecho estimaciones del valor del multiplicador del ingreso agrícola en el altiplano, hay abundante bibliografía que sugiere que este debe ser aproximadamente igual a 2. Por otro lado, diversos estudios dan cuenta de la alta propensión de los agricultores a demandar bienes y servicios no agrícolas producidos localmente.</w:t>
      </w: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r w:rsidRPr="001A01AB">
        <w:rPr>
          <w:rFonts w:ascii="Calibri" w:hAnsi="Calibri" w:cs="Calibri"/>
          <w:lang w:val="es-GT"/>
        </w:rPr>
        <w:t xml:space="preserve">Para fines de simulación se parte del supuesto </w:t>
      </w:r>
      <w:r w:rsidR="00C2176A">
        <w:rPr>
          <w:rFonts w:ascii="Calibri" w:hAnsi="Calibri" w:cs="Calibri"/>
          <w:lang w:val="es-GT"/>
        </w:rPr>
        <w:t xml:space="preserve">de </w:t>
      </w:r>
      <w:r w:rsidRPr="001A01AB">
        <w:rPr>
          <w:rFonts w:ascii="Calibri" w:hAnsi="Calibri" w:cs="Calibri"/>
          <w:lang w:val="es-GT"/>
        </w:rPr>
        <w:t>que 40% de los ingresos de los productores son gastados en el consumo de bienes y servicios producidos localmente. Tomando en cuenta estos elementos, se ensayaron algunos escenarios de los impactos</w:t>
      </w:r>
      <w:r w:rsidR="00C2176A">
        <w:rPr>
          <w:rFonts w:ascii="Calibri" w:hAnsi="Calibri" w:cs="Calibri"/>
          <w:lang w:val="es-GT"/>
        </w:rPr>
        <w:t xml:space="preserve"> </w:t>
      </w:r>
      <w:r w:rsidRPr="001A01AB">
        <w:rPr>
          <w:rFonts w:ascii="Calibri" w:hAnsi="Calibri" w:cs="Calibri"/>
          <w:lang w:val="es-GT"/>
        </w:rPr>
        <w:t>que el mejoramiento de la red vial en el altiplano podría traer</w:t>
      </w:r>
      <w:r w:rsidR="00C2176A">
        <w:rPr>
          <w:rFonts w:ascii="Calibri" w:hAnsi="Calibri" w:cs="Calibri"/>
          <w:lang w:val="es-GT"/>
        </w:rPr>
        <w:t>,</w:t>
      </w:r>
      <w:r w:rsidR="00C2176A" w:rsidRPr="00C2176A">
        <w:rPr>
          <w:rFonts w:ascii="Calibri" w:hAnsi="Calibri" w:cs="Calibri"/>
          <w:lang w:val="es-GT"/>
        </w:rPr>
        <w:t xml:space="preserve"> </w:t>
      </w:r>
      <w:r w:rsidR="00C2176A" w:rsidRPr="001A01AB">
        <w:rPr>
          <w:rFonts w:ascii="Calibri" w:hAnsi="Calibri" w:cs="Calibri"/>
          <w:lang w:val="es-GT"/>
        </w:rPr>
        <w:t>en términos de empleo rural</w:t>
      </w:r>
      <w:r w:rsidRPr="001A01AB">
        <w:rPr>
          <w:rFonts w:ascii="Calibri" w:hAnsi="Calibri" w:cs="Calibri"/>
          <w:lang w:val="es-GT"/>
        </w:rPr>
        <w:t xml:space="preserve">. </w:t>
      </w:r>
      <w:r w:rsidR="00C2176A">
        <w:rPr>
          <w:rFonts w:ascii="Calibri" w:hAnsi="Calibri" w:cs="Calibri"/>
          <w:lang w:val="es-GT"/>
        </w:rPr>
        <w:t>D</w:t>
      </w:r>
      <w:r w:rsidRPr="001A01AB">
        <w:rPr>
          <w:rFonts w:ascii="Calibri" w:hAnsi="Calibri" w:cs="Calibri"/>
          <w:lang w:val="es-GT"/>
        </w:rPr>
        <w:t>entro de los múltiples efectos que esto podría tener, tres merece</w:t>
      </w:r>
      <w:r w:rsidR="00C2176A">
        <w:rPr>
          <w:rFonts w:ascii="Calibri" w:hAnsi="Calibri" w:cs="Calibri"/>
          <w:lang w:val="es-GT"/>
        </w:rPr>
        <w:t>n ser destacados:</w:t>
      </w:r>
    </w:p>
    <w:p w:rsidR="00781A75" w:rsidRPr="001A01AB" w:rsidRDefault="00781A75" w:rsidP="008327B2">
      <w:pPr>
        <w:jc w:val="both"/>
        <w:rPr>
          <w:rFonts w:ascii="Calibri" w:hAnsi="Calibri" w:cs="Calibri"/>
          <w:lang w:val="es-GT"/>
        </w:rPr>
      </w:pPr>
    </w:p>
    <w:p w:rsidR="008327B2" w:rsidRPr="001A01AB" w:rsidRDefault="008327B2" w:rsidP="008327B2">
      <w:pPr>
        <w:ind w:left="360" w:hanging="270"/>
        <w:jc w:val="both"/>
        <w:rPr>
          <w:rFonts w:ascii="Calibri" w:hAnsi="Calibri" w:cs="Calibri"/>
          <w:lang w:val="es-GT"/>
        </w:rPr>
      </w:pPr>
      <w:r w:rsidRPr="001A01AB">
        <w:rPr>
          <w:rFonts w:ascii="Calibri" w:hAnsi="Calibri" w:cs="Calibri"/>
          <w:bCs/>
          <w:lang w:val="es-GT"/>
        </w:rPr>
        <w:t>a) Ampliación de la superficie cultivada:</w:t>
      </w:r>
      <w:r w:rsidRPr="001A01AB">
        <w:rPr>
          <w:rFonts w:ascii="Calibri" w:hAnsi="Calibri" w:cs="Calibri"/>
          <w:b/>
          <w:bCs/>
          <w:lang w:val="es-GT"/>
        </w:rPr>
        <w:t xml:space="preserve"> </w:t>
      </w:r>
      <w:r w:rsidRPr="001A01AB">
        <w:rPr>
          <w:rFonts w:ascii="Calibri" w:hAnsi="Calibri" w:cs="Calibri"/>
          <w:lang w:val="es-GT"/>
        </w:rPr>
        <w:t>La inversión sugerida en este estudio debe ir acompañada de acciones públicas y privadas que tiendan hacia la reconversión productiva. Estas acciones deben motivar al agricultor a la producción de cultivos que prometan buen posicionamiento comercial.</w:t>
      </w:r>
    </w:p>
    <w:p w:rsidR="008327B2" w:rsidRPr="001A01AB" w:rsidRDefault="008327B2" w:rsidP="008327B2">
      <w:pPr>
        <w:ind w:left="360" w:hanging="270"/>
        <w:jc w:val="both"/>
        <w:rPr>
          <w:rFonts w:ascii="Calibri" w:hAnsi="Calibri" w:cs="Calibri"/>
          <w:lang w:val="es-GT"/>
        </w:rPr>
      </w:pPr>
      <w:r w:rsidRPr="001A01AB">
        <w:rPr>
          <w:rFonts w:ascii="Calibri" w:hAnsi="Calibri" w:cs="Calibri"/>
          <w:bCs/>
          <w:lang w:val="es-GT"/>
        </w:rPr>
        <w:t xml:space="preserve">b) Incremento de rendimientos agrícolas: </w:t>
      </w:r>
      <w:r w:rsidRPr="001A01AB">
        <w:rPr>
          <w:rFonts w:ascii="Calibri" w:hAnsi="Calibri" w:cs="Calibri"/>
          <w:lang w:val="es-GT"/>
        </w:rPr>
        <w:t>El mejoramiento de la red vial en áreas con potencial productivo y el fortalecimiento de las acciones del sector público agrícola, facilitarán el acceso de los productores a transferencias tecnológicas y a recursos financieros que incrementen su eficiencia.</w:t>
      </w:r>
    </w:p>
    <w:p w:rsidR="008327B2" w:rsidRDefault="008327B2" w:rsidP="008327B2">
      <w:pPr>
        <w:ind w:left="360" w:hanging="270"/>
        <w:jc w:val="both"/>
        <w:rPr>
          <w:rFonts w:ascii="Calibri" w:hAnsi="Calibri" w:cs="Calibri"/>
          <w:lang w:val="es-GT"/>
        </w:rPr>
      </w:pPr>
      <w:r w:rsidRPr="001A01AB">
        <w:rPr>
          <w:rFonts w:ascii="Calibri" w:hAnsi="Calibri" w:cs="Calibri"/>
          <w:bCs/>
          <w:lang w:val="es-GT"/>
        </w:rPr>
        <w:t>c) Mejores precios para los productos:</w:t>
      </w:r>
      <w:r w:rsidRPr="001A01AB">
        <w:rPr>
          <w:rFonts w:ascii="Calibri" w:hAnsi="Calibri" w:cs="Calibri"/>
          <w:b/>
          <w:bCs/>
          <w:lang w:val="es-GT"/>
        </w:rPr>
        <w:t xml:space="preserve"> </w:t>
      </w:r>
      <w:r w:rsidRPr="001A01AB">
        <w:rPr>
          <w:rFonts w:ascii="Calibri" w:hAnsi="Calibri" w:cs="Calibri"/>
          <w:lang w:val="es-GT"/>
        </w:rPr>
        <w:t>A través de políticas integrales de apoyo al agricultor se debe aspirar a incursionar en mercados que eleven los márgenes de ganancia de los empresarios agrícolas.</w:t>
      </w:r>
    </w:p>
    <w:p w:rsidR="00C2176A" w:rsidRDefault="00C2176A" w:rsidP="008327B2">
      <w:pPr>
        <w:ind w:left="360" w:hanging="270"/>
        <w:jc w:val="both"/>
        <w:rPr>
          <w:rFonts w:ascii="Calibri" w:hAnsi="Calibri" w:cs="Calibri"/>
          <w:lang w:val="es-GT"/>
        </w:rPr>
      </w:pPr>
    </w:p>
    <w:p w:rsidR="00C2176A" w:rsidRPr="001A01AB" w:rsidRDefault="00C2176A" w:rsidP="008327B2">
      <w:pPr>
        <w:ind w:left="360" w:hanging="270"/>
        <w:jc w:val="both"/>
        <w:rPr>
          <w:rFonts w:ascii="Calibri" w:hAnsi="Calibri" w:cs="Calibri"/>
          <w:lang w:val="es-GT"/>
        </w:rPr>
      </w:pPr>
    </w:p>
    <w:p w:rsidR="008327B2" w:rsidRPr="001A01AB" w:rsidRDefault="008327B2" w:rsidP="008327B2">
      <w:pPr>
        <w:jc w:val="both"/>
        <w:rPr>
          <w:rFonts w:ascii="Calibri" w:hAnsi="Calibri" w:cs="Calibri"/>
          <w:b/>
          <w:bCs/>
          <w:color w:val="365F91"/>
          <w:lang w:val="es-GT"/>
        </w:rPr>
      </w:pPr>
      <w:r w:rsidRPr="001A01AB">
        <w:rPr>
          <w:rFonts w:ascii="Calibri" w:hAnsi="Calibri" w:cs="Calibri"/>
          <w:b/>
          <w:bCs/>
          <w:color w:val="365F91"/>
          <w:lang w:val="es-GT"/>
        </w:rPr>
        <w:lastRenderedPageBreak/>
        <w:t>Mejoramiento del acceso a servicios</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La construcción de estas rutas produciría impactos positivos en la dinámica productiva y socioeconómica </w:t>
      </w:r>
      <w:r w:rsidR="009E3212">
        <w:rPr>
          <w:rFonts w:ascii="Calibri" w:hAnsi="Calibri" w:cs="Calibri"/>
          <w:lang w:val="es-GT"/>
        </w:rPr>
        <w:t>de</w:t>
      </w:r>
      <w:r w:rsidRPr="001A01AB">
        <w:rPr>
          <w:rFonts w:ascii="Calibri" w:hAnsi="Calibri" w:cs="Calibri"/>
          <w:lang w:val="es-GT"/>
        </w:rPr>
        <w:t xml:space="preserve"> los integrantes de las comunidades aledañas a dichos caminos, y una forma de medirlo es a través de la determinación del tamaño de la población beneficiada. Como una primera aproximación a este impacto, se consultó el </w:t>
      </w:r>
      <w:r w:rsidRPr="001A01AB">
        <w:rPr>
          <w:rFonts w:ascii="Calibri" w:hAnsi="Calibri" w:cs="Calibri"/>
          <w:i/>
          <w:iCs/>
          <w:lang w:val="es-GT"/>
        </w:rPr>
        <w:t xml:space="preserve">XI Censo Nacional de Población y VI de </w:t>
      </w:r>
      <w:r w:rsidRPr="00AC507E">
        <w:rPr>
          <w:rFonts w:ascii="Calibri" w:hAnsi="Calibri" w:cs="Calibri"/>
          <w:i/>
          <w:iCs/>
          <w:lang w:val="es-GT"/>
        </w:rPr>
        <w:t xml:space="preserve">Habitación 2002 </w:t>
      </w:r>
      <w:r w:rsidRPr="00AC507E">
        <w:rPr>
          <w:rFonts w:ascii="Calibri" w:hAnsi="Calibri" w:cs="Calibri"/>
          <w:highlight w:val="magenta"/>
          <w:lang w:val="es-GT"/>
        </w:rPr>
        <w:t>(INE, 2002)</w:t>
      </w:r>
      <w:r w:rsidRPr="001A01AB">
        <w:rPr>
          <w:rFonts w:ascii="Calibri" w:hAnsi="Calibri" w:cs="Calibri"/>
          <w:lang w:val="es-GT"/>
        </w:rPr>
        <w:t xml:space="preserve"> de donde se obtuvo el dato de la población ubicada dentro del rango de </w:t>
      </w:r>
      <w:r w:rsidR="003D51FD">
        <w:rPr>
          <w:rFonts w:ascii="Calibri" w:hAnsi="Calibri" w:cs="Calibri"/>
          <w:lang w:val="es-GT"/>
        </w:rPr>
        <w:t>dos</w:t>
      </w:r>
      <w:r w:rsidRPr="001A01AB">
        <w:rPr>
          <w:rFonts w:ascii="Calibri" w:hAnsi="Calibri" w:cs="Calibri"/>
          <w:lang w:val="es-GT"/>
        </w:rPr>
        <w:t xml:space="preserve"> kilómetros a ambos lados de la rutas mencionadas.</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El total de población beneficiada ascendió a 514,245 personas, distribuida</w:t>
      </w:r>
      <w:r w:rsidR="003D51FD">
        <w:rPr>
          <w:rFonts w:ascii="Calibri" w:hAnsi="Calibri" w:cs="Calibri"/>
          <w:lang w:val="es-GT"/>
        </w:rPr>
        <w:t>s</w:t>
      </w:r>
      <w:r w:rsidRPr="001A01AB">
        <w:rPr>
          <w:rFonts w:ascii="Calibri" w:hAnsi="Calibri" w:cs="Calibri"/>
          <w:lang w:val="es-GT"/>
        </w:rPr>
        <w:t xml:space="preserve"> (84% del total) en los departamentos de Huehuetenango, San Marcos, Quiché y Chimaltenango; de las cuales, y dadas las características socioculturales de la región, 25% </w:t>
      </w:r>
      <w:r w:rsidR="003D51FD">
        <w:rPr>
          <w:rFonts w:ascii="Calibri" w:hAnsi="Calibri" w:cs="Calibri"/>
          <w:lang w:val="es-GT"/>
        </w:rPr>
        <w:t xml:space="preserve">son </w:t>
      </w:r>
      <w:r w:rsidRPr="001A01AB">
        <w:rPr>
          <w:rFonts w:ascii="Calibri" w:hAnsi="Calibri" w:cs="Calibri"/>
          <w:lang w:val="es-GT"/>
        </w:rPr>
        <w:t>no indígenas y 75% pertenec</w:t>
      </w:r>
      <w:r w:rsidR="003D51FD">
        <w:rPr>
          <w:rFonts w:ascii="Calibri" w:hAnsi="Calibri" w:cs="Calibri"/>
          <w:lang w:val="es-GT"/>
        </w:rPr>
        <w:t>en</w:t>
      </w:r>
      <w:r w:rsidRPr="001A01AB">
        <w:rPr>
          <w:rFonts w:ascii="Calibri" w:hAnsi="Calibri" w:cs="Calibri"/>
          <w:lang w:val="es-GT"/>
        </w:rPr>
        <w:t xml:space="preserve"> a los 15 grupos lingüísticos presentes en la región.</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Estos valores generan una relación de 680 habitantes/kilómetro de carretera mejorada y/o asfaltada.</w:t>
      </w:r>
    </w:p>
    <w:p w:rsidR="008327B2" w:rsidRPr="001A01AB" w:rsidRDefault="008327B2" w:rsidP="008327B2">
      <w:pPr>
        <w:jc w:val="both"/>
        <w:rPr>
          <w:rFonts w:ascii="Calibri" w:hAnsi="Calibri" w:cs="Calibri"/>
          <w:lang w:val="es-GT"/>
        </w:rPr>
      </w:pPr>
    </w:p>
    <w:p w:rsidR="008327B2" w:rsidRPr="001A01AB" w:rsidRDefault="008327B2" w:rsidP="00760D64">
      <w:pPr>
        <w:rPr>
          <w:rFonts w:ascii="Calibri" w:hAnsi="Calibri" w:cs="Calibri"/>
          <w:b/>
          <w:color w:val="365F91"/>
          <w:sz w:val="28"/>
          <w:lang w:val="es-GT"/>
        </w:rPr>
      </w:pPr>
      <w:r w:rsidRPr="001A01AB">
        <w:rPr>
          <w:rFonts w:ascii="Calibri" w:hAnsi="Calibri" w:cs="Calibri"/>
          <w:lang w:val="es-GT"/>
        </w:rPr>
        <w:br w:type="page"/>
      </w:r>
      <w:r w:rsidRPr="001A01AB">
        <w:rPr>
          <w:rFonts w:ascii="Calibri" w:hAnsi="Calibri" w:cs="Calibri"/>
          <w:b/>
          <w:color w:val="365F91"/>
          <w:sz w:val="28"/>
          <w:lang w:val="es-GT"/>
        </w:rPr>
        <w:lastRenderedPageBreak/>
        <w:t>2.2.</w:t>
      </w:r>
      <w:r w:rsidRPr="001A01AB">
        <w:rPr>
          <w:rFonts w:ascii="Calibri" w:hAnsi="Calibri" w:cs="Calibri"/>
          <w:b/>
          <w:color w:val="365F91"/>
          <w:sz w:val="28"/>
          <w:lang w:val="es-GT"/>
        </w:rPr>
        <w:tab/>
        <w:t>Criterio de evaluación: P</w:t>
      </w:r>
      <w:r w:rsidR="004B3F83" w:rsidRPr="001A01AB">
        <w:rPr>
          <w:rFonts w:ascii="Calibri" w:hAnsi="Calibri" w:cs="Calibri"/>
          <w:b/>
          <w:color w:val="365F91"/>
          <w:sz w:val="28"/>
          <w:lang w:val="es-GT"/>
        </w:rPr>
        <w:t>roductividad agrícola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3D51FD" w:rsidP="008327B2">
      <w:pPr>
        <w:autoSpaceDE w:val="0"/>
        <w:autoSpaceDN w:val="0"/>
        <w:adjustRightInd w:val="0"/>
        <w:jc w:val="both"/>
        <w:rPr>
          <w:rFonts w:ascii="Calibri" w:hAnsi="Calibri" w:cs="Calibri"/>
          <w:lang w:val="es-GT"/>
        </w:rPr>
      </w:pPr>
      <w:r>
        <w:rPr>
          <w:rFonts w:ascii="Calibri" w:hAnsi="Calibri" w:cs="Calibri"/>
          <w:lang w:val="es-GT"/>
        </w:rPr>
        <w:t>Dentro</w:t>
      </w:r>
      <w:r w:rsidR="008327B2" w:rsidRPr="001A01AB">
        <w:rPr>
          <w:rFonts w:ascii="Calibri" w:hAnsi="Calibri" w:cs="Calibri"/>
          <w:lang w:val="es-GT"/>
        </w:rPr>
        <w:t xml:space="preserve"> </w:t>
      </w:r>
      <w:r>
        <w:rPr>
          <w:rFonts w:ascii="Calibri" w:hAnsi="Calibri" w:cs="Calibri"/>
          <w:lang w:val="es-GT"/>
        </w:rPr>
        <w:t>d</w:t>
      </w:r>
      <w:r w:rsidR="008327B2" w:rsidRPr="001A01AB">
        <w:rPr>
          <w:rFonts w:ascii="Calibri" w:hAnsi="Calibri" w:cs="Calibri"/>
          <w:lang w:val="es-GT"/>
        </w:rPr>
        <w:t>el agro guatemalteco</w:t>
      </w:r>
      <w:r>
        <w:rPr>
          <w:rFonts w:ascii="Calibri" w:hAnsi="Calibri" w:cs="Calibri"/>
          <w:lang w:val="es-GT"/>
        </w:rPr>
        <w:t>,</w:t>
      </w:r>
      <w:r w:rsidR="008327B2" w:rsidRPr="001A01AB">
        <w:rPr>
          <w:rFonts w:ascii="Calibri" w:hAnsi="Calibri" w:cs="Calibri"/>
          <w:lang w:val="es-GT"/>
        </w:rPr>
        <w:t xml:space="preserve"> se observa la falta de acceso </w:t>
      </w:r>
      <w:r>
        <w:rPr>
          <w:rFonts w:ascii="Calibri" w:hAnsi="Calibri" w:cs="Calibri"/>
          <w:lang w:val="es-GT"/>
        </w:rPr>
        <w:t>que tienen</w:t>
      </w:r>
      <w:r w:rsidR="008327B2" w:rsidRPr="001A01AB">
        <w:rPr>
          <w:rFonts w:ascii="Calibri" w:hAnsi="Calibri" w:cs="Calibri"/>
          <w:lang w:val="es-GT"/>
        </w:rPr>
        <w:t xml:space="preserve"> los campesinos a los medios de producción, </w:t>
      </w:r>
      <w:r>
        <w:rPr>
          <w:rFonts w:ascii="Calibri" w:hAnsi="Calibri" w:cs="Calibri"/>
          <w:lang w:val="es-GT"/>
        </w:rPr>
        <w:t xml:space="preserve">que </w:t>
      </w:r>
      <w:r w:rsidR="008327B2" w:rsidRPr="001A01AB">
        <w:rPr>
          <w:rFonts w:ascii="Calibri" w:hAnsi="Calibri" w:cs="Calibri"/>
          <w:lang w:val="es-GT"/>
        </w:rPr>
        <w:t xml:space="preserve">en muchos casos </w:t>
      </w:r>
      <w:r>
        <w:rPr>
          <w:rFonts w:ascii="Calibri" w:hAnsi="Calibri" w:cs="Calibri"/>
          <w:lang w:val="es-GT"/>
        </w:rPr>
        <w:t xml:space="preserve">corresponde a </w:t>
      </w:r>
      <w:r w:rsidR="008327B2" w:rsidRPr="001A01AB">
        <w:rPr>
          <w:rFonts w:ascii="Calibri" w:hAnsi="Calibri" w:cs="Calibri"/>
          <w:lang w:val="es-GT"/>
        </w:rPr>
        <w:t>falta de certeza jurídica sobre la tenencia y propiedad de la misma, lo que</w:t>
      </w:r>
      <w:r>
        <w:rPr>
          <w:rFonts w:ascii="Calibri" w:hAnsi="Calibri" w:cs="Calibri"/>
          <w:lang w:val="es-GT"/>
        </w:rPr>
        <w:t xml:space="preserve"> dificulta el acceso al crédito. A</w:t>
      </w:r>
      <w:r w:rsidR="008327B2" w:rsidRPr="001A01AB">
        <w:rPr>
          <w:rFonts w:ascii="Calibri" w:hAnsi="Calibri" w:cs="Calibri"/>
          <w:lang w:val="es-GT"/>
        </w:rPr>
        <w:t>unado a esto</w:t>
      </w:r>
      <w:r>
        <w:rPr>
          <w:rFonts w:ascii="Calibri" w:hAnsi="Calibri" w:cs="Calibri"/>
          <w:lang w:val="es-GT"/>
        </w:rPr>
        <w:t>,</w:t>
      </w:r>
      <w:r w:rsidR="008327B2" w:rsidRPr="001A01AB">
        <w:rPr>
          <w:rFonts w:ascii="Calibri" w:hAnsi="Calibri" w:cs="Calibri"/>
          <w:lang w:val="es-GT"/>
        </w:rPr>
        <w:t xml:space="preserve"> la infraestructura productiva en algunos lugares del país es baja o nula, </w:t>
      </w:r>
      <w:r>
        <w:rPr>
          <w:rFonts w:ascii="Calibri" w:hAnsi="Calibri" w:cs="Calibri"/>
          <w:lang w:val="es-GT"/>
        </w:rPr>
        <w:t xml:space="preserve">y </w:t>
      </w:r>
      <w:r w:rsidR="008327B2" w:rsidRPr="001A01AB">
        <w:rPr>
          <w:rFonts w:ascii="Calibri" w:hAnsi="Calibri" w:cs="Calibri"/>
          <w:lang w:val="es-GT"/>
        </w:rPr>
        <w:t xml:space="preserve">la falta de tecnología en los procesos de producción y práctica de sistemas de producción insostenibles impiden proyectar niveles aceptables de competitividad en </w:t>
      </w:r>
      <w:r>
        <w:rPr>
          <w:rFonts w:ascii="Calibri" w:hAnsi="Calibri" w:cs="Calibri"/>
          <w:lang w:val="es-GT"/>
        </w:rPr>
        <w:t>Guatemala</w:t>
      </w:r>
      <w:r w:rsidR="008327B2" w:rsidRPr="001A01AB">
        <w:rPr>
          <w:rFonts w:ascii="Calibri" w:hAnsi="Calibri" w:cs="Calibri"/>
          <w:lang w:val="es-GT"/>
        </w:rPr>
        <w:t xml:space="preserve"> </w:t>
      </w:r>
      <w:r w:rsidR="008327B2" w:rsidRPr="00AC507E">
        <w:rPr>
          <w:rFonts w:ascii="Calibri" w:hAnsi="Calibri" w:cs="Calibri"/>
          <w:highlight w:val="magenta"/>
          <w:lang w:val="es-GT"/>
        </w:rPr>
        <w:t>(MAGA, 2011).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incremento y la consolidación de la infraestructura básica de la producción, especialmente los componentes de riego y caminos rurales, son vitales para dinamizar e impulsar el desarrollo rural integral.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Por medio de la promoción de infraestructura básica y productiva, así como de servicios a la producción, se busca incrementar la eficiencia de las unidades de producción agropecuaria y</w:t>
      </w:r>
      <w:r w:rsidR="003D51FD">
        <w:rPr>
          <w:rFonts w:ascii="Calibri" w:hAnsi="Calibri" w:cs="Calibri"/>
          <w:lang w:val="es-GT"/>
        </w:rPr>
        <w:t>,</w:t>
      </w:r>
      <w:r w:rsidRPr="001A01AB">
        <w:rPr>
          <w:rFonts w:ascii="Calibri" w:hAnsi="Calibri" w:cs="Calibri"/>
          <w:lang w:val="es-GT"/>
        </w:rPr>
        <w:t xml:space="preserve"> de esta forma, mejorar los ingresos y fortalecer la competitividad de los productores agropecuarios.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Fomentar las inversiones en infraestructura productiva permitirá lograr diversos objetivos, entre estos: a) la mejora de las condiciones de los productores y otros actores sectoriales relacionados, a fin de fortalecer sus capacidades de aprovechar las oportunidades de crecimiento; b) incrementar, diversificar y reconvertir los modelos de producción actuales, que permitan atender la demanda nacional, fortalecer y ampliar los mercados internos y externos; c) aumentar la capacidad productiva para fortalecer la economía campesina y el desarrollo de mercados regionales que mejoren el acceso de la población rural a la alimentación; d) fomentar el aprovechamiento sustentable de los recursos naturales productivos, que permitan aumentar y diversificar </w:t>
      </w:r>
      <w:r w:rsidR="003D51FD">
        <w:rPr>
          <w:rFonts w:ascii="Calibri" w:hAnsi="Calibri" w:cs="Calibri"/>
          <w:lang w:val="es-GT"/>
        </w:rPr>
        <w:t>las fuentes de empleo e ingreso;</w:t>
      </w:r>
      <w:r w:rsidRPr="001A01AB">
        <w:rPr>
          <w:rFonts w:ascii="Calibri" w:hAnsi="Calibri" w:cs="Calibri"/>
          <w:lang w:val="es-GT"/>
        </w:rPr>
        <w:t xml:space="preserve"> y e) mejorar la cantidad y calidad de los servicios de la población.</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2.2.1.</w:t>
      </w:r>
      <w:r w:rsidRPr="001A01AB">
        <w:rPr>
          <w:rFonts w:ascii="Calibri" w:hAnsi="Calibri" w:cs="Calibri"/>
          <w:b/>
          <w:color w:val="365F91"/>
          <w:lang w:val="es-GT"/>
        </w:rPr>
        <w:tab/>
        <w:t>Indicador: I</w:t>
      </w:r>
      <w:r w:rsidR="004B3F83" w:rsidRPr="001A01AB">
        <w:rPr>
          <w:rFonts w:ascii="Calibri" w:hAnsi="Calibri" w:cs="Calibri"/>
          <w:b/>
          <w:color w:val="365F91"/>
          <w:lang w:val="es-GT"/>
        </w:rPr>
        <w:t>nfraestructura de riego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El riego agrícola es un factor clave para el desarrollo productivo del área rural. En términos generales, permite incrementar la producción y productividad de las unidades productivas. Se ha identificado al riego agrícola, como un eje estratégico para mejorar la productividad de las áreas rurales.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jc w:val="both"/>
        <w:rPr>
          <w:rFonts w:ascii="Calibri" w:hAnsi="Calibri" w:cs="Calibri"/>
          <w:color w:val="000000"/>
          <w:lang w:val="es-GT" w:eastAsia="es-GT"/>
        </w:rPr>
      </w:pPr>
      <w:r w:rsidRPr="001A01AB">
        <w:rPr>
          <w:rFonts w:ascii="Calibri" w:hAnsi="Calibri" w:cs="Calibri"/>
          <w:bCs/>
          <w:color w:val="000000"/>
          <w:lang w:val="es-GT" w:eastAsia="es-GT"/>
        </w:rPr>
        <w:t>E</w:t>
      </w:r>
      <w:r w:rsidRPr="001A01AB">
        <w:rPr>
          <w:rFonts w:ascii="Calibri" w:hAnsi="Calibri" w:cs="Calibri"/>
          <w:color w:val="000000"/>
          <w:lang w:val="es-GT" w:eastAsia="es-GT"/>
        </w:rPr>
        <w:t xml:space="preserve">l </w:t>
      </w:r>
      <w:r w:rsidRPr="003D51FD">
        <w:rPr>
          <w:rFonts w:ascii="Calibri" w:hAnsi="Calibri" w:cs="Calibri"/>
          <w:i/>
          <w:color w:val="000000"/>
          <w:lang w:val="es-GT" w:eastAsia="es-GT"/>
        </w:rPr>
        <w:t>Plan Maestro de Riego y Drenaje</w:t>
      </w:r>
      <w:r w:rsidRPr="001A01AB">
        <w:rPr>
          <w:rFonts w:ascii="Calibri" w:hAnsi="Calibri" w:cs="Calibri"/>
          <w:color w:val="000000"/>
          <w:lang w:val="es-GT" w:eastAsia="es-GT"/>
        </w:rPr>
        <w:t xml:space="preserve"> (</w:t>
      </w:r>
      <w:r w:rsidRPr="001A01AB">
        <w:rPr>
          <w:rFonts w:ascii="Calibri" w:hAnsi="Calibri" w:cs="Calibri"/>
          <w:color w:val="000000"/>
          <w:lang w:val="es-GT"/>
        </w:rPr>
        <w:t>MAGA, DIGE</w:t>
      </w:r>
      <w:r w:rsidR="003D51FD">
        <w:rPr>
          <w:rFonts w:ascii="Calibri" w:hAnsi="Calibri" w:cs="Calibri"/>
          <w:color w:val="000000"/>
          <w:lang w:val="es-GT"/>
        </w:rPr>
        <w:t>SA, DIRYA, División de Estudios, 1990) identificó</w:t>
      </w:r>
      <w:r w:rsidRPr="001A01AB">
        <w:rPr>
          <w:rFonts w:ascii="Calibri" w:hAnsi="Calibri" w:cs="Calibri"/>
          <w:color w:val="000000"/>
          <w:lang w:val="es-GT"/>
        </w:rPr>
        <w:t xml:space="preserve"> </w:t>
      </w:r>
      <w:r w:rsidRPr="001A01AB">
        <w:rPr>
          <w:rFonts w:ascii="Calibri" w:hAnsi="Calibri" w:cs="Calibri"/>
          <w:color w:val="000000"/>
          <w:lang w:val="es-GT" w:eastAsia="es-GT"/>
        </w:rPr>
        <w:t xml:space="preserve">2.94 millones de ha (27% del país) aptas para la producción agrícola. De este </w:t>
      </w:r>
      <w:r w:rsidR="00012F1C">
        <w:rPr>
          <w:rFonts w:ascii="Calibri" w:hAnsi="Calibri" w:cs="Calibri"/>
          <w:color w:val="000000"/>
          <w:lang w:val="es-GT" w:eastAsia="es-GT"/>
        </w:rPr>
        <w:t>total, el área potencial de riego</w:t>
      </w:r>
      <w:r w:rsidRPr="001A01AB">
        <w:rPr>
          <w:rFonts w:ascii="Calibri" w:hAnsi="Calibri" w:cs="Calibri"/>
          <w:color w:val="000000"/>
          <w:lang w:val="es-GT" w:eastAsia="es-GT"/>
        </w:rPr>
        <w:t>, considerada como aquella superficie con un déficit hídrico de 151 mm/año o superior, se estimaba en 2.62 millones de hectáreas. La información de las áreas con potencial de riego, distribuidas en las tres principales vertientes</w:t>
      </w:r>
      <w:r w:rsidR="00012F1C">
        <w:rPr>
          <w:rFonts w:ascii="Calibri" w:hAnsi="Calibri" w:cs="Calibri"/>
          <w:color w:val="000000"/>
          <w:lang w:val="es-GT" w:eastAsia="es-GT"/>
        </w:rPr>
        <w:t>,</w:t>
      </w:r>
      <w:r w:rsidRPr="001A01AB">
        <w:rPr>
          <w:rFonts w:ascii="Calibri" w:hAnsi="Calibri" w:cs="Calibri"/>
          <w:color w:val="000000"/>
          <w:lang w:val="es-GT" w:eastAsia="es-GT"/>
        </w:rPr>
        <w:t xml:space="preserve"> se presentan en el Cuadro </w:t>
      </w:r>
      <w:r w:rsidR="00012F1C">
        <w:rPr>
          <w:rFonts w:ascii="Calibri" w:hAnsi="Calibri" w:cs="Calibri"/>
          <w:color w:val="000000"/>
          <w:lang w:val="es-GT" w:eastAsia="es-GT"/>
        </w:rPr>
        <w:t>2</w:t>
      </w:r>
      <w:r w:rsidR="004C77F8">
        <w:rPr>
          <w:rFonts w:ascii="Calibri" w:hAnsi="Calibri" w:cs="Calibri"/>
          <w:color w:val="000000"/>
          <w:lang w:val="es-GT" w:eastAsia="es-GT"/>
        </w:rPr>
        <w:t>7</w:t>
      </w:r>
      <w:r w:rsidRPr="001A01AB">
        <w:rPr>
          <w:rFonts w:ascii="Calibri" w:hAnsi="Calibri" w:cs="Calibri"/>
          <w:color w:val="000000"/>
          <w:lang w:val="es-GT" w:eastAsia="es-GT"/>
        </w:rPr>
        <w:t xml:space="preserve">. </w:t>
      </w:r>
    </w:p>
    <w:p w:rsidR="008327B2" w:rsidRPr="001A01AB" w:rsidRDefault="008327B2" w:rsidP="008327B2">
      <w:pPr>
        <w:jc w:val="both"/>
        <w:rPr>
          <w:rFonts w:ascii="Calibri" w:hAnsi="Calibri" w:cs="Calibri"/>
          <w:color w:val="000000"/>
          <w:lang w:val="es-GT" w:eastAsia="es-GT"/>
        </w:rPr>
      </w:pPr>
    </w:p>
    <w:p w:rsidR="008327B2" w:rsidRPr="001A01AB" w:rsidRDefault="008327B2" w:rsidP="008327B2">
      <w:pPr>
        <w:jc w:val="both"/>
        <w:rPr>
          <w:rFonts w:ascii="Calibri" w:hAnsi="Calibri" w:cs="Calibri"/>
          <w:color w:val="000000"/>
          <w:lang w:val="es-GT" w:eastAsia="es-GT"/>
        </w:rPr>
      </w:pPr>
    </w:p>
    <w:p w:rsidR="005D75A1" w:rsidRDefault="005D75A1" w:rsidP="008327B2">
      <w:pPr>
        <w:pStyle w:val="Epgrafe"/>
        <w:spacing w:after="120"/>
        <w:jc w:val="center"/>
        <w:rPr>
          <w:rFonts w:ascii="Calibri" w:hAnsi="Calibri" w:cs="Calibri"/>
          <w:color w:val="365F91"/>
          <w:sz w:val="24"/>
          <w:szCs w:val="24"/>
          <w:lang w:val="es-GT"/>
        </w:rPr>
      </w:pPr>
      <w:bookmarkStart w:id="323" w:name="_Toc340004981"/>
      <w:bookmarkStart w:id="324" w:name="_Toc340032171"/>
      <w:bookmarkStart w:id="325" w:name="_Toc340034448"/>
    </w:p>
    <w:p w:rsidR="008327B2" w:rsidRDefault="00C54ACC" w:rsidP="007033AE">
      <w:pPr>
        <w:pStyle w:val="Epgrafe"/>
        <w:jc w:val="center"/>
        <w:rPr>
          <w:rFonts w:asciiTheme="minorHAnsi" w:hAnsiTheme="minorHAnsi" w:cstheme="minorHAnsi"/>
          <w:color w:val="365F91" w:themeColor="accent1" w:themeShade="BF"/>
          <w:sz w:val="22"/>
          <w:szCs w:val="22"/>
          <w:lang w:val="es-GT"/>
        </w:rPr>
      </w:pPr>
      <w:bookmarkStart w:id="326" w:name="_Toc343164655"/>
      <w:bookmarkStart w:id="327" w:name="_Toc347841209"/>
      <w:r w:rsidRPr="007033AE">
        <w:rPr>
          <w:rFonts w:asciiTheme="minorHAnsi" w:hAnsiTheme="minorHAnsi" w:cstheme="minorHAnsi"/>
          <w:color w:val="365F91" w:themeColor="accent1" w:themeShade="BF"/>
          <w:sz w:val="22"/>
          <w:szCs w:val="22"/>
          <w:lang w:val="es-GT"/>
        </w:rPr>
        <w:lastRenderedPageBreak/>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27</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Superficie cultivable, potencial y disponibilidad de agua para riego, por vertiente</w:t>
      </w:r>
      <w:bookmarkEnd w:id="323"/>
      <w:bookmarkEnd w:id="324"/>
      <w:bookmarkEnd w:id="325"/>
      <w:bookmarkEnd w:id="326"/>
      <w:bookmarkEnd w:id="327"/>
    </w:p>
    <w:p w:rsidR="007033AE" w:rsidRPr="007033AE" w:rsidRDefault="007033AE" w:rsidP="007033AE">
      <w:pPr>
        <w:rPr>
          <w:lang w:val="es-GT"/>
        </w:rPr>
      </w:pPr>
    </w:p>
    <w:tbl>
      <w:tblPr>
        <w:tblW w:w="9225" w:type="dxa"/>
        <w:jc w:val="center"/>
        <w:tblInd w:w="8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526"/>
        <w:gridCol w:w="1539"/>
        <w:gridCol w:w="9"/>
        <w:gridCol w:w="1537"/>
        <w:gridCol w:w="1530"/>
        <w:gridCol w:w="7"/>
        <w:gridCol w:w="1540"/>
        <w:gridCol w:w="1537"/>
      </w:tblGrid>
      <w:tr w:rsidR="008327B2" w:rsidRPr="000364C9" w:rsidTr="001A01AB">
        <w:trPr>
          <w:jc w:val="center"/>
        </w:trPr>
        <w:tc>
          <w:tcPr>
            <w:tcW w:w="1526" w:type="dxa"/>
            <w:vMerge w:val="restart"/>
            <w:shd w:val="clear" w:color="auto" w:fill="365F91"/>
            <w:vAlign w:val="center"/>
            <w:hideMark/>
          </w:tcPr>
          <w:p w:rsidR="008327B2" w:rsidRPr="001A01AB" w:rsidRDefault="00012F1C" w:rsidP="008327B2">
            <w:pPr>
              <w:jc w:val="center"/>
              <w:rPr>
                <w:rFonts w:ascii="Arial Narrow" w:hAnsi="Arial Narrow" w:cs="Calibri"/>
                <w:color w:val="FFFFFF"/>
                <w:sz w:val="22"/>
                <w:lang w:val="es-GT" w:eastAsia="es-GT"/>
              </w:rPr>
            </w:pPr>
            <w:r>
              <w:rPr>
                <w:rFonts w:ascii="Arial Narrow" w:hAnsi="Arial Narrow" w:cs="Calibri"/>
                <w:b/>
                <w:bCs/>
                <w:color w:val="FFFFFF"/>
                <w:sz w:val="22"/>
                <w:lang w:val="es-GT" w:eastAsia="es-GT"/>
              </w:rPr>
              <w:t>Nombre de la v</w:t>
            </w:r>
            <w:r w:rsidR="008327B2" w:rsidRPr="001A01AB">
              <w:rPr>
                <w:rFonts w:ascii="Arial Narrow" w:hAnsi="Arial Narrow" w:cs="Calibri"/>
                <w:b/>
                <w:bCs/>
                <w:color w:val="FFFFFF"/>
                <w:sz w:val="22"/>
                <w:lang w:val="es-GT" w:eastAsia="es-GT"/>
              </w:rPr>
              <w:t>ertiente</w:t>
            </w:r>
          </w:p>
        </w:tc>
        <w:tc>
          <w:tcPr>
            <w:tcW w:w="1539" w:type="dxa"/>
            <w:vMerge w:val="restart"/>
            <w:shd w:val="clear" w:color="auto" w:fill="365F91"/>
            <w:vAlign w:val="center"/>
            <w:hideMark/>
          </w:tcPr>
          <w:p w:rsidR="008327B2" w:rsidRPr="001A01AB" w:rsidRDefault="008327B2" w:rsidP="008327B2">
            <w:pPr>
              <w:jc w:val="center"/>
              <w:rPr>
                <w:rFonts w:ascii="Arial Narrow" w:hAnsi="Arial Narrow" w:cs="Calibri"/>
                <w:color w:val="FFFFFF"/>
                <w:sz w:val="22"/>
                <w:lang w:val="es-GT" w:eastAsia="es-GT"/>
              </w:rPr>
            </w:pPr>
            <w:r w:rsidRPr="001A01AB">
              <w:rPr>
                <w:rFonts w:ascii="Arial Narrow" w:hAnsi="Arial Narrow" w:cs="Calibri"/>
                <w:b/>
                <w:bCs/>
                <w:color w:val="FFFFFF"/>
                <w:sz w:val="22"/>
                <w:lang w:val="es-GT" w:eastAsia="es-GT"/>
              </w:rPr>
              <w:t>Superficie cultivable (ha)</w:t>
            </w:r>
          </w:p>
        </w:tc>
        <w:tc>
          <w:tcPr>
            <w:tcW w:w="1546" w:type="dxa"/>
            <w:gridSpan w:val="2"/>
            <w:vMerge w:val="restart"/>
            <w:shd w:val="clear" w:color="auto" w:fill="365F91"/>
            <w:vAlign w:val="center"/>
            <w:hideMark/>
          </w:tcPr>
          <w:p w:rsidR="008327B2" w:rsidRPr="001A01AB" w:rsidRDefault="008327B2" w:rsidP="008327B2">
            <w:pPr>
              <w:jc w:val="center"/>
              <w:rPr>
                <w:rFonts w:ascii="Arial Narrow" w:hAnsi="Arial Narrow" w:cs="Calibri"/>
                <w:color w:val="FFFFFF"/>
                <w:sz w:val="22"/>
                <w:lang w:val="es-GT" w:eastAsia="es-GT"/>
              </w:rPr>
            </w:pPr>
            <w:r w:rsidRPr="001A01AB">
              <w:rPr>
                <w:rFonts w:ascii="Arial Narrow" w:hAnsi="Arial Narrow" w:cs="Calibri"/>
                <w:b/>
                <w:bCs/>
                <w:color w:val="FFFFFF"/>
                <w:sz w:val="22"/>
                <w:lang w:val="es-GT" w:eastAsia="es-GT"/>
              </w:rPr>
              <w:t>Superficie</w:t>
            </w:r>
            <w:r w:rsidR="00141A70">
              <w:rPr>
                <w:rFonts w:ascii="Arial Narrow" w:hAnsi="Arial Narrow" w:cs="Calibri"/>
                <w:b/>
                <w:bCs/>
                <w:color w:val="FFFFFF"/>
                <w:sz w:val="22"/>
                <w:lang w:val="es-GT" w:eastAsia="es-GT"/>
              </w:rPr>
              <w:t xml:space="preserve"> </w:t>
            </w:r>
            <w:r w:rsidRPr="001A01AB">
              <w:rPr>
                <w:rFonts w:ascii="Arial Narrow" w:hAnsi="Arial Narrow" w:cs="Calibri"/>
                <w:b/>
                <w:bCs/>
                <w:color w:val="FFFFFF"/>
                <w:sz w:val="22"/>
                <w:lang w:val="es-GT" w:eastAsia="es-GT"/>
              </w:rPr>
              <w:t>potencial de riego (ha)</w:t>
            </w:r>
          </w:p>
        </w:tc>
        <w:tc>
          <w:tcPr>
            <w:tcW w:w="4614" w:type="dxa"/>
            <w:gridSpan w:val="4"/>
            <w:shd w:val="clear" w:color="auto" w:fill="365F91"/>
            <w:vAlign w:val="center"/>
            <w:hideMark/>
          </w:tcPr>
          <w:p w:rsidR="008327B2" w:rsidRPr="001A01AB" w:rsidRDefault="008327B2" w:rsidP="008327B2">
            <w:pPr>
              <w:jc w:val="center"/>
              <w:rPr>
                <w:rFonts w:ascii="Arial Narrow" w:hAnsi="Arial Narrow" w:cs="Calibri"/>
                <w:color w:val="FFFFFF"/>
                <w:sz w:val="22"/>
                <w:lang w:val="es-GT" w:eastAsia="es-GT"/>
              </w:rPr>
            </w:pPr>
            <w:r w:rsidRPr="001A01AB">
              <w:rPr>
                <w:rFonts w:ascii="Arial Narrow" w:hAnsi="Arial Narrow" w:cs="Calibri"/>
                <w:b/>
                <w:bCs/>
                <w:color w:val="FFFFFF"/>
                <w:sz w:val="22"/>
                <w:lang w:val="es-GT" w:eastAsia="es-GT"/>
              </w:rPr>
              <w:t>Superficie regable (ha) en base a disponibilidad de:</w:t>
            </w:r>
          </w:p>
        </w:tc>
      </w:tr>
      <w:tr w:rsidR="008327B2" w:rsidRPr="00120F56" w:rsidTr="001A01AB">
        <w:trPr>
          <w:jc w:val="center"/>
        </w:trPr>
        <w:tc>
          <w:tcPr>
            <w:tcW w:w="1526" w:type="dxa"/>
            <w:vMerge/>
            <w:shd w:val="clear" w:color="auto" w:fill="365F91"/>
            <w:vAlign w:val="center"/>
            <w:hideMark/>
          </w:tcPr>
          <w:p w:rsidR="008327B2" w:rsidRPr="001A01AB" w:rsidRDefault="008327B2" w:rsidP="008327B2">
            <w:pPr>
              <w:jc w:val="center"/>
              <w:rPr>
                <w:rFonts w:ascii="Arial Narrow" w:hAnsi="Arial Narrow" w:cs="Calibri"/>
                <w:color w:val="FFFFFF"/>
                <w:sz w:val="22"/>
                <w:lang w:val="es-GT" w:eastAsia="es-GT"/>
              </w:rPr>
            </w:pPr>
          </w:p>
        </w:tc>
        <w:tc>
          <w:tcPr>
            <w:tcW w:w="1539" w:type="dxa"/>
            <w:vMerge/>
            <w:shd w:val="clear" w:color="auto" w:fill="365F91"/>
            <w:vAlign w:val="center"/>
            <w:hideMark/>
          </w:tcPr>
          <w:p w:rsidR="008327B2" w:rsidRPr="001A01AB" w:rsidRDefault="008327B2" w:rsidP="008327B2">
            <w:pPr>
              <w:jc w:val="center"/>
              <w:rPr>
                <w:rFonts w:ascii="Arial Narrow" w:hAnsi="Arial Narrow" w:cs="Calibri"/>
                <w:color w:val="FFFFFF"/>
                <w:sz w:val="22"/>
                <w:lang w:val="es-GT" w:eastAsia="es-GT"/>
              </w:rPr>
            </w:pPr>
          </w:p>
        </w:tc>
        <w:tc>
          <w:tcPr>
            <w:tcW w:w="1546" w:type="dxa"/>
            <w:gridSpan w:val="2"/>
            <w:vMerge/>
            <w:shd w:val="clear" w:color="auto" w:fill="365F91"/>
            <w:vAlign w:val="center"/>
            <w:hideMark/>
          </w:tcPr>
          <w:p w:rsidR="008327B2" w:rsidRPr="001A01AB" w:rsidRDefault="008327B2" w:rsidP="008327B2">
            <w:pPr>
              <w:jc w:val="center"/>
              <w:rPr>
                <w:rFonts w:ascii="Arial Narrow" w:hAnsi="Arial Narrow" w:cs="Calibri"/>
                <w:color w:val="FFFFFF"/>
                <w:sz w:val="22"/>
                <w:lang w:val="es-GT" w:eastAsia="es-GT"/>
              </w:rPr>
            </w:pPr>
          </w:p>
        </w:tc>
        <w:tc>
          <w:tcPr>
            <w:tcW w:w="1530" w:type="dxa"/>
            <w:shd w:val="clear" w:color="auto" w:fill="365F91"/>
            <w:vAlign w:val="center"/>
            <w:hideMark/>
          </w:tcPr>
          <w:p w:rsidR="008327B2" w:rsidRPr="001A01AB" w:rsidRDefault="008327B2" w:rsidP="008327B2">
            <w:pPr>
              <w:jc w:val="center"/>
              <w:rPr>
                <w:rFonts w:ascii="Arial Narrow" w:hAnsi="Arial Narrow" w:cs="Calibri"/>
                <w:color w:val="FFFFFF"/>
                <w:sz w:val="22"/>
                <w:lang w:val="es-GT" w:eastAsia="es-GT"/>
              </w:rPr>
            </w:pPr>
            <w:r w:rsidRPr="001A01AB">
              <w:rPr>
                <w:rFonts w:ascii="Arial Narrow" w:hAnsi="Arial Narrow" w:cs="Calibri"/>
                <w:b/>
                <w:bCs/>
                <w:color w:val="FFFFFF"/>
                <w:sz w:val="22"/>
                <w:lang w:val="es-GT" w:eastAsia="es-GT"/>
              </w:rPr>
              <w:t xml:space="preserve">Aguas superficiales </w:t>
            </w:r>
            <w:r w:rsidR="00012F1C">
              <w:rPr>
                <w:rFonts w:ascii="Arial Narrow" w:hAnsi="Arial Narrow" w:cs="Calibri"/>
                <w:b/>
                <w:bCs/>
                <w:color w:val="FFFFFF"/>
                <w:sz w:val="22"/>
                <w:lang w:val="es-GT" w:eastAsia="es-GT"/>
              </w:rPr>
              <w:t xml:space="preserve">de </w:t>
            </w:r>
            <w:r w:rsidRPr="001A01AB">
              <w:rPr>
                <w:rFonts w:ascii="Arial Narrow" w:hAnsi="Arial Narrow" w:cs="Calibri"/>
                <w:b/>
                <w:bCs/>
                <w:color w:val="FFFFFF"/>
                <w:sz w:val="22"/>
                <w:lang w:val="es-GT" w:eastAsia="es-GT"/>
              </w:rPr>
              <w:t>captación</w:t>
            </w:r>
          </w:p>
        </w:tc>
        <w:tc>
          <w:tcPr>
            <w:tcW w:w="1547" w:type="dxa"/>
            <w:gridSpan w:val="2"/>
            <w:shd w:val="clear" w:color="auto" w:fill="365F91"/>
            <w:vAlign w:val="center"/>
            <w:hideMark/>
          </w:tcPr>
          <w:p w:rsidR="008327B2" w:rsidRPr="001A01AB" w:rsidRDefault="008327B2" w:rsidP="008327B2">
            <w:pPr>
              <w:jc w:val="center"/>
              <w:rPr>
                <w:rFonts w:ascii="Arial Narrow" w:hAnsi="Arial Narrow" w:cs="Calibri"/>
                <w:color w:val="FFFFFF"/>
                <w:sz w:val="22"/>
                <w:lang w:val="es-GT" w:eastAsia="es-GT"/>
              </w:rPr>
            </w:pPr>
            <w:r w:rsidRPr="001A01AB">
              <w:rPr>
                <w:rFonts w:ascii="Arial Narrow" w:hAnsi="Arial Narrow" w:cs="Calibri"/>
                <w:b/>
                <w:bCs/>
                <w:color w:val="FFFFFF"/>
                <w:sz w:val="20"/>
                <w:lang w:val="es-GT" w:eastAsia="es-GT"/>
              </w:rPr>
              <w:t xml:space="preserve">Aguas superficiales </w:t>
            </w:r>
            <w:r w:rsidR="00012F1C">
              <w:rPr>
                <w:rFonts w:ascii="Arial Narrow" w:hAnsi="Arial Narrow" w:cs="Calibri"/>
                <w:b/>
                <w:bCs/>
                <w:color w:val="FFFFFF"/>
                <w:sz w:val="20"/>
                <w:lang w:val="es-GT" w:eastAsia="es-GT"/>
              </w:rPr>
              <w:t xml:space="preserve">de </w:t>
            </w:r>
            <w:r w:rsidRPr="001A01AB">
              <w:rPr>
                <w:rFonts w:ascii="Arial Narrow" w:hAnsi="Arial Narrow" w:cs="Calibri"/>
                <w:b/>
                <w:bCs/>
                <w:color w:val="FFFFFF"/>
                <w:sz w:val="20"/>
                <w:lang w:val="es-GT" w:eastAsia="es-GT"/>
              </w:rPr>
              <w:t>almacenamiento</w:t>
            </w:r>
          </w:p>
        </w:tc>
        <w:tc>
          <w:tcPr>
            <w:tcW w:w="1537" w:type="dxa"/>
            <w:shd w:val="clear" w:color="auto" w:fill="365F91"/>
            <w:vAlign w:val="center"/>
            <w:hideMark/>
          </w:tcPr>
          <w:p w:rsidR="008327B2" w:rsidRPr="001A01AB" w:rsidRDefault="008327B2" w:rsidP="008327B2">
            <w:pPr>
              <w:jc w:val="center"/>
              <w:rPr>
                <w:rFonts w:ascii="Arial Narrow" w:hAnsi="Arial Narrow" w:cs="Calibri"/>
                <w:color w:val="FFFFFF"/>
                <w:sz w:val="22"/>
                <w:lang w:val="es-GT" w:eastAsia="es-GT"/>
              </w:rPr>
            </w:pPr>
            <w:r w:rsidRPr="001A01AB">
              <w:rPr>
                <w:rFonts w:ascii="Arial Narrow" w:hAnsi="Arial Narrow" w:cs="Calibri"/>
                <w:b/>
                <w:bCs/>
                <w:color w:val="FFFFFF"/>
                <w:sz w:val="22"/>
                <w:lang w:val="es-GT" w:eastAsia="es-GT"/>
              </w:rPr>
              <w:t>Aguas subterráneas</w:t>
            </w:r>
          </w:p>
        </w:tc>
      </w:tr>
      <w:tr w:rsidR="008327B2" w:rsidRPr="00120F56" w:rsidTr="001A01AB">
        <w:trPr>
          <w:jc w:val="center"/>
        </w:trPr>
        <w:tc>
          <w:tcPr>
            <w:tcW w:w="1526" w:type="dxa"/>
            <w:shd w:val="clear" w:color="auto" w:fill="DBE5F1"/>
            <w:vAlign w:val="center"/>
            <w:hideMark/>
          </w:tcPr>
          <w:p w:rsidR="008327B2" w:rsidRPr="001A01AB" w:rsidRDefault="008327B2" w:rsidP="008327B2">
            <w:pPr>
              <w:jc w:val="both"/>
              <w:rPr>
                <w:rFonts w:ascii="Calibri" w:hAnsi="Calibri" w:cs="Calibri"/>
                <w:color w:val="000000"/>
                <w:lang w:val="es-GT" w:eastAsia="es-GT"/>
              </w:rPr>
            </w:pPr>
            <w:r w:rsidRPr="001A01AB">
              <w:rPr>
                <w:rFonts w:ascii="Calibri" w:hAnsi="Calibri" w:cs="Calibri"/>
                <w:bCs/>
                <w:color w:val="000000"/>
                <w:lang w:val="es-GT" w:eastAsia="es-GT"/>
              </w:rPr>
              <w:t>Pacífico</w:t>
            </w:r>
          </w:p>
        </w:tc>
        <w:tc>
          <w:tcPr>
            <w:tcW w:w="1548" w:type="dxa"/>
            <w:gridSpan w:val="2"/>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930,000</w:t>
            </w:r>
          </w:p>
        </w:tc>
        <w:tc>
          <w:tcPr>
            <w:tcW w:w="1537" w:type="dxa"/>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921,700</w:t>
            </w:r>
          </w:p>
        </w:tc>
        <w:tc>
          <w:tcPr>
            <w:tcW w:w="1537" w:type="dxa"/>
            <w:gridSpan w:val="2"/>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184,500</w:t>
            </w:r>
          </w:p>
        </w:tc>
        <w:tc>
          <w:tcPr>
            <w:tcW w:w="1540" w:type="dxa"/>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906,200</w:t>
            </w:r>
          </w:p>
        </w:tc>
        <w:tc>
          <w:tcPr>
            <w:tcW w:w="1537" w:type="dxa"/>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554,500</w:t>
            </w:r>
          </w:p>
        </w:tc>
      </w:tr>
      <w:tr w:rsidR="008327B2" w:rsidRPr="00120F56" w:rsidTr="001A01AB">
        <w:trPr>
          <w:jc w:val="center"/>
        </w:trPr>
        <w:tc>
          <w:tcPr>
            <w:tcW w:w="1526" w:type="dxa"/>
            <w:shd w:val="clear" w:color="auto" w:fill="DBE5F1"/>
            <w:vAlign w:val="center"/>
            <w:hideMark/>
          </w:tcPr>
          <w:p w:rsidR="008327B2" w:rsidRPr="001A01AB" w:rsidRDefault="008327B2" w:rsidP="008327B2">
            <w:pPr>
              <w:jc w:val="both"/>
              <w:rPr>
                <w:rFonts w:ascii="Calibri" w:hAnsi="Calibri" w:cs="Calibri"/>
                <w:color w:val="000000"/>
                <w:lang w:val="es-GT" w:eastAsia="es-GT"/>
              </w:rPr>
            </w:pPr>
            <w:r w:rsidRPr="001A01AB">
              <w:rPr>
                <w:rFonts w:ascii="Calibri" w:hAnsi="Calibri" w:cs="Calibri"/>
                <w:bCs/>
                <w:color w:val="000000"/>
                <w:lang w:val="es-GT" w:eastAsia="es-GT"/>
              </w:rPr>
              <w:t>Mar del Caribe</w:t>
            </w:r>
          </w:p>
        </w:tc>
        <w:tc>
          <w:tcPr>
            <w:tcW w:w="1548" w:type="dxa"/>
            <w:gridSpan w:val="2"/>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667,600</w:t>
            </w:r>
          </w:p>
        </w:tc>
        <w:tc>
          <w:tcPr>
            <w:tcW w:w="1537" w:type="dxa"/>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528,500</w:t>
            </w:r>
          </w:p>
        </w:tc>
        <w:tc>
          <w:tcPr>
            <w:tcW w:w="1537" w:type="dxa"/>
            <w:gridSpan w:val="2"/>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186,000</w:t>
            </w:r>
          </w:p>
        </w:tc>
        <w:tc>
          <w:tcPr>
            <w:tcW w:w="1540" w:type="dxa"/>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528,500</w:t>
            </w:r>
          </w:p>
        </w:tc>
        <w:tc>
          <w:tcPr>
            <w:tcW w:w="1537" w:type="dxa"/>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467,900</w:t>
            </w:r>
          </w:p>
        </w:tc>
      </w:tr>
      <w:tr w:rsidR="008327B2" w:rsidRPr="00120F56" w:rsidTr="001A01AB">
        <w:trPr>
          <w:jc w:val="center"/>
        </w:trPr>
        <w:tc>
          <w:tcPr>
            <w:tcW w:w="1526" w:type="dxa"/>
            <w:shd w:val="clear" w:color="auto" w:fill="DBE5F1"/>
            <w:vAlign w:val="center"/>
            <w:hideMark/>
          </w:tcPr>
          <w:p w:rsidR="008327B2" w:rsidRPr="001A01AB" w:rsidRDefault="008327B2" w:rsidP="008327B2">
            <w:pPr>
              <w:jc w:val="both"/>
              <w:rPr>
                <w:rFonts w:ascii="Calibri" w:hAnsi="Calibri" w:cs="Calibri"/>
                <w:color w:val="000000"/>
                <w:lang w:val="es-GT" w:eastAsia="es-GT"/>
              </w:rPr>
            </w:pPr>
            <w:r w:rsidRPr="001A01AB">
              <w:rPr>
                <w:rFonts w:ascii="Calibri" w:hAnsi="Calibri" w:cs="Calibri"/>
                <w:bCs/>
                <w:color w:val="000000"/>
                <w:lang w:val="es-GT" w:eastAsia="es-GT"/>
              </w:rPr>
              <w:t>Golfo de México</w:t>
            </w:r>
          </w:p>
        </w:tc>
        <w:tc>
          <w:tcPr>
            <w:tcW w:w="1548" w:type="dxa"/>
            <w:gridSpan w:val="2"/>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1,336,600</w:t>
            </w:r>
          </w:p>
        </w:tc>
        <w:tc>
          <w:tcPr>
            <w:tcW w:w="1537" w:type="dxa"/>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1,172,100</w:t>
            </w:r>
          </w:p>
        </w:tc>
        <w:tc>
          <w:tcPr>
            <w:tcW w:w="1537" w:type="dxa"/>
            <w:gridSpan w:val="2"/>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352,500</w:t>
            </w:r>
          </w:p>
        </w:tc>
        <w:tc>
          <w:tcPr>
            <w:tcW w:w="1540" w:type="dxa"/>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1,172,100</w:t>
            </w:r>
          </w:p>
        </w:tc>
        <w:tc>
          <w:tcPr>
            <w:tcW w:w="1537" w:type="dxa"/>
            <w:shd w:val="clear" w:color="auto" w:fill="DBE5F1"/>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1,172,100</w:t>
            </w:r>
          </w:p>
        </w:tc>
      </w:tr>
      <w:tr w:rsidR="008327B2" w:rsidRPr="00120F56" w:rsidTr="001A01AB">
        <w:trPr>
          <w:jc w:val="center"/>
        </w:trPr>
        <w:tc>
          <w:tcPr>
            <w:tcW w:w="1526" w:type="dxa"/>
            <w:shd w:val="clear" w:color="auto" w:fill="DBE5F1"/>
            <w:vAlign w:val="center"/>
            <w:hideMark/>
          </w:tcPr>
          <w:p w:rsidR="008327B2" w:rsidRPr="001A01AB" w:rsidRDefault="008327B2" w:rsidP="008327B2">
            <w:pPr>
              <w:jc w:val="both"/>
              <w:rPr>
                <w:rFonts w:ascii="Calibri" w:hAnsi="Calibri" w:cs="Calibri"/>
                <w:b/>
                <w:color w:val="000000"/>
                <w:lang w:val="es-GT" w:eastAsia="es-GT"/>
              </w:rPr>
            </w:pPr>
            <w:r w:rsidRPr="001A01AB">
              <w:rPr>
                <w:rFonts w:ascii="Calibri" w:hAnsi="Calibri" w:cs="Calibri"/>
                <w:b/>
                <w:bCs/>
                <w:color w:val="000000"/>
                <w:lang w:val="es-GT" w:eastAsia="es-GT"/>
              </w:rPr>
              <w:t>T</w:t>
            </w:r>
            <w:r w:rsidR="00012F1C" w:rsidRPr="001A01AB">
              <w:rPr>
                <w:rFonts w:ascii="Calibri" w:hAnsi="Calibri" w:cs="Calibri"/>
                <w:b/>
                <w:bCs/>
                <w:color w:val="000000"/>
                <w:lang w:val="es-GT" w:eastAsia="es-GT"/>
              </w:rPr>
              <w:t>otal</w:t>
            </w:r>
          </w:p>
        </w:tc>
        <w:tc>
          <w:tcPr>
            <w:tcW w:w="1548" w:type="dxa"/>
            <w:gridSpan w:val="2"/>
            <w:shd w:val="clear" w:color="auto" w:fill="DBE5F1"/>
            <w:vAlign w:val="center"/>
            <w:hideMark/>
          </w:tcPr>
          <w:p w:rsidR="008327B2" w:rsidRPr="001A01AB" w:rsidRDefault="008327B2" w:rsidP="008327B2">
            <w:pPr>
              <w:jc w:val="center"/>
              <w:rPr>
                <w:rFonts w:ascii="Calibri" w:hAnsi="Calibri" w:cs="Calibri"/>
                <w:b/>
                <w:color w:val="000000"/>
                <w:lang w:val="es-GT" w:eastAsia="es-GT"/>
              </w:rPr>
            </w:pPr>
            <w:r w:rsidRPr="001A01AB">
              <w:rPr>
                <w:rFonts w:ascii="Calibri" w:hAnsi="Calibri" w:cs="Calibri"/>
                <w:b/>
                <w:color w:val="000000"/>
                <w:lang w:val="es-GT" w:eastAsia="es-GT"/>
              </w:rPr>
              <w:t>2,944,200</w:t>
            </w:r>
          </w:p>
        </w:tc>
        <w:tc>
          <w:tcPr>
            <w:tcW w:w="1537" w:type="dxa"/>
            <w:shd w:val="clear" w:color="auto" w:fill="DBE5F1"/>
            <w:vAlign w:val="center"/>
            <w:hideMark/>
          </w:tcPr>
          <w:p w:rsidR="008327B2" w:rsidRPr="001A01AB" w:rsidRDefault="008327B2" w:rsidP="008327B2">
            <w:pPr>
              <w:jc w:val="center"/>
              <w:rPr>
                <w:rFonts w:ascii="Calibri" w:hAnsi="Calibri" w:cs="Calibri"/>
                <w:b/>
                <w:color w:val="000000"/>
                <w:lang w:val="es-GT" w:eastAsia="es-GT"/>
              </w:rPr>
            </w:pPr>
            <w:r w:rsidRPr="001A01AB">
              <w:rPr>
                <w:rFonts w:ascii="Calibri" w:hAnsi="Calibri" w:cs="Calibri"/>
                <w:b/>
                <w:color w:val="000000"/>
                <w:lang w:val="es-GT" w:eastAsia="es-GT"/>
              </w:rPr>
              <w:t>2,622,300</w:t>
            </w:r>
          </w:p>
        </w:tc>
        <w:tc>
          <w:tcPr>
            <w:tcW w:w="1537" w:type="dxa"/>
            <w:gridSpan w:val="2"/>
            <w:shd w:val="clear" w:color="auto" w:fill="DBE5F1"/>
            <w:vAlign w:val="center"/>
            <w:hideMark/>
          </w:tcPr>
          <w:p w:rsidR="008327B2" w:rsidRPr="001A01AB" w:rsidRDefault="008327B2" w:rsidP="008327B2">
            <w:pPr>
              <w:jc w:val="center"/>
              <w:rPr>
                <w:rFonts w:ascii="Calibri" w:hAnsi="Calibri" w:cs="Calibri"/>
                <w:b/>
                <w:color w:val="000000"/>
                <w:lang w:val="es-GT" w:eastAsia="es-GT"/>
              </w:rPr>
            </w:pPr>
            <w:r w:rsidRPr="001A01AB">
              <w:rPr>
                <w:rFonts w:ascii="Calibri" w:hAnsi="Calibri" w:cs="Calibri"/>
                <w:b/>
                <w:color w:val="000000"/>
                <w:lang w:val="es-GT" w:eastAsia="es-GT"/>
              </w:rPr>
              <w:t>722,700</w:t>
            </w:r>
          </w:p>
        </w:tc>
        <w:tc>
          <w:tcPr>
            <w:tcW w:w="1540" w:type="dxa"/>
            <w:shd w:val="clear" w:color="auto" w:fill="DBE5F1"/>
            <w:vAlign w:val="center"/>
            <w:hideMark/>
          </w:tcPr>
          <w:p w:rsidR="008327B2" w:rsidRPr="001A01AB" w:rsidRDefault="008327B2" w:rsidP="008327B2">
            <w:pPr>
              <w:jc w:val="center"/>
              <w:rPr>
                <w:rFonts w:ascii="Calibri" w:hAnsi="Calibri" w:cs="Calibri"/>
                <w:b/>
                <w:color w:val="000000"/>
                <w:lang w:val="es-GT" w:eastAsia="es-GT"/>
              </w:rPr>
            </w:pPr>
            <w:r w:rsidRPr="001A01AB">
              <w:rPr>
                <w:rFonts w:ascii="Calibri" w:hAnsi="Calibri" w:cs="Calibri"/>
                <w:b/>
                <w:color w:val="000000"/>
                <w:lang w:val="es-GT" w:eastAsia="es-GT"/>
              </w:rPr>
              <w:t>2,606,800</w:t>
            </w:r>
          </w:p>
        </w:tc>
        <w:tc>
          <w:tcPr>
            <w:tcW w:w="1537" w:type="dxa"/>
            <w:shd w:val="clear" w:color="auto" w:fill="DBE5F1"/>
            <w:vAlign w:val="center"/>
            <w:hideMark/>
          </w:tcPr>
          <w:p w:rsidR="008327B2" w:rsidRPr="001A01AB" w:rsidRDefault="008327B2" w:rsidP="008327B2">
            <w:pPr>
              <w:jc w:val="center"/>
              <w:rPr>
                <w:rFonts w:ascii="Calibri" w:hAnsi="Calibri" w:cs="Calibri"/>
                <w:b/>
                <w:color w:val="000000"/>
                <w:lang w:val="es-GT" w:eastAsia="es-GT"/>
              </w:rPr>
            </w:pPr>
            <w:r w:rsidRPr="001A01AB">
              <w:rPr>
                <w:rFonts w:ascii="Calibri" w:hAnsi="Calibri" w:cs="Calibri"/>
                <w:b/>
                <w:color w:val="000000"/>
                <w:lang w:val="es-GT" w:eastAsia="es-GT"/>
              </w:rPr>
              <w:t>2,194,500</w:t>
            </w:r>
          </w:p>
        </w:tc>
      </w:tr>
    </w:tbl>
    <w:p w:rsidR="008327B2" w:rsidRPr="001A01AB" w:rsidRDefault="008327B2" w:rsidP="008327B2">
      <w:pPr>
        <w:ind w:right="180"/>
        <w:jc w:val="right"/>
        <w:rPr>
          <w:rFonts w:ascii="Calibri" w:hAnsi="Calibri" w:cs="Calibri"/>
          <w:color w:val="000000"/>
          <w:sz w:val="20"/>
          <w:lang w:val="es-GT" w:eastAsia="es-GT"/>
        </w:rPr>
      </w:pPr>
      <w:r w:rsidRPr="001A01AB">
        <w:rPr>
          <w:rFonts w:ascii="Calibri" w:hAnsi="Calibri" w:cs="Calibri"/>
          <w:color w:val="000000"/>
          <w:sz w:val="20"/>
          <w:lang w:val="es-GT" w:eastAsia="es-GT"/>
        </w:rPr>
        <w:t xml:space="preserve">Fuente: </w:t>
      </w:r>
      <w:r w:rsidR="0073409A">
        <w:rPr>
          <w:rFonts w:ascii="Calibri" w:hAnsi="Calibri" w:cs="Calibri"/>
          <w:color w:val="000000"/>
          <w:sz w:val="20"/>
          <w:lang w:val="es-GT"/>
        </w:rPr>
        <w:t>MAGA, DIGESA, DIRYA, División de Estudios (</w:t>
      </w:r>
      <w:r w:rsidRPr="001A01AB">
        <w:rPr>
          <w:rFonts w:ascii="Calibri" w:hAnsi="Calibri" w:cs="Calibri"/>
          <w:color w:val="000000"/>
          <w:sz w:val="20"/>
          <w:lang w:val="es-GT"/>
        </w:rPr>
        <w:t>1990)</w:t>
      </w:r>
      <w:r w:rsidR="0073409A">
        <w:rPr>
          <w:rFonts w:ascii="Calibri" w:hAnsi="Calibri" w:cs="Calibri"/>
          <w:color w:val="000000"/>
          <w:sz w:val="20"/>
          <w:lang w:val="es-GT"/>
        </w:rPr>
        <w:t>.</w:t>
      </w:r>
    </w:p>
    <w:p w:rsidR="008327B2" w:rsidRPr="001A01AB" w:rsidRDefault="008327B2" w:rsidP="008327B2">
      <w:pPr>
        <w:jc w:val="both"/>
        <w:rPr>
          <w:rFonts w:ascii="Calibri" w:hAnsi="Calibri" w:cs="Calibri"/>
          <w:bCs/>
          <w:color w:val="000000"/>
          <w:lang w:val="es-GT" w:eastAsia="es-GT"/>
        </w:rPr>
      </w:pPr>
    </w:p>
    <w:p w:rsidR="008327B2" w:rsidRPr="001A01AB" w:rsidRDefault="008327B2" w:rsidP="008327B2">
      <w:pPr>
        <w:jc w:val="both"/>
        <w:rPr>
          <w:rFonts w:ascii="Calibri" w:hAnsi="Calibri" w:cs="Calibri"/>
          <w:bCs/>
          <w:color w:val="000000"/>
          <w:lang w:val="es-GT" w:eastAsia="es-GT"/>
        </w:rPr>
      </w:pPr>
      <w:r w:rsidRPr="00012F1C">
        <w:rPr>
          <w:rFonts w:ascii="Calibri" w:hAnsi="Calibri" w:cs="Calibri"/>
          <w:bCs/>
          <w:color w:val="000000"/>
          <w:lang w:val="es-GT" w:eastAsia="es-GT"/>
        </w:rPr>
        <w:t>En 1990 se registraban 76,365 ha bajo riego entre sistemas públicos, privados y mini-riego. Las estadísticas del MAGA indican un gran incremento del riego en los años 90, especialmente del mini-riego; al año 1998 se estimaba el área con riego en 129,803 ha. En términos generales</w:t>
      </w:r>
      <w:r w:rsidR="00012F1C">
        <w:rPr>
          <w:rFonts w:ascii="Calibri" w:hAnsi="Calibri" w:cs="Calibri"/>
          <w:bCs/>
          <w:color w:val="000000"/>
          <w:lang w:val="es-GT" w:eastAsia="es-GT"/>
        </w:rPr>
        <w:t>,</w:t>
      </w:r>
      <w:r w:rsidRPr="00012F1C">
        <w:rPr>
          <w:rFonts w:ascii="Calibri" w:hAnsi="Calibri" w:cs="Calibri"/>
          <w:bCs/>
          <w:color w:val="000000"/>
          <w:lang w:val="es-GT" w:eastAsia="es-GT"/>
        </w:rPr>
        <w:t xml:space="preserve"> el riego en Guatemala se puede dividir en tres grandes tipos:</w:t>
      </w:r>
    </w:p>
    <w:p w:rsidR="008327B2" w:rsidRPr="001A01AB" w:rsidRDefault="008327B2" w:rsidP="008327B2">
      <w:pPr>
        <w:jc w:val="both"/>
        <w:rPr>
          <w:rFonts w:ascii="Calibri" w:hAnsi="Calibri" w:cs="Calibri"/>
          <w:bCs/>
          <w:color w:val="000000"/>
          <w:lang w:val="es-GT" w:eastAsia="es-GT"/>
        </w:rPr>
      </w:pPr>
    </w:p>
    <w:p w:rsidR="008327B2" w:rsidRPr="001A01AB" w:rsidRDefault="008327B2" w:rsidP="006B0A31">
      <w:pPr>
        <w:numPr>
          <w:ilvl w:val="0"/>
          <w:numId w:val="35"/>
        </w:numPr>
        <w:spacing w:after="120"/>
        <w:ind w:left="360"/>
        <w:jc w:val="both"/>
        <w:rPr>
          <w:rFonts w:ascii="Calibri" w:hAnsi="Calibri" w:cs="Calibri"/>
          <w:color w:val="000000"/>
          <w:lang w:val="es-GT" w:eastAsia="es-GT"/>
        </w:rPr>
      </w:pPr>
      <w:r w:rsidRPr="001A01AB">
        <w:rPr>
          <w:rFonts w:ascii="Calibri" w:hAnsi="Calibri" w:cs="Calibri"/>
          <w:color w:val="000000"/>
          <w:lang w:val="es-GT" w:eastAsia="es-GT"/>
        </w:rPr>
        <w:t>Riego privado, que se puede subdividir en: grandes fincas privadas y sistemas comunales. En las grandes fincas privadas domina el riego por g</w:t>
      </w:r>
      <w:r w:rsidR="00012F1C">
        <w:rPr>
          <w:rFonts w:ascii="Calibri" w:hAnsi="Calibri" w:cs="Calibri"/>
          <w:color w:val="000000"/>
          <w:lang w:val="es-GT" w:eastAsia="es-GT"/>
        </w:rPr>
        <w:t>ravedad, derivando agua del río;</w:t>
      </w:r>
      <w:r w:rsidRPr="001A01AB">
        <w:rPr>
          <w:rFonts w:ascii="Calibri" w:hAnsi="Calibri" w:cs="Calibri"/>
          <w:color w:val="000000"/>
          <w:lang w:val="es-GT" w:eastAsia="es-GT"/>
        </w:rPr>
        <w:t xml:space="preserve"> aunque dependiendo del cultivo también se encuentra </w:t>
      </w:r>
      <w:r w:rsidR="00012F1C">
        <w:rPr>
          <w:rFonts w:ascii="Calibri" w:hAnsi="Calibri" w:cs="Calibri"/>
          <w:color w:val="000000"/>
          <w:lang w:val="es-GT" w:eastAsia="es-GT"/>
        </w:rPr>
        <w:t xml:space="preserve">el </w:t>
      </w:r>
      <w:r w:rsidRPr="001A01AB">
        <w:rPr>
          <w:rFonts w:ascii="Calibri" w:hAnsi="Calibri" w:cs="Calibri"/>
          <w:color w:val="000000"/>
          <w:lang w:val="es-GT" w:eastAsia="es-GT"/>
        </w:rPr>
        <w:t xml:space="preserve">riego presurizado, </w:t>
      </w:r>
      <w:r w:rsidR="00012F1C">
        <w:rPr>
          <w:rFonts w:ascii="Calibri" w:hAnsi="Calibri" w:cs="Calibri"/>
          <w:color w:val="000000"/>
          <w:lang w:val="es-GT" w:eastAsia="es-GT"/>
        </w:rPr>
        <w:t xml:space="preserve">por </w:t>
      </w:r>
      <w:r w:rsidRPr="001A01AB">
        <w:rPr>
          <w:rFonts w:ascii="Calibri" w:hAnsi="Calibri" w:cs="Calibri"/>
          <w:color w:val="000000"/>
          <w:lang w:val="es-GT" w:eastAsia="es-GT"/>
        </w:rPr>
        <w:t xml:space="preserve">aspersión y </w:t>
      </w:r>
      <w:r w:rsidR="00012F1C">
        <w:rPr>
          <w:rFonts w:ascii="Calibri" w:hAnsi="Calibri" w:cs="Calibri"/>
          <w:color w:val="000000"/>
          <w:lang w:val="es-GT" w:eastAsia="es-GT"/>
        </w:rPr>
        <w:t xml:space="preserve">por </w:t>
      </w:r>
      <w:r w:rsidRPr="001A01AB">
        <w:rPr>
          <w:rFonts w:ascii="Calibri" w:hAnsi="Calibri" w:cs="Calibri"/>
          <w:color w:val="000000"/>
          <w:lang w:val="es-GT" w:eastAsia="es-GT"/>
        </w:rPr>
        <w:t>goteo.</w:t>
      </w:r>
    </w:p>
    <w:p w:rsidR="008327B2" w:rsidRPr="001A01AB" w:rsidRDefault="008327B2" w:rsidP="006B0A31">
      <w:pPr>
        <w:numPr>
          <w:ilvl w:val="0"/>
          <w:numId w:val="35"/>
        </w:numPr>
        <w:spacing w:after="120"/>
        <w:ind w:left="360"/>
        <w:jc w:val="both"/>
        <w:rPr>
          <w:rFonts w:ascii="Calibri" w:hAnsi="Calibri" w:cs="Calibri"/>
          <w:color w:val="000000"/>
          <w:lang w:val="es-GT" w:eastAsia="es-GT"/>
        </w:rPr>
      </w:pPr>
      <w:r w:rsidRPr="001A01AB">
        <w:rPr>
          <w:rFonts w:ascii="Calibri" w:hAnsi="Calibri" w:cs="Calibri"/>
          <w:color w:val="000000"/>
          <w:lang w:val="es-GT" w:eastAsia="es-GT"/>
        </w:rPr>
        <w:t>Riego estatal, referido a proyectos financiados, ejecutados, operados y mantenidos por el Estado, consistentes generalmente de una presa derivadora fija, canales princi</w:t>
      </w:r>
      <w:r w:rsidR="00012F1C">
        <w:rPr>
          <w:rFonts w:ascii="Calibri" w:hAnsi="Calibri" w:cs="Calibri"/>
          <w:color w:val="000000"/>
          <w:lang w:val="es-GT" w:eastAsia="es-GT"/>
        </w:rPr>
        <w:t>pales y secundarios de hormigón. E</w:t>
      </w:r>
      <w:r w:rsidRPr="001A01AB">
        <w:rPr>
          <w:rFonts w:ascii="Calibri" w:hAnsi="Calibri" w:cs="Calibri"/>
          <w:color w:val="000000"/>
          <w:lang w:val="es-GT" w:eastAsia="es-GT"/>
        </w:rPr>
        <w:t>n algunos casos se bombea agua para alcanzar terrenos más a</w:t>
      </w:r>
      <w:r w:rsidR="00012F1C">
        <w:rPr>
          <w:rFonts w:ascii="Calibri" w:hAnsi="Calibri" w:cs="Calibri"/>
          <w:color w:val="000000"/>
          <w:lang w:val="es-GT" w:eastAsia="es-GT"/>
        </w:rPr>
        <w:t>ltos que el punto de derivación. D</w:t>
      </w:r>
      <w:r w:rsidRPr="001A01AB">
        <w:rPr>
          <w:rFonts w:ascii="Calibri" w:hAnsi="Calibri" w:cs="Calibri"/>
          <w:color w:val="000000"/>
          <w:lang w:val="es-GT" w:eastAsia="es-GT"/>
        </w:rPr>
        <w:t xml:space="preserve">entro de las parcelas el riego es predominantemente por gravedad. </w:t>
      </w:r>
    </w:p>
    <w:p w:rsidR="008327B2" w:rsidRPr="001A01AB" w:rsidRDefault="008327B2" w:rsidP="006B0A31">
      <w:pPr>
        <w:numPr>
          <w:ilvl w:val="0"/>
          <w:numId w:val="35"/>
        </w:numPr>
        <w:ind w:left="360"/>
        <w:jc w:val="both"/>
        <w:rPr>
          <w:rFonts w:ascii="Calibri" w:hAnsi="Calibri" w:cs="Calibri"/>
          <w:color w:val="000000"/>
          <w:lang w:val="es-GT" w:eastAsia="es-GT"/>
        </w:rPr>
      </w:pPr>
      <w:r w:rsidRPr="001A01AB">
        <w:rPr>
          <w:rFonts w:ascii="Calibri" w:hAnsi="Calibri" w:cs="Calibri"/>
          <w:color w:val="000000"/>
          <w:lang w:val="es-GT" w:eastAsia="es-GT"/>
        </w:rPr>
        <w:t>Mini-riego o riego a pequeña escala, que consiste principalmente en la captación de un manantial e instalación parcelaria con riego por aspersión. En estos sistemas la participación de los beneficiarios es muy importante.</w:t>
      </w:r>
    </w:p>
    <w:p w:rsidR="008327B2" w:rsidRPr="001A01AB" w:rsidRDefault="008327B2" w:rsidP="008327B2">
      <w:pPr>
        <w:jc w:val="both"/>
        <w:rPr>
          <w:rFonts w:ascii="Calibri" w:hAnsi="Calibri" w:cs="Calibri"/>
          <w:bCs/>
          <w:color w:val="000000"/>
          <w:lang w:val="es-GT" w:eastAsia="es-GT"/>
        </w:rPr>
      </w:pPr>
    </w:p>
    <w:p w:rsidR="008327B2" w:rsidRPr="001A01AB" w:rsidRDefault="008327B2" w:rsidP="008327B2">
      <w:pPr>
        <w:jc w:val="both"/>
        <w:rPr>
          <w:rFonts w:ascii="Calibri" w:hAnsi="Calibri" w:cs="Calibri"/>
          <w:bCs/>
          <w:color w:val="000000"/>
          <w:lang w:val="es-GT" w:eastAsia="es-GT"/>
        </w:rPr>
      </w:pPr>
      <w:r w:rsidRPr="001A01AB">
        <w:rPr>
          <w:rFonts w:ascii="Calibri" w:hAnsi="Calibri" w:cs="Calibri"/>
          <w:bCs/>
          <w:color w:val="000000"/>
          <w:lang w:val="es-GT" w:eastAsia="es-GT"/>
        </w:rPr>
        <w:t>No se tiene información actualizada sobre lo</w:t>
      </w:r>
      <w:r w:rsidR="00012F1C">
        <w:rPr>
          <w:rFonts w:ascii="Calibri" w:hAnsi="Calibri" w:cs="Calibri"/>
          <w:bCs/>
          <w:color w:val="000000"/>
          <w:lang w:val="es-GT" w:eastAsia="es-GT"/>
        </w:rPr>
        <w:t>s proyectos de riego en el país; sin embargo, el MAGA realizó</w:t>
      </w:r>
      <w:r w:rsidRPr="001A01AB">
        <w:rPr>
          <w:rFonts w:ascii="Calibri" w:hAnsi="Calibri" w:cs="Calibri"/>
          <w:bCs/>
          <w:color w:val="000000"/>
          <w:lang w:val="es-GT" w:eastAsia="es-GT"/>
        </w:rPr>
        <w:t xml:space="preserve"> una evaluación de los proyectos de riego y las áreas potenciales en el </w:t>
      </w:r>
      <w:r w:rsidR="00012F1C" w:rsidRPr="00012F1C">
        <w:rPr>
          <w:rFonts w:ascii="Calibri" w:hAnsi="Calibri" w:cs="Calibri"/>
          <w:bCs/>
          <w:i/>
          <w:color w:val="000000"/>
          <w:lang w:val="es-GT" w:eastAsia="es-GT"/>
        </w:rPr>
        <w:t>corredor seco</w:t>
      </w:r>
      <w:r w:rsidR="00012F1C" w:rsidRPr="001A01AB">
        <w:rPr>
          <w:rFonts w:ascii="Calibri" w:hAnsi="Calibri" w:cs="Calibri"/>
          <w:bCs/>
          <w:color w:val="000000"/>
          <w:lang w:val="es-GT" w:eastAsia="es-GT"/>
        </w:rPr>
        <w:t xml:space="preserve"> </w:t>
      </w:r>
      <w:r w:rsidRPr="001A01AB">
        <w:rPr>
          <w:rFonts w:ascii="Calibri" w:hAnsi="Calibri" w:cs="Calibri"/>
          <w:bCs/>
          <w:color w:val="000000"/>
          <w:lang w:val="es-GT" w:eastAsia="es-GT"/>
        </w:rPr>
        <w:t xml:space="preserve">del país. Esta </w:t>
      </w:r>
      <w:r w:rsidR="0017736D" w:rsidRPr="001A01AB">
        <w:rPr>
          <w:rFonts w:ascii="Calibri" w:hAnsi="Calibri" w:cs="Calibri"/>
          <w:bCs/>
          <w:color w:val="000000"/>
          <w:lang w:val="es-GT" w:eastAsia="es-GT"/>
        </w:rPr>
        <w:t>información</w:t>
      </w:r>
      <w:r w:rsidRPr="001A01AB">
        <w:rPr>
          <w:rFonts w:ascii="Calibri" w:hAnsi="Calibri" w:cs="Calibri"/>
          <w:bCs/>
          <w:color w:val="000000"/>
          <w:lang w:val="es-GT" w:eastAsia="es-GT"/>
        </w:rPr>
        <w:t xml:space="preserve"> se presenta a nivel departamental, aunque su evaluación se concentra únicamente en las regiones con condiciones secas (</w:t>
      </w:r>
      <w:r w:rsidR="00012F1C">
        <w:rPr>
          <w:rFonts w:ascii="Calibri" w:hAnsi="Calibri" w:cs="Calibri"/>
          <w:bCs/>
          <w:color w:val="000000"/>
          <w:lang w:val="es-GT" w:eastAsia="es-GT"/>
        </w:rPr>
        <w:t>C</w:t>
      </w:r>
      <w:r w:rsidRPr="001A01AB">
        <w:rPr>
          <w:rFonts w:ascii="Calibri" w:hAnsi="Calibri" w:cs="Calibri"/>
          <w:bCs/>
          <w:color w:val="000000"/>
          <w:lang w:val="es-GT" w:eastAsia="es-GT"/>
        </w:rPr>
        <w:t xml:space="preserve">uadro </w:t>
      </w:r>
      <w:r w:rsidR="00012F1C">
        <w:rPr>
          <w:rFonts w:ascii="Calibri" w:hAnsi="Calibri" w:cs="Calibri"/>
          <w:bCs/>
          <w:color w:val="000000"/>
          <w:lang w:val="es-GT" w:eastAsia="es-GT"/>
        </w:rPr>
        <w:t>2</w:t>
      </w:r>
      <w:r w:rsidR="004C77F8">
        <w:rPr>
          <w:rFonts w:ascii="Calibri" w:hAnsi="Calibri" w:cs="Calibri"/>
          <w:bCs/>
          <w:color w:val="000000"/>
          <w:lang w:val="es-GT" w:eastAsia="es-GT"/>
        </w:rPr>
        <w:t>8</w:t>
      </w:r>
      <w:r w:rsidR="00012F1C">
        <w:rPr>
          <w:rFonts w:ascii="Calibri" w:hAnsi="Calibri" w:cs="Calibri"/>
          <w:bCs/>
          <w:color w:val="000000"/>
          <w:lang w:val="es-GT" w:eastAsia="es-GT"/>
        </w:rPr>
        <w:t xml:space="preserve"> y Figura 36</w:t>
      </w:r>
      <w:r w:rsidRPr="001A01AB">
        <w:rPr>
          <w:rFonts w:ascii="Calibri" w:hAnsi="Calibri" w:cs="Calibri"/>
          <w:bCs/>
          <w:color w:val="000000"/>
          <w:lang w:val="es-GT" w:eastAsia="es-GT"/>
        </w:rPr>
        <w:t xml:space="preserve">). </w:t>
      </w:r>
    </w:p>
    <w:p w:rsidR="008327B2" w:rsidRPr="001A01AB" w:rsidRDefault="008327B2" w:rsidP="008327B2">
      <w:pPr>
        <w:jc w:val="both"/>
        <w:rPr>
          <w:rFonts w:ascii="Calibri" w:hAnsi="Calibri" w:cs="Calibri"/>
          <w:bCs/>
          <w:color w:val="000000"/>
          <w:lang w:val="es-GT" w:eastAsia="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bookmarkStart w:id="328" w:name="_Toc340004982"/>
      <w:bookmarkStart w:id="329" w:name="_Toc340032172"/>
      <w:bookmarkStart w:id="330" w:name="_Toc340034449"/>
      <w:bookmarkStart w:id="331" w:name="_Toc343164656"/>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8327B2" w:rsidRDefault="00C54ACC" w:rsidP="007033AE">
      <w:pPr>
        <w:pStyle w:val="Epgrafe"/>
        <w:jc w:val="center"/>
        <w:rPr>
          <w:rFonts w:asciiTheme="minorHAnsi" w:hAnsiTheme="minorHAnsi" w:cstheme="minorHAnsi"/>
          <w:color w:val="365F91" w:themeColor="accent1" w:themeShade="BF"/>
          <w:sz w:val="22"/>
          <w:szCs w:val="22"/>
          <w:lang w:val="es-GT"/>
        </w:rPr>
      </w:pPr>
      <w:bookmarkStart w:id="332" w:name="_Toc347841210"/>
      <w:r w:rsidRPr="007033AE">
        <w:rPr>
          <w:rFonts w:asciiTheme="minorHAnsi" w:hAnsiTheme="minorHAnsi" w:cstheme="minorHAnsi"/>
          <w:color w:val="365F91" w:themeColor="accent1" w:themeShade="BF"/>
          <w:sz w:val="22"/>
          <w:szCs w:val="22"/>
          <w:lang w:val="es-GT"/>
        </w:rPr>
        <w:lastRenderedPageBreak/>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28</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 xml:space="preserve">Áreas actualmente regadas y con potencial de riego, en los departamentos del </w:t>
      </w:r>
      <w:r w:rsidR="0073409A" w:rsidRPr="007033AE">
        <w:rPr>
          <w:rFonts w:asciiTheme="minorHAnsi" w:hAnsiTheme="minorHAnsi" w:cstheme="minorHAnsi"/>
          <w:color w:val="365F91" w:themeColor="accent1" w:themeShade="BF"/>
          <w:sz w:val="22"/>
          <w:szCs w:val="22"/>
          <w:lang w:val="es-GT"/>
        </w:rPr>
        <w:t xml:space="preserve">corredor seco </w:t>
      </w:r>
      <w:r w:rsidR="008327B2" w:rsidRPr="007033AE">
        <w:rPr>
          <w:rFonts w:asciiTheme="minorHAnsi" w:hAnsiTheme="minorHAnsi" w:cstheme="minorHAnsi"/>
          <w:color w:val="365F91" w:themeColor="accent1" w:themeShade="BF"/>
          <w:sz w:val="22"/>
          <w:szCs w:val="22"/>
          <w:lang w:val="es-GT"/>
        </w:rPr>
        <w:t>de Guatemala</w:t>
      </w:r>
      <w:bookmarkEnd w:id="328"/>
      <w:bookmarkEnd w:id="329"/>
      <w:bookmarkEnd w:id="330"/>
      <w:bookmarkEnd w:id="331"/>
      <w:bookmarkEnd w:id="332"/>
    </w:p>
    <w:p w:rsidR="007033AE" w:rsidRPr="007033AE" w:rsidRDefault="007033AE" w:rsidP="007033AE">
      <w:pPr>
        <w:rPr>
          <w:lang w:val="es-GT"/>
        </w:rPr>
      </w:pPr>
    </w:p>
    <w:tbl>
      <w:tblPr>
        <w:tblW w:w="851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70" w:type="dxa"/>
          <w:right w:w="70" w:type="dxa"/>
        </w:tblCellMar>
        <w:tblLook w:val="04A0" w:firstRow="1" w:lastRow="0" w:firstColumn="1" w:lastColumn="0" w:noHBand="0" w:noVBand="1"/>
      </w:tblPr>
      <w:tblGrid>
        <w:gridCol w:w="2128"/>
        <w:gridCol w:w="2128"/>
        <w:gridCol w:w="2128"/>
        <w:gridCol w:w="2128"/>
      </w:tblGrid>
      <w:tr w:rsidR="008327B2" w:rsidRPr="004C77F8" w:rsidTr="001A01AB">
        <w:trPr>
          <w:trHeight w:val="20"/>
          <w:tblHeader/>
          <w:jc w:val="center"/>
        </w:trPr>
        <w:tc>
          <w:tcPr>
            <w:tcW w:w="2128" w:type="dxa"/>
            <w:shd w:val="clear" w:color="auto" w:fill="365F91"/>
            <w:noWrap/>
            <w:vAlign w:val="center"/>
            <w:hideMark/>
          </w:tcPr>
          <w:p w:rsidR="008327B2" w:rsidRPr="001A01AB" w:rsidRDefault="008327B2" w:rsidP="008327B2">
            <w:pPr>
              <w:jc w:val="center"/>
              <w:rPr>
                <w:rFonts w:ascii="Calibri" w:hAnsi="Calibri" w:cs="Calibri"/>
                <w:b/>
                <w:bCs/>
                <w:color w:val="FFFFFF"/>
                <w:lang w:val="es-GT" w:eastAsia="es-GT"/>
              </w:rPr>
            </w:pPr>
            <w:r w:rsidRPr="001A01AB">
              <w:rPr>
                <w:rFonts w:ascii="Calibri" w:hAnsi="Calibri" w:cs="Calibri"/>
                <w:b/>
                <w:bCs/>
                <w:color w:val="FFFFFF"/>
                <w:lang w:val="es-GT" w:eastAsia="es-GT"/>
              </w:rPr>
              <w:t>Departamento</w:t>
            </w:r>
          </w:p>
        </w:tc>
        <w:tc>
          <w:tcPr>
            <w:tcW w:w="2128" w:type="dxa"/>
            <w:shd w:val="clear" w:color="auto" w:fill="365F91"/>
            <w:noWrap/>
            <w:vAlign w:val="center"/>
            <w:hideMark/>
          </w:tcPr>
          <w:p w:rsidR="008327B2" w:rsidRPr="001A01AB" w:rsidRDefault="008327B2" w:rsidP="008327B2">
            <w:pPr>
              <w:jc w:val="center"/>
              <w:rPr>
                <w:rFonts w:ascii="Calibri" w:hAnsi="Calibri" w:cs="Calibri"/>
                <w:b/>
                <w:bCs/>
                <w:color w:val="FFFFFF"/>
                <w:lang w:val="es-GT" w:eastAsia="es-GT"/>
              </w:rPr>
            </w:pPr>
            <w:r w:rsidRPr="001A01AB">
              <w:rPr>
                <w:rFonts w:ascii="Calibri" w:hAnsi="Calibri" w:cs="Calibri"/>
                <w:b/>
                <w:bCs/>
                <w:color w:val="FFFFFF"/>
                <w:lang w:val="es-GT" w:eastAsia="es-GT"/>
              </w:rPr>
              <w:t>Actualmente regadas (has)</w:t>
            </w:r>
          </w:p>
        </w:tc>
        <w:tc>
          <w:tcPr>
            <w:tcW w:w="2128" w:type="dxa"/>
            <w:shd w:val="clear" w:color="auto" w:fill="365F91"/>
            <w:noWrap/>
            <w:vAlign w:val="center"/>
            <w:hideMark/>
          </w:tcPr>
          <w:p w:rsidR="008327B2" w:rsidRPr="001A01AB" w:rsidRDefault="008327B2" w:rsidP="008327B2">
            <w:pPr>
              <w:jc w:val="center"/>
              <w:rPr>
                <w:rFonts w:ascii="Calibri" w:hAnsi="Calibri" w:cs="Calibri"/>
                <w:b/>
                <w:bCs/>
                <w:color w:val="FFFFFF"/>
                <w:lang w:val="es-GT" w:eastAsia="es-GT"/>
              </w:rPr>
            </w:pPr>
            <w:r w:rsidRPr="001A01AB">
              <w:rPr>
                <w:rFonts w:ascii="Calibri" w:hAnsi="Calibri" w:cs="Calibri"/>
                <w:b/>
                <w:bCs/>
                <w:color w:val="FFFFFF"/>
                <w:lang w:val="es-GT" w:eastAsia="es-GT"/>
              </w:rPr>
              <w:t>Con potencial de riego (has)</w:t>
            </w:r>
          </w:p>
        </w:tc>
        <w:tc>
          <w:tcPr>
            <w:tcW w:w="2128" w:type="dxa"/>
            <w:shd w:val="clear" w:color="auto" w:fill="365F91"/>
            <w:noWrap/>
            <w:vAlign w:val="center"/>
            <w:hideMark/>
          </w:tcPr>
          <w:p w:rsidR="008327B2" w:rsidRPr="001A01AB" w:rsidRDefault="008327B2" w:rsidP="008327B2">
            <w:pPr>
              <w:jc w:val="center"/>
              <w:rPr>
                <w:rFonts w:ascii="Calibri" w:hAnsi="Calibri" w:cs="Calibri"/>
                <w:b/>
                <w:bCs/>
                <w:color w:val="FFFFFF"/>
                <w:lang w:val="es-GT" w:eastAsia="es-GT"/>
              </w:rPr>
            </w:pPr>
            <w:r w:rsidRPr="001A01AB">
              <w:rPr>
                <w:rFonts w:ascii="Calibri" w:hAnsi="Calibri" w:cs="Calibri"/>
                <w:b/>
                <w:bCs/>
                <w:color w:val="FFFFFF"/>
                <w:lang w:val="es-GT" w:eastAsia="es-GT"/>
              </w:rPr>
              <w:t>Total</w:t>
            </w:r>
          </w:p>
        </w:tc>
      </w:tr>
      <w:tr w:rsidR="008327B2" w:rsidRPr="004C77F8" w:rsidTr="001A01AB">
        <w:trPr>
          <w:trHeight w:val="20"/>
          <w:jc w:val="center"/>
        </w:trPr>
        <w:tc>
          <w:tcPr>
            <w:tcW w:w="2128" w:type="dxa"/>
            <w:shd w:val="clear" w:color="auto" w:fill="DBE5F1"/>
            <w:noWrap/>
            <w:vAlign w:val="center"/>
            <w:hideMark/>
          </w:tcPr>
          <w:p w:rsidR="008327B2" w:rsidRPr="001A01AB" w:rsidRDefault="008327B2" w:rsidP="008327B2">
            <w:pPr>
              <w:ind w:left="226"/>
              <w:rPr>
                <w:rFonts w:ascii="Calibri" w:hAnsi="Calibri" w:cs="Calibri"/>
                <w:color w:val="000000"/>
                <w:lang w:val="es-GT" w:eastAsia="es-GT"/>
              </w:rPr>
            </w:pPr>
            <w:r w:rsidRPr="001A01AB">
              <w:rPr>
                <w:rFonts w:ascii="Calibri" w:hAnsi="Calibri" w:cs="Calibri"/>
                <w:color w:val="000000"/>
                <w:lang w:val="es-GT" w:eastAsia="es-GT"/>
              </w:rPr>
              <w:t>Baja Verapaz</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6,960.4</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8,210.6</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15,171.0</w:t>
            </w:r>
          </w:p>
        </w:tc>
      </w:tr>
      <w:tr w:rsidR="008327B2" w:rsidRPr="00120F56" w:rsidTr="001A01AB">
        <w:trPr>
          <w:trHeight w:val="20"/>
          <w:jc w:val="center"/>
        </w:trPr>
        <w:tc>
          <w:tcPr>
            <w:tcW w:w="2128" w:type="dxa"/>
            <w:shd w:val="clear" w:color="auto" w:fill="DBE5F1"/>
            <w:noWrap/>
            <w:vAlign w:val="center"/>
            <w:hideMark/>
          </w:tcPr>
          <w:p w:rsidR="008327B2" w:rsidRPr="001A01AB" w:rsidRDefault="008327B2" w:rsidP="008327B2">
            <w:pPr>
              <w:ind w:left="226"/>
              <w:rPr>
                <w:rFonts w:ascii="Calibri" w:hAnsi="Calibri" w:cs="Calibri"/>
                <w:color w:val="000000"/>
                <w:lang w:val="es-GT" w:eastAsia="es-GT"/>
              </w:rPr>
            </w:pPr>
            <w:r w:rsidRPr="001A01AB">
              <w:rPr>
                <w:rFonts w:ascii="Calibri" w:hAnsi="Calibri" w:cs="Calibri"/>
                <w:color w:val="000000"/>
                <w:lang w:val="es-GT" w:eastAsia="es-GT"/>
              </w:rPr>
              <w:t>Chiquimula</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9,953.5</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5,037.0</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14,990.5</w:t>
            </w:r>
          </w:p>
        </w:tc>
      </w:tr>
      <w:tr w:rsidR="008327B2" w:rsidRPr="00120F56" w:rsidTr="001A01AB">
        <w:trPr>
          <w:trHeight w:val="20"/>
          <w:jc w:val="center"/>
        </w:trPr>
        <w:tc>
          <w:tcPr>
            <w:tcW w:w="2128" w:type="dxa"/>
            <w:shd w:val="clear" w:color="auto" w:fill="DBE5F1"/>
            <w:noWrap/>
            <w:vAlign w:val="center"/>
            <w:hideMark/>
          </w:tcPr>
          <w:p w:rsidR="008327B2" w:rsidRPr="001A01AB" w:rsidRDefault="008327B2" w:rsidP="008327B2">
            <w:pPr>
              <w:ind w:left="226"/>
              <w:rPr>
                <w:rFonts w:ascii="Calibri" w:hAnsi="Calibri" w:cs="Calibri"/>
                <w:color w:val="000000"/>
                <w:lang w:val="es-GT" w:eastAsia="es-GT"/>
              </w:rPr>
            </w:pPr>
            <w:r w:rsidRPr="001A01AB">
              <w:rPr>
                <w:rFonts w:ascii="Calibri" w:hAnsi="Calibri" w:cs="Calibri"/>
                <w:color w:val="000000"/>
                <w:lang w:val="es-GT" w:eastAsia="es-GT"/>
              </w:rPr>
              <w:t>El Progreso</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4,113.9</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3,300.0</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7,413.8</w:t>
            </w:r>
          </w:p>
        </w:tc>
      </w:tr>
      <w:tr w:rsidR="008327B2" w:rsidRPr="00120F56" w:rsidTr="001A01AB">
        <w:trPr>
          <w:trHeight w:val="20"/>
          <w:jc w:val="center"/>
        </w:trPr>
        <w:tc>
          <w:tcPr>
            <w:tcW w:w="2128" w:type="dxa"/>
            <w:shd w:val="clear" w:color="auto" w:fill="DBE5F1"/>
            <w:noWrap/>
            <w:vAlign w:val="center"/>
            <w:hideMark/>
          </w:tcPr>
          <w:p w:rsidR="008327B2" w:rsidRPr="001A01AB" w:rsidRDefault="008327B2" w:rsidP="008327B2">
            <w:pPr>
              <w:ind w:left="226"/>
              <w:rPr>
                <w:rFonts w:ascii="Calibri" w:hAnsi="Calibri" w:cs="Calibri"/>
                <w:color w:val="000000"/>
                <w:lang w:val="es-GT" w:eastAsia="es-GT"/>
              </w:rPr>
            </w:pPr>
            <w:r w:rsidRPr="001A01AB">
              <w:rPr>
                <w:rFonts w:ascii="Calibri" w:hAnsi="Calibri" w:cs="Calibri"/>
                <w:color w:val="000000"/>
                <w:lang w:val="es-GT" w:eastAsia="es-GT"/>
              </w:rPr>
              <w:t>Huehuetenango</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96.8</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13,513.9</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13,610.7</w:t>
            </w:r>
          </w:p>
        </w:tc>
      </w:tr>
      <w:tr w:rsidR="008327B2" w:rsidRPr="00120F56" w:rsidTr="001A01AB">
        <w:trPr>
          <w:trHeight w:val="20"/>
          <w:jc w:val="center"/>
        </w:trPr>
        <w:tc>
          <w:tcPr>
            <w:tcW w:w="2128" w:type="dxa"/>
            <w:shd w:val="clear" w:color="auto" w:fill="DBE5F1"/>
            <w:noWrap/>
            <w:vAlign w:val="center"/>
            <w:hideMark/>
          </w:tcPr>
          <w:p w:rsidR="008327B2" w:rsidRPr="001A01AB" w:rsidRDefault="008327B2" w:rsidP="008327B2">
            <w:pPr>
              <w:ind w:left="226"/>
              <w:rPr>
                <w:rFonts w:ascii="Calibri" w:hAnsi="Calibri" w:cs="Calibri"/>
                <w:color w:val="000000"/>
                <w:lang w:val="es-GT" w:eastAsia="es-GT"/>
              </w:rPr>
            </w:pPr>
            <w:r w:rsidRPr="001A01AB">
              <w:rPr>
                <w:rFonts w:ascii="Calibri" w:hAnsi="Calibri" w:cs="Calibri"/>
                <w:color w:val="000000"/>
                <w:lang w:val="es-GT" w:eastAsia="es-GT"/>
              </w:rPr>
              <w:t>Jalapa</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811.4</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1,415.1</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2,226.6</w:t>
            </w:r>
          </w:p>
        </w:tc>
      </w:tr>
      <w:tr w:rsidR="008327B2" w:rsidRPr="00120F56" w:rsidTr="001A01AB">
        <w:trPr>
          <w:trHeight w:val="20"/>
          <w:jc w:val="center"/>
        </w:trPr>
        <w:tc>
          <w:tcPr>
            <w:tcW w:w="2128" w:type="dxa"/>
            <w:shd w:val="clear" w:color="auto" w:fill="DBE5F1"/>
            <w:noWrap/>
            <w:vAlign w:val="center"/>
            <w:hideMark/>
          </w:tcPr>
          <w:p w:rsidR="008327B2" w:rsidRPr="001A01AB" w:rsidRDefault="008327B2" w:rsidP="008327B2">
            <w:pPr>
              <w:ind w:left="226"/>
              <w:rPr>
                <w:rFonts w:ascii="Calibri" w:hAnsi="Calibri" w:cs="Calibri"/>
                <w:color w:val="000000"/>
                <w:lang w:val="es-GT" w:eastAsia="es-GT"/>
              </w:rPr>
            </w:pPr>
            <w:r w:rsidRPr="001A01AB">
              <w:rPr>
                <w:rFonts w:ascii="Calibri" w:hAnsi="Calibri" w:cs="Calibri"/>
                <w:color w:val="000000"/>
                <w:lang w:val="es-GT" w:eastAsia="es-GT"/>
              </w:rPr>
              <w:t>Jutiapa</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367.3</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7,296.8</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7,664.1</w:t>
            </w:r>
          </w:p>
        </w:tc>
      </w:tr>
      <w:tr w:rsidR="008327B2" w:rsidRPr="00120F56" w:rsidTr="001A01AB">
        <w:trPr>
          <w:trHeight w:val="20"/>
          <w:jc w:val="center"/>
        </w:trPr>
        <w:tc>
          <w:tcPr>
            <w:tcW w:w="2128" w:type="dxa"/>
            <w:shd w:val="clear" w:color="auto" w:fill="DBE5F1"/>
            <w:noWrap/>
            <w:vAlign w:val="center"/>
            <w:hideMark/>
          </w:tcPr>
          <w:p w:rsidR="008327B2" w:rsidRPr="001A01AB" w:rsidRDefault="008327B2" w:rsidP="008327B2">
            <w:pPr>
              <w:ind w:left="226"/>
              <w:rPr>
                <w:rFonts w:ascii="Calibri" w:hAnsi="Calibri" w:cs="Calibri"/>
                <w:color w:val="000000"/>
                <w:lang w:val="es-GT" w:eastAsia="es-GT"/>
              </w:rPr>
            </w:pPr>
            <w:r w:rsidRPr="001A01AB">
              <w:rPr>
                <w:rFonts w:ascii="Calibri" w:hAnsi="Calibri" w:cs="Calibri"/>
                <w:color w:val="000000"/>
                <w:lang w:val="es-GT" w:eastAsia="es-GT"/>
              </w:rPr>
              <w:t>Quich</w:t>
            </w:r>
            <w:r w:rsidR="00012F1C">
              <w:rPr>
                <w:rFonts w:ascii="Calibri" w:hAnsi="Calibri" w:cs="Calibri"/>
                <w:color w:val="000000"/>
                <w:lang w:val="es-GT" w:eastAsia="es-GT"/>
              </w:rPr>
              <w:t>é</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313.2</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6,483.7</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6,797.0</w:t>
            </w:r>
          </w:p>
        </w:tc>
      </w:tr>
      <w:tr w:rsidR="008327B2" w:rsidRPr="00120F56" w:rsidTr="001A01AB">
        <w:trPr>
          <w:trHeight w:val="20"/>
          <w:jc w:val="center"/>
        </w:trPr>
        <w:tc>
          <w:tcPr>
            <w:tcW w:w="2128" w:type="dxa"/>
            <w:shd w:val="clear" w:color="auto" w:fill="DBE5F1"/>
            <w:noWrap/>
            <w:vAlign w:val="center"/>
            <w:hideMark/>
          </w:tcPr>
          <w:p w:rsidR="008327B2" w:rsidRPr="001A01AB" w:rsidRDefault="008327B2" w:rsidP="008327B2">
            <w:pPr>
              <w:ind w:left="226"/>
              <w:rPr>
                <w:rFonts w:ascii="Calibri" w:hAnsi="Calibri" w:cs="Calibri"/>
                <w:color w:val="000000"/>
                <w:lang w:val="es-GT" w:eastAsia="es-GT"/>
              </w:rPr>
            </w:pPr>
            <w:r w:rsidRPr="001A01AB">
              <w:rPr>
                <w:rFonts w:ascii="Calibri" w:hAnsi="Calibri" w:cs="Calibri"/>
                <w:color w:val="000000"/>
                <w:lang w:val="es-GT" w:eastAsia="es-GT"/>
              </w:rPr>
              <w:t>Santa Rosa</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14,204.7</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14,204.7</w:t>
            </w:r>
          </w:p>
        </w:tc>
      </w:tr>
      <w:tr w:rsidR="008327B2" w:rsidRPr="00120F56" w:rsidTr="001A01AB">
        <w:trPr>
          <w:trHeight w:val="20"/>
          <w:jc w:val="center"/>
        </w:trPr>
        <w:tc>
          <w:tcPr>
            <w:tcW w:w="2128" w:type="dxa"/>
            <w:shd w:val="clear" w:color="auto" w:fill="DBE5F1"/>
            <w:noWrap/>
            <w:vAlign w:val="center"/>
            <w:hideMark/>
          </w:tcPr>
          <w:p w:rsidR="008327B2" w:rsidRPr="001A01AB" w:rsidRDefault="008327B2" w:rsidP="008327B2">
            <w:pPr>
              <w:ind w:left="226"/>
              <w:rPr>
                <w:rFonts w:ascii="Calibri" w:hAnsi="Calibri" w:cs="Calibri"/>
                <w:color w:val="000000"/>
                <w:lang w:val="es-GT" w:eastAsia="es-GT"/>
              </w:rPr>
            </w:pPr>
            <w:r w:rsidRPr="001A01AB">
              <w:rPr>
                <w:rFonts w:ascii="Calibri" w:hAnsi="Calibri" w:cs="Calibri"/>
                <w:color w:val="000000"/>
                <w:lang w:val="es-GT" w:eastAsia="es-GT"/>
              </w:rPr>
              <w:t>Zacapa</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17,576.2</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2,463.9</w:t>
            </w:r>
          </w:p>
        </w:tc>
        <w:tc>
          <w:tcPr>
            <w:tcW w:w="2128" w:type="dxa"/>
            <w:shd w:val="clear" w:color="auto" w:fill="DBE5F1"/>
            <w:noWrap/>
            <w:vAlign w:val="center"/>
            <w:hideMark/>
          </w:tcPr>
          <w:p w:rsidR="008327B2" w:rsidRPr="001A01AB" w:rsidRDefault="008327B2" w:rsidP="008327B2">
            <w:pPr>
              <w:jc w:val="center"/>
              <w:rPr>
                <w:rFonts w:ascii="Calibri" w:hAnsi="Calibri" w:cs="Calibri"/>
                <w:color w:val="000000"/>
                <w:lang w:val="es-GT" w:eastAsia="es-GT"/>
              </w:rPr>
            </w:pPr>
            <w:r w:rsidRPr="001A01AB">
              <w:rPr>
                <w:rFonts w:ascii="Calibri" w:hAnsi="Calibri" w:cs="Calibri"/>
                <w:color w:val="000000"/>
                <w:lang w:val="es-GT" w:eastAsia="es-GT"/>
              </w:rPr>
              <w:t>20,040.1</w:t>
            </w:r>
          </w:p>
        </w:tc>
      </w:tr>
      <w:tr w:rsidR="008327B2" w:rsidRPr="00120F56" w:rsidTr="001A01AB">
        <w:trPr>
          <w:trHeight w:val="20"/>
          <w:jc w:val="center"/>
        </w:trPr>
        <w:tc>
          <w:tcPr>
            <w:tcW w:w="2128" w:type="dxa"/>
            <w:shd w:val="clear" w:color="auto" w:fill="DBE5F1"/>
            <w:noWrap/>
            <w:vAlign w:val="center"/>
            <w:hideMark/>
          </w:tcPr>
          <w:p w:rsidR="008327B2" w:rsidRPr="001A01AB" w:rsidRDefault="008327B2" w:rsidP="00012F1C">
            <w:pPr>
              <w:jc w:val="center"/>
              <w:rPr>
                <w:rFonts w:ascii="Calibri" w:hAnsi="Calibri" w:cs="Calibri"/>
                <w:b/>
                <w:bCs/>
                <w:color w:val="000000"/>
                <w:lang w:val="es-GT" w:eastAsia="es-GT"/>
              </w:rPr>
            </w:pPr>
            <w:r w:rsidRPr="001A01AB">
              <w:rPr>
                <w:rFonts w:ascii="Calibri" w:hAnsi="Calibri" w:cs="Calibri"/>
                <w:b/>
                <w:bCs/>
                <w:color w:val="000000"/>
                <w:lang w:val="es-GT" w:eastAsia="es-GT"/>
              </w:rPr>
              <w:t>Total</w:t>
            </w:r>
          </w:p>
        </w:tc>
        <w:tc>
          <w:tcPr>
            <w:tcW w:w="2128" w:type="dxa"/>
            <w:shd w:val="clear" w:color="auto" w:fill="DBE5F1"/>
            <w:noWrap/>
            <w:vAlign w:val="center"/>
            <w:hideMark/>
          </w:tcPr>
          <w:p w:rsidR="008327B2" w:rsidRPr="001A01AB" w:rsidRDefault="008327B2" w:rsidP="008327B2">
            <w:pPr>
              <w:jc w:val="center"/>
              <w:rPr>
                <w:rFonts w:ascii="Calibri" w:hAnsi="Calibri" w:cs="Calibri"/>
                <w:b/>
                <w:bCs/>
                <w:color w:val="000000"/>
                <w:lang w:val="es-GT" w:eastAsia="es-GT"/>
              </w:rPr>
            </w:pPr>
            <w:r w:rsidRPr="001A01AB">
              <w:rPr>
                <w:rFonts w:ascii="Calibri" w:hAnsi="Calibri" w:cs="Calibri"/>
                <w:b/>
                <w:bCs/>
                <w:color w:val="000000"/>
                <w:lang w:val="es-GT" w:eastAsia="es-GT"/>
              </w:rPr>
              <w:t>40,192.8</w:t>
            </w:r>
          </w:p>
        </w:tc>
        <w:tc>
          <w:tcPr>
            <w:tcW w:w="2128" w:type="dxa"/>
            <w:shd w:val="clear" w:color="auto" w:fill="DBE5F1"/>
            <w:noWrap/>
            <w:vAlign w:val="center"/>
            <w:hideMark/>
          </w:tcPr>
          <w:p w:rsidR="008327B2" w:rsidRPr="001A01AB" w:rsidRDefault="008327B2" w:rsidP="008327B2">
            <w:pPr>
              <w:jc w:val="center"/>
              <w:rPr>
                <w:rFonts w:ascii="Calibri" w:hAnsi="Calibri" w:cs="Calibri"/>
                <w:b/>
                <w:bCs/>
                <w:color w:val="000000"/>
                <w:lang w:val="es-GT" w:eastAsia="es-GT"/>
              </w:rPr>
            </w:pPr>
            <w:r w:rsidRPr="001A01AB">
              <w:rPr>
                <w:rFonts w:ascii="Calibri" w:hAnsi="Calibri" w:cs="Calibri"/>
                <w:b/>
                <w:bCs/>
                <w:color w:val="000000"/>
                <w:lang w:val="es-GT" w:eastAsia="es-GT"/>
              </w:rPr>
              <w:t>61,925.7</w:t>
            </w:r>
          </w:p>
        </w:tc>
        <w:tc>
          <w:tcPr>
            <w:tcW w:w="2128" w:type="dxa"/>
            <w:shd w:val="clear" w:color="auto" w:fill="DBE5F1"/>
            <w:noWrap/>
            <w:vAlign w:val="center"/>
            <w:hideMark/>
          </w:tcPr>
          <w:p w:rsidR="008327B2" w:rsidRPr="001A01AB" w:rsidRDefault="008327B2" w:rsidP="008327B2">
            <w:pPr>
              <w:jc w:val="center"/>
              <w:rPr>
                <w:rFonts w:ascii="Calibri" w:hAnsi="Calibri" w:cs="Calibri"/>
                <w:b/>
                <w:bCs/>
                <w:color w:val="000000"/>
                <w:lang w:val="es-GT" w:eastAsia="es-GT"/>
              </w:rPr>
            </w:pPr>
            <w:r w:rsidRPr="001A01AB">
              <w:rPr>
                <w:rFonts w:ascii="Calibri" w:hAnsi="Calibri" w:cs="Calibri"/>
                <w:b/>
                <w:bCs/>
                <w:color w:val="000000"/>
                <w:lang w:val="es-GT" w:eastAsia="es-GT"/>
              </w:rPr>
              <w:t>102,118.5</w:t>
            </w:r>
          </w:p>
        </w:tc>
      </w:tr>
    </w:tbl>
    <w:p w:rsidR="008327B2" w:rsidRPr="001A01AB" w:rsidRDefault="0073409A" w:rsidP="008327B2">
      <w:pPr>
        <w:ind w:right="450"/>
        <w:jc w:val="right"/>
        <w:rPr>
          <w:rFonts w:ascii="Calibri" w:hAnsi="Calibri" w:cs="Calibri"/>
          <w:bCs/>
          <w:color w:val="000000"/>
          <w:sz w:val="20"/>
          <w:lang w:val="es-GT" w:eastAsia="es-GT"/>
        </w:rPr>
      </w:pPr>
      <w:r w:rsidRPr="0073409A">
        <w:rPr>
          <w:rFonts w:ascii="Calibri" w:hAnsi="Calibri" w:cs="Calibri"/>
          <w:bCs/>
          <w:color w:val="000000"/>
          <w:sz w:val="20"/>
          <w:highlight w:val="red"/>
          <w:lang w:val="es-GT" w:eastAsia="es-GT"/>
        </w:rPr>
        <w:t>Fuente: MAGA (</w:t>
      </w:r>
      <w:r w:rsidR="008327B2" w:rsidRPr="0073409A">
        <w:rPr>
          <w:rFonts w:ascii="Calibri" w:hAnsi="Calibri" w:cs="Calibri"/>
          <w:bCs/>
          <w:color w:val="000000"/>
          <w:sz w:val="20"/>
          <w:highlight w:val="red"/>
          <w:lang w:val="es-GT" w:eastAsia="es-GT"/>
        </w:rPr>
        <w:t>2012</w:t>
      </w:r>
      <w:r w:rsidRPr="0073409A">
        <w:rPr>
          <w:rFonts w:ascii="Calibri" w:hAnsi="Calibri" w:cs="Calibri"/>
          <w:bCs/>
          <w:color w:val="000000"/>
          <w:sz w:val="20"/>
          <w:highlight w:val="red"/>
          <w:lang w:val="es-GT" w:eastAsia="es-GT"/>
        </w:rPr>
        <w:t>)</w:t>
      </w:r>
      <w:r w:rsidR="008327B2" w:rsidRPr="0073409A">
        <w:rPr>
          <w:rFonts w:ascii="Calibri" w:hAnsi="Calibri" w:cs="Calibri"/>
          <w:bCs/>
          <w:color w:val="000000"/>
          <w:sz w:val="20"/>
          <w:highlight w:val="red"/>
          <w:lang w:val="es-GT" w:eastAsia="es-GT"/>
        </w:rPr>
        <w:t>.</w:t>
      </w:r>
      <w:r w:rsidR="00AC507E">
        <w:rPr>
          <w:rFonts w:ascii="Calibri" w:hAnsi="Calibri" w:cs="Calibri"/>
          <w:bCs/>
          <w:color w:val="000000"/>
          <w:sz w:val="20"/>
          <w:lang w:val="es-GT" w:eastAsia="es-GT"/>
        </w:rPr>
        <w:t xml:space="preserve"> </w:t>
      </w:r>
      <w:r w:rsidR="00AC507E" w:rsidRPr="00AC507E">
        <w:rPr>
          <w:rFonts w:ascii="Calibri" w:hAnsi="Calibri" w:cs="Calibri"/>
          <w:bCs/>
          <w:color w:val="FF0000"/>
          <w:sz w:val="20"/>
          <w:lang w:val="es-GT" w:eastAsia="es-GT"/>
        </w:rPr>
        <w:t>Hay otro MAGA 2012 en el documento, pero no sé si es el mismo</w:t>
      </w:r>
    </w:p>
    <w:p w:rsidR="008327B2" w:rsidRPr="001A01AB" w:rsidRDefault="008327B2" w:rsidP="008327B2">
      <w:pPr>
        <w:jc w:val="both"/>
        <w:rPr>
          <w:rFonts w:ascii="Calibri" w:hAnsi="Calibri" w:cs="Calibri"/>
          <w:bCs/>
          <w:color w:val="000000"/>
          <w:sz w:val="20"/>
          <w:lang w:val="es-GT" w:eastAsia="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333" w:name="_Toc340034504"/>
      <w:bookmarkStart w:id="334" w:name="_Toc343098418"/>
      <w:bookmarkStart w:id="335" w:name="_Toc343098526"/>
      <w:bookmarkStart w:id="336" w:name="_Toc347841259"/>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36</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Distribución de las áreas actualmente regadas y con potencial de riego, en los departamentos del </w:t>
      </w:r>
      <w:r w:rsidR="00012F1C" w:rsidRPr="00224B57">
        <w:rPr>
          <w:rFonts w:ascii="Calibri" w:eastAsia="Calibri" w:hAnsi="Calibri" w:cs="Calibri"/>
          <w:b/>
          <w:color w:val="365F91"/>
          <w:sz w:val="22"/>
          <w:szCs w:val="22"/>
          <w:lang w:val="es-GT"/>
        </w:rPr>
        <w:t xml:space="preserve">corredor seco </w:t>
      </w:r>
      <w:r w:rsidRPr="00224B57">
        <w:rPr>
          <w:rFonts w:ascii="Calibri" w:eastAsia="Calibri" w:hAnsi="Calibri" w:cs="Calibri"/>
          <w:b/>
          <w:color w:val="365F91"/>
          <w:sz w:val="22"/>
          <w:szCs w:val="22"/>
          <w:lang w:val="es-GT"/>
        </w:rPr>
        <w:t>de Guatemala</w:t>
      </w:r>
      <w:bookmarkEnd w:id="333"/>
      <w:bookmarkEnd w:id="334"/>
      <w:bookmarkEnd w:id="335"/>
      <w:bookmarkEnd w:id="336"/>
    </w:p>
    <w:p w:rsidR="008327B2" w:rsidRPr="001A01AB" w:rsidRDefault="00544A9F" w:rsidP="008327B2">
      <w:pPr>
        <w:jc w:val="center"/>
        <w:rPr>
          <w:rFonts w:ascii="Calibri" w:hAnsi="Calibri" w:cs="Calibri"/>
          <w:bCs/>
          <w:color w:val="000000"/>
          <w:lang w:val="es-GT" w:eastAsia="es-GT"/>
        </w:rPr>
      </w:pPr>
      <w:r>
        <w:rPr>
          <w:rFonts w:ascii="Calibri" w:hAnsi="Calibri" w:cs="Calibri"/>
          <w:noProof/>
          <w:color w:val="000000"/>
          <w:lang w:val="es-GT" w:eastAsia="es-GT"/>
        </w:rPr>
        <w:drawing>
          <wp:inline distT="0" distB="0" distL="0" distR="0">
            <wp:extent cx="3570424" cy="3943350"/>
            <wp:effectExtent l="0" t="0" r="0" b="0"/>
            <wp:docPr id="245" name="Picture 30" descr="Descripción: riego corredor s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ción: riego corredor seco"/>
                    <pic:cNvPicPr>
                      <a:picLocks noChangeAspect="1" noChangeArrowheads="1"/>
                    </pic:cNvPicPr>
                  </pic:nvPicPr>
                  <pic:blipFill>
                    <a:blip r:embed="rId83" cstate="print">
                      <a:extLst>
                        <a:ext uri="{28A0092B-C50C-407E-A947-70E740481C1C}">
                          <a14:useLocalDpi xmlns:a14="http://schemas.microsoft.com/office/drawing/2010/main" val="0"/>
                        </a:ext>
                      </a:extLst>
                    </a:blip>
                    <a:srcRect l="5939" t="10345" r="5779" b="14127"/>
                    <a:stretch>
                      <a:fillRect/>
                    </a:stretch>
                  </pic:blipFill>
                  <pic:spPr bwMode="auto">
                    <a:xfrm>
                      <a:off x="0" y="0"/>
                      <a:ext cx="3577343" cy="3950992"/>
                    </a:xfrm>
                    <a:prstGeom prst="rect">
                      <a:avLst/>
                    </a:prstGeom>
                    <a:noFill/>
                    <a:ln>
                      <a:noFill/>
                    </a:ln>
                  </pic:spPr>
                </pic:pic>
              </a:graphicData>
            </a:graphic>
          </wp:inline>
        </w:drawing>
      </w:r>
    </w:p>
    <w:p w:rsidR="008327B2" w:rsidRPr="001A01AB" w:rsidRDefault="0073409A" w:rsidP="00012F1C">
      <w:pPr>
        <w:ind w:right="855"/>
        <w:rPr>
          <w:rFonts w:ascii="Calibri" w:hAnsi="Calibri" w:cs="Calibri"/>
          <w:b/>
          <w:color w:val="365F91"/>
          <w:sz w:val="28"/>
          <w:lang w:val="es-GT"/>
        </w:rPr>
      </w:pPr>
      <w:r>
        <w:rPr>
          <w:rFonts w:ascii="Calibri" w:hAnsi="Calibri" w:cs="Calibri"/>
          <w:bCs/>
          <w:sz w:val="20"/>
          <w:lang w:val="es-GT" w:eastAsia="es-GT"/>
        </w:rPr>
        <w:t>Fuente: E</w:t>
      </w:r>
      <w:r w:rsidR="008327B2" w:rsidRPr="001A01AB">
        <w:rPr>
          <w:rFonts w:ascii="Calibri" w:hAnsi="Calibri" w:cs="Calibri"/>
          <w:bCs/>
          <w:sz w:val="20"/>
          <w:lang w:val="es-GT" w:eastAsia="es-GT"/>
        </w:rPr>
        <w:t xml:space="preserve">laboración propia, con base en </w:t>
      </w:r>
      <w:r>
        <w:rPr>
          <w:rFonts w:ascii="Calibri" w:hAnsi="Calibri" w:cs="Calibri"/>
          <w:bCs/>
          <w:sz w:val="20"/>
          <w:lang w:val="es-GT" w:eastAsia="es-GT"/>
        </w:rPr>
        <w:t>MAGA (</w:t>
      </w:r>
      <w:r w:rsidR="008327B2" w:rsidRPr="001A01AB">
        <w:rPr>
          <w:rFonts w:ascii="Calibri" w:hAnsi="Calibri" w:cs="Calibri"/>
          <w:bCs/>
          <w:sz w:val="20"/>
          <w:lang w:val="es-GT" w:eastAsia="es-GT"/>
        </w:rPr>
        <w:t>2012</w:t>
      </w:r>
      <w:r>
        <w:rPr>
          <w:rFonts w:ascii="Calibri" w:hAnsi="Calibri" w:cs="Calibri"/>
          <w:bCs/>
          <w:sz w:val="20"/>
          <w:lang w:val="es-GT" w:eastAsia="es-GT"/>
        </w:rPr>
        <w:t>)</w:t>
      </w:r>
      <w:r w:rsidR="008327B2" w:rsidRPr="001A01AB">
        <w:rPr>
          <w:rFonts w:ascii="Calibri" w:hAnsi="Calibri" w:cs="Calibri"/>
          <w:bCs/>
          <w:sz w:val="20"/>
          <w:lang w:val="es-GT" w:eastAsia="es-GT"/>
        </w:rPr>
        <w:t>.</w:t>
      </w:r>
      <w:r w:rsidR="00141A70">
        <w:rPr>
          <w:rFonts w:ascii="Calibri" w:hAnsi="Calibri" w:cs="Calibri"/>
          <w:bCs/>
          <w:sz w:val="20"/>
          <w:lang w:val="es-GT" w:eastAsia="es-GT"/>
        </w:rPr>
        <w:t xml:space="preserve"> </w:t>
      </w:r>
      <w:r w:rsidR="008327B2" w:rsidRPr="001A01AB">
        <w:rPr>
          <w:rFonts w:ascii="Calibri" w:hAnsi="Calibri" w:cs="Calibri"/>
          <w:bCs/>
          <w:sz w:val="20"/>
          <w:lang w:val="es-GT" w:eastAsia="es-GT"/>
        </w:rPr>
        <w:br w:type="page"/>
      </w:r>
      <w:r w:rsidR="008327B2" w:rsidRPr="001A01AB">
        <w:rPr>
          <w:rFonts w:ascii="Calibri" w:hAnsi="Calibri" w:cs="Calibri"/>
          <w:b/>
          <w:color w:val="365F91"/>
          <w:sz w:val="28"/>
          <w:lang w:val="es-GT"/>
        </w:rPr>
        <w:lastRenderedPageBreak/>
        <w:t>Evaluación del FCD 2: Productividad Rural Campesina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Derivado del análisis antes realizado, se procedió a determinar las fortalezas, oportunidades, debilidades y amenazas (FODA) para este FCD identificado. Adicionalmente</w:t>
      </w:r>
      <w:r w:rsidR="00012F1C">
        <w:rPr>
          <w:rFonts w:ascii="Calibri" w:hAnsi="Calibri" w:cs="Calibri"/>
          <w:lang w:val="es-GT"/>
        </w:rPr>
        <w:t>,</w:t>
      </w:r>
      <w:r w:rsidRPr="001A01AB">
        <w:rPr>
          <w:rFonts w:ascii="Calibri" w:hAnsi="Calibri" w:cs="Calibri"/>
          <w:lang w:val="es-GT"/>
        </w:rPr>
        <w:t xml:space="preserve"> se analiz</w:t>
      </w:r>
      <w:r w:rsidR="0073409A">
        <w:rPr>
          <w:rFonts w:ascii="Calibri" w:hAnsi="Calibri" w:cs="Calibri"/>
          <w:lang w:val="es-GT"/>
        </w:rPr>
        <w:t>ó</w:t>
      </w:r>
      <w:r w:rsidRPr="001A01AB">
        <w:rPr>
          <w:rFonts w:ascii="Calibri" w:hAnsi="Calibri" w:cs="Calibri"/>
          <w:lang w:val="es-GT"/>
        </w:rPr>
        <w:t xml:space="preserve"> la tendencia que se espera de</w:t>
      </w:r>
      <w:r w:rsidR="00012F1C">
        <w:rPr>
          <w:rFonts w:ascii="Calibri" w:hAnsi="Calibri" w:cs="Calibri"/>
          <w:lang w:val="es-GT"/>
        </w:rPr>
        <w:t xml:space="preserve"> estos factores, considerando el</w:t>
      </w:r>
      <w:r w:rsidRPr="001A01AB">
        <w:rPr>
          <w:rFonts w:ascii="Calibri" w:hAnsi="Calibri" w:cs="Calibri"/>
          <w:lang w:val="es-GT"/>
        </w:rPr>
        <w:t xml:space="preserve"> escenario tendencial que a la fecha se ha evaluado en el país. Los resultados para este FCD se presentan a continuación.</w:t>
      </w:r>
    </w:p>
    <w:p w:rsidR="008327B2" w:rsidRPr="001A01AB" w:rsidRDefault="008327B2" w:rsidP="008327B2">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4788"/>
        <w:gridCol w:w="4788"/>
      </w:tblGrid>
      <w:tr w:rsidR="008327B2" w:rsidRPr="000364C9" w:rsidTr="001A01AB">
        <w:trPr>
          <w:jc w:val="center"/>
        </w:trPr>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Fortalezas: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Interés de las autoridades de turno </w:t>
            </w:r>
            <w:r w:rsidR="00012F1C">
              <w:rPr>
                <w:rFonts w:ascii="Calibri" w:hAnsi="Calibri" w:cs="Calibri"/>
                <w:sz w:val="20"/>
                <w:szCs w:val="22"/>
                <w:lang w:val="es-GT"/>
              </w:rPr>
              <w:t>en</w:t>
            </w:r>
            <w:r w:rsidRPr="001A01AB">
              <w:rPr>
                <w:rFonts w:ascii="Calibri" w:hAnsi="Calibri" w:cs="Calibri"/>
                <w:sz w:val="20"/>
                <w:szCs w:val="22"/>
                <w:lang w:val="es-GT"/>
              </w:rPr>
              <w:t xml:space="preserve"> resolver la exclusión de los agricultores de infrasubsistencia en los programas nacionales.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Con relación a la dinámica de la cobertura forestal</w:t>
            </w:r>
            <w:r w:rsidR="00012F1C">
              <w:rPr>
                <w:rFonts w:ascii="Calibri" w:hAnsi="Calibri" w:cs="Calibri"/>
                <w:sz w:val="20"/>
                <w:szCs w:val="22"/>
                <w:lang w:val="es-GT"/>
              </w:rPr>
              <w:t>,</w:t>
            </w:r>
            <w:r w:rsidRPr="001A01AB">
              <w:rPr>
                <w:rFonts w:ascii="Calibri" w:hAnsi="Calibri" w:cs="Calibri"/>
                <w:sz w:val="20"/>
                <w:szCs w:val="22"/>
                <w:lang w:val="es-GT"/>
              </w:rPr>
              <w:t xml:space="preserve"> muchos bosques han permanecido relativamente estables debido a la organización comunitaria que los protege.</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condiciones naturales favorecen la regeneración natural de los bosques.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Existen sistemas agroforestales como café, cardamomo y cacao, que proveen bienes y servicios ambientales, aunque en menor medida, pero de importancia para la sociedad.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diferentes tipos de riego agrícola es una experiencia real que ha sido clave para el desar</w:t>
            </w:r>
            <w:r w:rsidR="001A63C8">
              <w:rPr>
                <w:rFonts w:ascii="Calibri" w:hAnsi="Calibri" w:cs="Calibri"/>
                <w:sz w:val="20"/>
                <w:szCs w:val="22"/>
                <w:lang w:val="es-GT"/>
              </w:rPr>
              <w:t>rollo productivo del área rural y</w:t>
            </w:r>
            <w:r w:rsidRPr="001A01AB">
              <w:rPr>
                <w:rFonts w:ascii="Calibri" w:hAnsi="Calibri" w:cs="Calibri"/>
                <w:sz w:val="20"/>
                <w:szCs w:val="22"/>
                <w:lang w:val="es-GT"/>
              </w:rPr>
              <w:t xml:space="preserve"> ha incrementado la producc</w:t>
            </w:r>
            <w:r w:rsidR="001A63C8">
              <w:rPr>
                <w:rFonts w:ascii="Calibri" w:hAnsi="Calibri" w:cs="Calibri"/>
                <w:sz w:val="20"/>
                <w:szCs w:val="22"/>
                <w:lang w:val="es-GT"/>
              </w:rPr>
              <w:t>ión y productividad</w:t>
            </w:r>
            <w:r w:rsidRPr="001A01AB">
              <w:rPr>
                <w:rFonts w:ascii="Calibri" w:hAnsi="Calibri" w:cs="Calibri"/>
                <w:sz w:val="20"/>
                <w:szCs w:val="22"/>
                <w:lang w:val="es-GT"/>
              </w:rPr>
              <w:t>. Es un eje estratégico para mejorar la productividad de las áreas rurales.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sistemas de organización comunitaria legítimos (no politizados) son una excelente experiencia en la mejora de la productividad campesina.</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Existencia de mecanismos e instrumentos institucionales enfocados en la ampliación y mejoramiento de la red vial.</w:t>
            </w:r>
          </w:p>
        </w:tc>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Oportunidades: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ampliación y mejoramiento de la infraestructura vial representa las siguientes oportunidades para el desarrollo rural: crecimiento del sector agrícola, ampliación de la superficie bajo cultivo, impulso y diversificación de las inversiones productivas agrícolas y no-agrícolas, impulso a las inversiones en plantaciones foresta</w:t>
            </w:r>
            <w:r w:rsidR="00187FED">
              <w:rPr>
                <w:rFonts w:ascii="Calibri" w:hAnsi="Calibri" w:cs="Calibri"/>
                <w:sz w:val="20"/>
                <w:szCs w:val="22"/>
                <w:lang w:val="es-GT"/>
              </w:rPr>
              <w:t>les, generación de empleo rural y</w:t>
            </w:r>
            <w:r w:rsidRPr="001A01AB">
              <w:rPr>
                <w:rFonts w:ascii="Calibri" w:hAnsi="Calibri" w:cs="Calibri"/>
                <w:sz w:val="20"/>
                <w:szCs w:val="22"/>
                <w:lang w:val="es-GT"/>
              </w:rPr>
              <w:t xml:space="preserve"> mejoramiento en el acceso a servicios.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Propuesta de la Políti</w:t>
            </w:r>
            <w:r w:rsidR="00187FED">
              <w:rPr>
                <w:rFonts w:ascii="Calibri" w:hAnsi="Calibri" w:cs="Calibri"/>
                <w:sz w:val="20"/>
                <w:szCs w:val="22"/>
                <w:lang w:val="es-GT"/>
              </w:rPr>
              <w:t>ca de Desarrollo Rural Integral,</w:t>
            </w:r>
            <w:r w:rsidRPr="001A01AB">
              <w:rPr>
                <w:rFonts w:ascii="Calibri" w:hAnsi="Calibri" w:cs="Calibri"/>
                <w:sz w:val="20"/>
                <w:szCs w:val="22"/>
                <w:lang w:val="es-GT"/>
              </w:rPr>
              <w:t xml:space="preserve"> Programa de Agricultura Familiar para el Fortalecimiento </w:t>
            </w:r>
            <w:r w:rsidR="00187FED">
              <w:rPr>
                <w:rFonts w:ascii="Calibri" w:hAnsi="Calibri" w:cs="Calibri"/>
                <w:sz w:val="20"/>
                <w:szCs w:val="22"/>
                <w:lang w:val="es-GT"/>
              </w:rPr>
              <w:t>de las Economías Campesinas y</w:t>
            </w:r>
            <w:r w:rsidRPr="001A01AB">
              <w:rPr>
                <w:rFonts w:ascii="Calibri" w:hAnsi="Calibri" w:cs="Calibri"/>
                <w:sz w:val="20"/>
                <w:szCs w:val="22"/>
                <w:lang w:val="es-GT"/>
              </w:rPr>
              <w:t xml:space="preserve"> </w:t>
            </w:r>
            <w:r w:rsidR="00187FED">
              <w:rPr>
                <w:rFonts w:ascii="Calibri" w:hAnsi="Calibri" w:cs="Calibri"/>
                <w:sz w:val="20"/>
                <w:szCs w:val="22"/>
                <w:lang w:val="es-GT"/>
              </w:rPr>
              <w:t>P</w:t>
            </w:r>
            <w:r w:rsidRPr="001A01AB">
              <w:rPr>
                <w:rFonts w:ascii="Calibri" w:hAnsi="Calibri" w:cs="Calibri"/>
                <w:sz w:val="20"/>
                <w:szCs w:val="22"/>
                <w:lang w:val="es-GT"/>
              </w:rPr>
              <w:t>acto Hambre Cero.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Aprobación de la Ley de Incentivos Forestales para Poseedores de Pequeñas Extensiones de Tierra de Vocación Forestal o Agroforestal (PINPEP).</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Guatemala cuenta con una amplia disponibilidad promedio anual de agua (97,120 millones de m</w:t>
            </w:r>
            <w:r w:rsidRPr="00187FED">
              <w:rPr>
                <w:rFonts w:ascii="Calibri" w:hAnsi="Calibri" w:cs="Calibri"/>
                <w:sz w:val="20"/>
                <w:szCs w:val="22"/>
                <w:vertAlign w:val="superscript"/>
                <w:lang w:val="es-GT"/>
              </w:rPr>
              <w:t>3</w:t>
            </w:r>
            <w:r w:rsidRPr="001A01AB">
              <w:rPr>
                <w:rFonts w:ascii="Calibri" w:hAnsi="Calibri" w:cs="Calibri"/>
                <w:sz w:val="20"/>
                <w:szCs w:val="22"/>
                <w:lang w:val="es-GT"/>
              </w:rPr>
              <w:t>, entre aguas superficiales y subterráneas) que supera abundantemente la demanda actual.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Existe</w:t>
            </w:r>
            <w:r w:rsidR="00187FED">
              <w:rPr>
                <w:rFonts w:ascii="Calibri" w:hAnsi="Calibri" w:cs="Calibri"/>
                <w:sz w:val="20"/>
                <w:szCs w:val="22"/>
                <w:lang w:val="es-GT"/>
              </w:rPr>
              <w:t>n</w:t>
            </w:r>
            <w:r w:rsidRPr="001A01AB">
              <w:rPr>
                <w:rFonts w:ascii="Calibri" w:hAnsi="Calibri" w:cs="Calibri"/>
                <w:sz w:val="20"/>
                <w:szCs w:val="22"/>
                <w:lang w:val="es-GT"/>
              </w:rPr>
              <w:t xml:space="preserve"> oportunidades con la cooperación externa de atender las demandas de riego a nivel rural que mejore</w:t>
            </w:r>
            <w:r w:rsidR="00187FED">
              <w:rPr>
                <w:rFonts w:ascii="Calibri" w:hAnsi="Calibri" w:cs="Calibri"/>
                <w:sz w:val="20"/>
                <w:szCs w:val="22"/>
                <w:lang w:val="es-GT"/>
              </w:rPr>
              <w:t>n</w:t>
            </w:r>
            <w:r w:rsidRPr="001A01AB">
              <w:rPr>
                <w:rFonts w:ascii="Calibri" w:hAnsi="Calibri" w:cs="Calibri"/>
                <w:sz w:val="20"/>
                <w:szCs w:val="22"/>
                <w:lang w:val="es-GT"/>
              </w:rPr>
              <w:t xml:space="preserve"> la productividad campesina.</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Se tiene actualmente reactivado el sistema de extensión agrícola por parte del MAGA y el sistema de extensión forestal y agroforestal del INAB.</w:t>
            </w:r>
          </w:p>
        </w:tc>
      </w:tr>
      <w:tr w:rsidR="008327B2" w:rsidRPr="000364C9" w:rsidTr="001A01AB">
        <w:trPr>
          <w:jc w:val="center"/>
        </w:trPr>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densidad de la red vial en algunas regiones del país, como el altiplano occidental, es sumamente baja, afectando la productividad del sector agrícola, limitando su crecimiento, aumentando sus costos y dificultando el acceso a servicios.</w:t>
            </w:r>
          </w:p>
          <w:p w:rsidR="008327B2" w:rsidRPr="001A01AB" w:rsidRDefault="001A63C8"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 inversión pública para</w:t>
            </w:r>
            <w:r w:rsidR="008327B2" w:rsidRPr="001A01AB">
              <w:rPr>
                <w:rFonts w:ascii="Calibri" w:hAnsi="Calibri" w:cs="Calibri"/>
                <w:sz w:val="20"/>
                <w:szCs w:val="22"/>
                <w:lang w:val="es-GT"/>
              </w:rPr>
              <w:t xml:space="preserve"> la ampliación y mejoramiento de la red vial ha sido históricamente insuficiente para atender la demanda social y económica.</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efecti</w:t>
            </w:r>
            <w:r w:rsidR="001A63C8">
              <w:rPr>
                <w:rFonts w:ascii="Calibri" w:hAnsi="Calibri" w:cs="Calibri"/>
                <w:sz w:val="20"/>
                <w:szCs w:val="22"/>
                <w:lang w:val="es-GT"/>
              </w:rPr>
              <w:t>vidad de la inversión pública para</w:t>
            </w:r>
            <w:r w:rsidRPr="001A01AB">
              <w:rPr>
                <w:rFonts w:ascii="Calibri" w:hAnsi="Calibri" w:cs="Calibri"/>
                <w:sz w:val="20"/>
                <w:szCs w:val="22"/>
                <w:lang w:val="es-GT"/>
              </w:rPr>
              <w:t xml:space="preserve"> la ampliación y mejoramie</w:t>
            </w:r>
            <w:r w:rsidR="001A63C8">
              <w:rPr>
                <w:rFonts w:ascii="Calibri" w:hAnsi="Calibri" w:cs="Calibri"/>
                <w:sz w:val="20"/>
                <w:szCs w:val="22"/>
                <w:lang w:val="es-GT"/>
              </w:rPr>
              <w:t>nto de la red vial es baja. Esto está</w:t>
            </w:r>
            <w:r w:rsidRPr="001A01AB">
              <w:rPr>
                <w:rFonts w:ascii="Calibri" w:hAnsi="Calibri" w:cs="Calibri"/>
                <w:sz w:val="20"/>
                <w:szCs w:val="22"/>
                <w:lang w:val="es-GT"/>
              </w:rPr>
              <w:t xml:space="preserve"> ligado </w:t>
            </w:r>
            <w:r w:rsidR="001A63C8">
              <w:rPr>
                <w:rFonts w:ascii="Calibri" w:hAnsi="Calibri" w:cs="Calibri"/>
                <w:sz w:val="20"/>
                <w:szCs w:val="22"/>
                <w:lang w:val="es-GT"/>
              </w:rPr>
              <w:t>a</w:t>
            </w:r>
            <w:r w:rsidRPr="001A01AB">
              <w:rPr>
                <w:rFonts w:ascii="Calibri" w:hAnsi="Calibri" w:cs="Calibri"/>
                <w:sz w:val="20"/>
                <w:szCs w:val="22"/>
                <w:lang w:val="es-GT"/>
              </w:rPr>
              <w:t xml:space="preserve"> la corrupción y falta de transparencia, influyendo en la calidad y cantidad de tramos que se construyen o rehabilitan por año.</w:t>
            </w:r>
          </w:p>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Debilidades (cont):</w:t>
            </w:r>
          </w:p>
          <w:p w:rsidR="008327B2" w:rsidRPr="001A01AB" w:rsidRDefault="00187FED"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w:t>
            </w:r>
            <w:r w:rsidR="008327B2" w:rsidRPr="001A01AB">
              <w:rPr>
                <w:rFonts w:ascii="Calibri" w:hAnsi="Calibri" w:cs="Calibri"/>
                <w:sz w:val="20"/>
                <w:szCs w:val="22"/>
                <w:lang w:val="es-GT"/>
              </w:rPr>
              <w:t>a falta de ac</w:t>
            </w:r>
            <w:r>
              <w:rPr>
                <w:rFonts w:ascii="Calibri" w:hAnsi="Calibri" w:cs="Calibri"/>
                <w:sz w:val="20"/>
                <w:szCs w:val="22"/>
                <w:lang w:val="es-GT"/>
              </w:rPr>
              <w:t>ceso a los medios de producción y la</w:t>
            </w:r>
            <w:r w:rsidR="008327B2" w:rsidRPr="001A01AB">
              <w:rPr>
                <w:rFonts w:ascii="Calibri" w:hAnsi="Calibri" w:cs="Calibri"/>
                <w:sz w:val="20"/>
                <w:szCs w:val="22"/>
                <w:lang w:val="es-GT"/>
              </w:rPr>
              <w:t xml:space="preserve"> falta de certeza jurídica sobre la tenencia y propiedad de la misma, dificulta</w:t>
            </w:r>
            <w:r>
              <w:rPr>
                <w:rFonts w:ascii="Calibri" w:hAnsi="Calibri" w:cs="Calibri"/>
                <w:sz w:val="20"/>
                <w:szCs w:val="22"/>
                <w:lang w:val="es-GT"/>
              </w:rPr>
              <w:t>n el acceso al crédito. Esto,</w:t>
            </w:r>
            <w:r w:rsidR="008327B2" w:rsidRPr="001A01AB">
              <w:rPr>
                <w:rFonts w:ascii="Calibri" w:hAnsi="Calibri" w:cs="Calibri"/>
                <w:sz w:val="20"/>
                <w:szCs w:val="22"/>
                <w:lang w:val="es-GT"/>
              </w:rPr>
              <w:t xml:space="preserve"> aunado </w:t>
            </w:r>
            <w:r>
              <w:rPr>
                <w:rFonts w:ascii="Calibri" w:hAnsi="Calibri" w:cs="Calibri"/>
                <w:sz w:val="20"/>
                <w:szCs w:val="22"/>
                <w:lang w:val="es-GT"/>
              </w:rPr>
              <w:t xml:space="preserve">a </w:t>
            </w:r>
            <w:r w:rsidR="008327B2" w:rsidRPr="001A01AB">
              <w:rPr>
                <w:rFonts w:ascii="Calibri" w:hAnsi="Calibri" w:cs="Calibri"/>
                <w:sz w:val="20"/>
                <w:szCs w:val="22"/>
                <w:lang w:val="es-GT"/>
              </w:rPr>
              <w:t xml:space="preserve">la baja o nula infraestructura productiva, </w:t>
            </w:r>
            <w:r>
              <w:rPr>
                <w:rFonts w:ascii="Calibri" w:hAnsi="Calibri" w:cs="Calibri"/>
                <w:sz w:val="20"/>
                <w:szCs w:val="22"/>
                <w:lang w:val="es-GT"/>
              </w:rPr>
              <w:t xml:space="preserve">a </w:t>
            </w:r>
            <w:r w:rsidR="008327B2" w:rsidRPr="001A01AB">
              <w:rPr>
                <w:rFonts w:ascii="Calibri" w:hAnsi="Calibri" w:cs="Calibri"/>
                <w:sz w:val="20"/>
                <w:szCs w:val="22"/>
                <w:lang w:val="es-GT"/>
              </w:rPr>
              <w:t xml:space="preserve">la falta de tecnología en los procesos de producción y </w:t>
            </w:r>
            <w:r>
              <w:rPr>
                <w:rFonts w:ascii="Calibri" w:hAnsi="Calibri" w:cs="Calibri"/>
                <w:sz w:val="20"/>
                <w:szCs w:val="22"/>
                <w:lang w:val="es-GT"/>
              </w:rPr>
              <w:t xml:space="preserve">a la </w:t>
            </w:r>
            <w:r w:rsidR="008327B2" w:rsidRPr="001A01AB">
              <w:rPr>
                <w:rFonts w:ascii="Calibri" w:hAnsi="Calibri" w:cs="Calibri"/>
                <w:sz w:val="20"/>
                <w:szCs w:val="22"/>
                <w:lang w:val="es-GT"/>
              </w:rPr>
              <w:t>práctica de sistemas de producción insostenibles</w:t>
            </w:r>
            <w:r>
              <w:rPr>
                <w:rFonts w:ascii="Calibri" w:hAnsi="Calibri" w:cs="Calibri"/>
                <w:sz w:val="20"/>
                <w:szCs w:val="22"/>
                <w:lang w:val="es-GT"/>
              </w:rPr>
              <w:t>;</w:t>
            </w:r>
            <w:r w:rsidR="008327B2" w:rsidRPr="001A01AB">
              <w:rPr>
                <w:rFonts w:ascii="Calibri" w:hAnsi="Calibri" w:cs="Calibri"/>
                <w:sz w:val="20"/>
                <w:szCs w:val="22"/>
                <w:lang w:val="es-GT"/>
              </w:rPr>
              <w:t xml:space="preserve"> impiden proyectar niveles aceptables de competitividad.</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37% población del área rural (480,000 familias aproximadamente) que no poseen tierras, </w:t>
            </w:r>
            <w:r w:rsidR="00187FED">
              <w:rPr>
                <w:rFonts w:ascii="Calibri" w:hAnsi="Calibri" w:cs="Calibri"/>
                <w:sz w:val="20"/>
                <w:szCs w:val="22"/>
                <w:lang w:val="es-GT"/>
              </w:rPr>
              <w:t>lo cual</w:t>
            </w:r>
            <w:r w:rsidRPr="001A01AB">
              <w:rPr>
                <w:rFonts w:ascii="Calibri" w:hAnsi="Calibri" w:cs="Calibri"/>
                <w:sz w:val="20"/>
                <w:szCs w:val="22"/>
                <w:lang w:val="es-GT"/>
              </w:rPr>
              <w:t xml:space="preserve"> los excluye de las oportunidades de desarrollo desde el modelo de la economía campesina.</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28.5% de la población rural posee meno</w:t>
            </w:r>
            <w:r w:rsidR="00187FED">
              <w:rPr>
                <w:rFonts w:ascii="Calibri" w:hAnsi="Calibri" w:cs="Calibri"/>
                <w:sz w:val="20"/>
                <w:szCs w:val="22"/>
                <w:lang w:val="es-GT"/>
              </w:rPr>
              <w:t xml:space="preserve">s de una manzana de terreno, </w:t>
            </w:r>
            <w:r w:rsidRPr="001A01AB">
              <w:rPr>
                <w:rFonts w:ascii="Calibri" w:hAnsi="Calibri" w:cs="Calibri"/>
                <w:sz w:val="20"/>
                <w:szCs w:val="22"/>
                <w:lang w:val="es-GT"/>
              </w:rPr>
              <w:t>14% posee entre u</w:t>
            </w:r>
            <w:r w:rsidR="00187FED">
              <w:rPr>
                <w:rFonts w:ascii="Calibri" w:hAnsi="Calibri" w:cs="Calibri"/>
                <w:sz w:val="20"/>
                <w:szCs w:val="22"/>
                <w:lang w:val="es-GT"/>
              </w:rPr>
              <w:t>na y dos manzanas de terreno;</w:t>
            </w:r>
            <w:r w:rsidRPr="001A01AB">
              <w:rPr>
                <w:rFonts w:ascii="Calibri" w:hAnsi="Calibri" w:cs="Calibri"/>
                <w:sz w:val="20"/>
                <w:szCs w:val="22"/>
                <w:lang w:val="es-GT"/>
              </w:rPr>
              <w:t xml:space="preserve"> 15.5% p</w:t>
            </w:r>
            <w:r w:rsidR="00187FED">
              <w:rPr>
                <w:rFonts w:ascii="Calibri" w:hAnsi="Calibri" w:cs="Calibri"/>
                <w:sz w:val="20"/>
                <w:szCs w:val="22"/>
                <w:lang w:val="es-GT"/>
              </w:rPr>
              <w:t>osee entre dos y 10 manzanas y un</w:t>
            </w:r>
            <w:r w:rsidRPr="001A01AB">
              <w:rPr>
                <w:rFonts w:ascii="Calibri" w:hAnsi="Calibri" w:cs="Calibri"/>
                <w:sz w:val="20"/>
                <w:szCs w:val="22"/>
                <w:lang w:val="es-GT"/>
              </w:rPr>
              <w:t xml:space="preserve"> 3.5% son productores excedentarios.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Altos índices de analfabetismo y pobreza en condiciones extremas.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modelo de productividad da pocas oportunidades al agricultor de subsistencia para su desarrollo, principalmente porque las políticas públicas y de cooperación no los abordan correctamente.</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mayor parte de las tierras en sobreuso corresponde a tierras con capacidad de uso fores</w:t>
            </w:r>
            <w:r w:rsidR="00187FED">
              <w:rPr>
                <w:rFonts w:ascii="Calibri" w:hAnsi="Calibri" w:cs="Calibri"/>
                <w:sz w:val="20"/>
                <w:szCs w:val="22"/>
                <w:lang w:val="es-GT"/>
              </w:rPr>
              <w:t>tal productivo o de protección,</w:t>
            </w:r>
            <w:r w:rsidRPr="001A01AB">
              <w:rPr>
                <w:rFonts w:ascii="Calibri" w:hAnsi="Calibri" w:cs="Calibri"/>
                <w:sz w:val="20"/>
                <w:szCs w:val="22"/>
                <w:lang w:val="es-GT"/>
              </w:rPr>
              <w:t xml:space="preserve"> que están dedicadas a la producción de cultivos agrícolas tradicionales, fundamentalmente granos básicos.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Satisfacer los requerimientos de leña del 95.3% de la población rural debería considerarse como una alternativa innovadora para atender este tema, invisible en las políticas públicas sectoriales.</w:t>
            </w:r>
          </w:p>
          <w:p w:rsidR="008327B2" w:rsidRPr="001A01AB" w:rsidRDefault="00187FED"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Existencia de c</w:t>
            </w:r>
            <w:r w:rsidR="008327B2" w:rsidRPr="001A01AB">
              <w:rPr>
                <w:rFonts w:ascii="Calibri" w:hAnsi="Calibri" w:cs="Calibri"/>
                <w:sz w:val="20"/>
                <w:szCs w:val="22"/>
                <w:lang w:val="es-GT"/>
              </w:rPr>
              <w:t xml:space="preserve">onflictos derivados </w:t>
            </w:r>
            <w:r>
              <w:rPr>
                <w:rFonts w:ascii="Calibri" w:hAnsi="Calibri" w:cs="Calibri"/>
                <w:sz w:val="20"/>
                <w:szCs w:val="22"/>
                <w:lang w:val="es-GT"/>
              </w:rPr>
              <w:t>de</w:t>
            </w:r>
            <w:r w:rsidR="008327B2" w:rsidRPr="001A01AB">
              <w:rPr>
                <w:rFonts w:ascii="Calibri" w:hAnsi="Calibri" w:cs="Calibri"/>
                <w:sz w:val="20"/>
                <w:szCs w:val="22"/>
                <w:lang w:val="es-GT"/>
              </w:rPr>
              <w:t xml:space="preserve"> la falta de acceso a fuentes seguras de agua potable, principalmente en el área rural, donde el 24.73% de los hogares al año 2011 no posee servicio de agua potable.</w:t>
            </w:r>
          </w:p>
          <w:p w:rsidR="008327B2" w:rsidRPr="001A01AB" w:rsidRDefault="00187FED"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w:t>
            </w:r>
            <w:r w:rsidR="008327B2" w:rsidRPr="001A01AB">
              <w:rPr>
                <w:rFonts w:ascii="Calibri" w:hAnsi="Calibri" w:cs="Calibri"/>
                <w:sz w:val="20"/>
                <w:szCs w:val="22"/>
                <w:lang w:val="es-GT"/>
              </w:rPr>
              <w:t>levados índices de contaminación del recurso hídrico.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No existen suficientes proyectos y sistemas de riego al alcance de los agricultores de infrasubsistencia y subsistencia.</w:t>
            </w:r>
          </w:p>
        </w:tc>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caminos han demostrado ser históricamente un agente asociado con la deforestación, dado que facilita</w:t>
            </w:r>
            <w:r w:rsidR="00187FED">
              <w:rPr>
                <w:rFonts w:ascii="Calibri" w:hAnsi="Calibri" w:cs="Calibri"/>
                <w:sz w:val="20"/>
                <w:szCs w:val="22"/>
                <w:lang w:val="es-GT"/>
              </w:rPr>
              <w:t>n</w:t>
            </w:r>
            <w:r w:rsidRPr="001A01AB">
              <w:rPr>
                <w:rFonts w:ascii="Calibri" w:hAnsi="Calibri" w:cs="Calibri"/>
                <w:sz w:val="20"/>
                <w:szCs w:val="22"/>
                <w:lang w:val="es-GT"/>
              </w:rPr>
              <w:t xml:space="preserve"> el acceso a áreas forestales, ejerciendo presión poblacional sobre las mismas.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introducción de caminos rurales tiene el potencial de generar deslizamientos, erosión de los suelos y asolvamiento de ríos y cuerpos de agua, principalmente en terrenos de topografía escarpada, si no se hacen consideraciones pertinentes de diseño.</w:t>
            </w:r>
          </w:p>
          <w:p w:rsidR="008327B2" w:rsidRPr="001A01AB" w:rsidRDefault="00187FED"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 c</w:t>
            </w:r>
            <w:r w:rsidR="008327B2" w:rsidRPr="001A01AB">
              <w:rPr>
                <w:rFonts w:ascii="Calibri" w:hAnsi="Calibri" w:cs="Calibri"/>
                <w:sz w:val="20"/>
                <w:szCs w:val="22"/>
                <w:lang w:val="es-GT"/>
              </w:rPr>
              <w:t>onversión de tierras con bosques a agricultura m</w:t>
            </w:r>
            <w:r>
              <w:rPr>
                <w:rFonts w:ascii="Calibri" w:hAnsi="Calibri" w:cs="Calibri"/>
                <w:sz w:val="20"/>
                <w:szCs w:val="22"/>
                <w:lang w:val="es-GT"/>
              </w:rPr>
              <w:t>igratoria, dentro y fuera de</w:t>
            </w:r>
            <w:r w:rsidR="008327B2" w:rsidRPr="001A01AB">
              <w:rPr>
                <w:rFonts w:ascii="Calibri" w:hAnsi="Calibri" w:cs="Calibri"/>
                <w:sz w:val="20"/>
                <w:szCs w:val="22"/>
                <w:lang w:val="es-GT"/>
              </w:rPr>
              <w:t xml:space="preserve"> áreas protegidas</w:t>
            </w:r>
            <w:r>
              <w:rPr>
                <w:rFonts w:ascii="Calibri" w:hAnsi="Calibri" w:cs="Calibri"/>
                <w:sz w:val="20"/>
                <w:szCs w:val="22"/>
                <w:lang w:val="es-GT"/>
              </w:rPr>
              <w:t>,</w:t>
            </w:r>
            <w:r w:rsidR="008327B2" w:rsidRPr="001A01AB">
              <w:rPr>
                <w:rFonts w:ascii="Calibri" w:hAnsi="Calibri" w:cs="Calibri"/>
                <w:sz w:val="20"/>
                <w:szCs w:val="22"/>
                <w:lang w:val="es-GT"/>
              </w:rPr>
              <w:t xml:space="preserve"> va en aumento.</w:t>
            </w:r>
          </w:p>
          <w:p w:rsidR="005D75A1" w:rsidRDefault="005D75A1" w:rsidP="001A01AB">
            <w:pPr>
              <w:autoSpaceDE w:val="0"/>
              <w:autoSpaceDN w:val="0"/>
              <w:adjustRightInd w:val="0"/>
              <w:spacing w:before="40" w:after="40"/>
              <w:jc w:val="both"/>
              <w:rPr>
                <w:rFonts w:ascii="Calibri" w:hAnsi="Calibri" w:cs="Calibri"/>
                <w:b/>
                <w:color w:val="365F91"/>
                <w:sz w:val="20"/>
                <w:szCs w:val="22"/>
                <w:lang w:val="es-GT"/>
              </w:rPr>
            </w:pPr>
          </w:p>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 (cont):</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Proceso permanente de reducción del tamaño de las fincas y aumento del número de propietarios de las mismas (menos de 10 mz).</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capital natural se está reduciendo con el paso del tiempo, socavando la base de la riqueza del país, que es vital para el desarrollo futuro.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sistemas productivos basados en el uso intensivo, extractivo e insostenible del patrimonio natural, han incrementado su degradación y desvalorización, que tiende a favorecer los conflictos sociales, la vulnerabilidad territorial y ambiental, el deterioro de la salud humana,</w:t>
            </w:r>
            <w:r w:rsidR="00055D12">
              <w:rPr>
                <w:rFonts w:ascii="Calibri" w:hAnsi="Calibri" w:cs="Calibri"/>
                <w:sz w:val="20"/>
                <w:szCs w:val="22"/>
                <w:lang w:val="es-GT"/>
              </w:rPr>
              <w:t xml:space="preserve"> y</w:t>
            </w:r>
            <w:r w:rsidRPr="001A01AB">
              <w:rPr>
                <w:rFonts w:ascii="Calibri" w:hAnsi="Calibri" w:cs="Calibri"/>
                <w:sz w:val="20"/>
                <w:szCs w:val="22"/>
                <w:lang w:val="es-GT"/>
              </w:rPr>
              <w:t xml:space="preserve"> la disminución de la productividad y del ingreso.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Erosión potencial de 48 millones de toneladas de suelo al año debido a las lluvias por sobreuso del suelo (24%).</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modelos de producción excedentarios requieren de mayores cantidades de insumos y de mano de obra. Generan impactos a los recursos</w:t>
            </w:r>
            <w:r w:rsidR="00055D12">
              <w:rPr>
                <w:rFonts w:ascii="Calibri" w:hAnsi="Calibri" w:cs="Calibri"/>
                <w:sz w:val="20"/>
                <w:szCs w:val="22"/>
                <w:lang w:val="es-GT"/>
              </w:rPr>
              <w:t>,</w:t>
            </w:r>
            <w:r w:rsidRPr="001A01AB">
              <w:rPr>
                <w:rFonts w:ascii="Calibri" w:hAnsi="Calibri" w:cs="Calibri"/>
                <w:sz w:val="20"/>
                <w:szCs w:val="22"/>
                <w:lang w:val="es-GT"/>
              </w:rPr>
              <w:t xml:space="preserve"> como la contaminación de ríos y fuentes de agua por agroinsumos.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Dependen</w:t>
            </w:r>
            <w:r w:rsidR="00055D12">
              <w:rPr>
                <w:rFonts w:ascii="Calibri" w:hAnsi="Calibri" w:cs="Calibri"/>
                <w:sz w:val="20"/>
                <w:szCs w:val="22"/>
                <w:lang w:val="es-GT"/>
              </w:rPr>
              <w:t>cia</w:t>
            </w:r>
            <w:r w:rsidRPr="001A01AB">
              <w:rPr>
                <w:rFonts w:ascii="Calibri" w:hAnsi="Calibri" w:cs="Calibri"/>
                <w:sz w:val="20"/>
                <w:szCs w:val="22"/>
                <w:lang w:val="es-GT"/>
              </w:rPr>
              <w:t xml:space="preserve"> de los recursos provenientes de la naturaleza (leña, agua, medicinas).</w:t>
            </w:r>
          </w:p>
          <w:p w:rsidR="008327B2" w:rsidRPr="001A01AB" w:rsidRDefault="00055D1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 i</w:t>
            </w:r>
            <w:r w:rsidR="008327B2" w:rsidRPr="001A01AB">
              <w:rPr>
                <w:rFonts w:ascii="Calibri" w:hAnsi="Calibri" w:cs="Calibri"/>
                <w:sz w:val="20"/>
                <w:szCs w:val="22"/>
                <w:lang w:val="es-GT"/>
              </w:rPr>
              <w:t xml:space="preserve">ncidencia </w:t>
            </w:r>
            <w:r>
              <w:rPr>
                <w:rFonts w:ascii="Calibri" w:hAnsi="Calibri" w:cs="Calibri"/>
                <w:sz w:val="20"/>
                <w:szCs w:val="22"/>
                <w:lang w:val="es-GT"/>
              </w:rPr>
              <w:t>de</w:t>
            </w:r>
            <w:r w:rsidR="008327B2" w:rsidRPr="001A01AB">
              <w:rPr>
                <w:rFonts w:ascii="Calibri" w:hAnsi="Calibri" w:cs="Calibri"/>
                <w:sz w:val="20"/>
                <w:szCs w:val="22"/>
                <w:lang w:val="es-GT"/>
              </w:rPr>
              <w:t xml:space="preserve"> incendios forestales provocados va en aumento.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Alta fragilidad ambiental durante los eventos extremos de inundaciones y sequ</w:t>
            </w:r>
            <w:r w:rsidR="00055D12">
              <w:rPr>
                <w:rFonts w:ascii="Calibri" w:hAnsi="Calibri" w:cs="Calibri"/>
                <w:sz w:val="20"/>
                <w:szCs w:val="22"/>
                <w:lang w:val="es-GT"/>
              </w:rPr>
              <w:t>í</w:t>
            </w:r>
            <w:r w:rsidRPr="001A01AB">
              <w:rPr>
                <w:rFonts w:ascii="Calibri" w:hAnsi="Calibri" w:cs="Calibri"/>
                <w:sz w:val="20"/>
                <w:szCs w:val="22"/>
                <w:lang w:val="es-GT"/>
              </w:rPr>
              <w:t>as.</w:t>
            </w:r>
          </w:p>
          <w:p w:rsidR="008327B2" w:rsidRPr="001A01AB" w:rsidRDefault="008327B2" w:rsidP="00AF1CB2">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Al menos 14 ríos principales y cuatro lagos presentan altos niveles de presencia de contaminantes físicos, materia orgánica, microorganismos, contaminantes tóxicos y materiales cancerígenos, lo que implica riesgos importantes para consumo humano y riego.</w:t>
            </w:r>
          </w:p>
        </w:tc>
      </w:tr>
    </w:tbl>
    <w:p w:rsidR="008327B2" w:rsidRPr="001A01AB" w:rsidRDefault="008327B2" w:rsidP="008327B2">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9576"/>
      </w:tblGrid>
      <w:tr w:rsidR="008327B2" w:rsidRPr="000364C9" w:rsidTr="001A01AB">
        <w:trPr>
          <w:jc w:val="center"/>
        </w:trPr>
        <w:tc>
          <w:tcPr>
            <w:tcW w:w="9576" w:type="dxa"/>
            <w:shd w:val="clear" w:color="auto" w:fill="auto"/>
          </w:tcPr>
          <w:p w:rsidR="008327B2" w:rsidRPr="001A01AB" w:rsidRDefault="008327B2" w:rsidP="001A01AB">
            <w:pPr>
              <w:autoSpaceDE w:val="0"/>
              <w:autoSpaceDN w:val="0"/>
              <w:adjustRightInd w:val="0"/>
              <w:spacing w:after="60"/>
              <w:jc w:val="both"/>
              <w:rPr>
                <w:rFonts w:ascii="Calibri" w:hAnsi="Calibri" w:cs="Calibri"/>
                <w:b/>
                <w:color w:val="365F91"/>
                <w:sz w:val="22"/>
                <w:szCs w:val="22"/>
                <w:lang w:val="es-GT"/>
              </w:rPr>
            </w:pPr>
            <w:r w:rsidRPr="001A01AB">
              <w:rPr>
                <w:rFonts w:ascii="Calibri" w:hAnsi="Calibri" w:cs="Calibri"/>
                <w:b/>
                <w:color w:val="365F91"/>
                <w:sz w:val="22"/>
                <w:szCs w:val="22"/>
                <w:lang w:val="es-GT"/>
              </w:rPr>
              <w:t>Tendencias (basadas en un escenario de tipo tendencial)</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Una alarmante tendencia creciente de la tasa de deforestación anual, que se espera se mantenga a corto y mediano plazo.</w:t>
            </w:r>
          </w:p>
          <w:p w:rsidR="008327B2"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 xml:space="preserve">La regeneración natural de bosques se ha mantenido como un factor importante </w:t>
            </w:r>
            <w:r w:rsidR="00AF1CB2">
              <w:rPr>
                <w:rFonts w:cs="Calibri"/>
              </w:rPr>
              <w:t xml:space="preserve">en </w:t>
            </w:r>
            <w:r w:rsidRPr="001A01AB">
              <w:rPr>
                <w:rFonts w:cs="Calibri"/>
              </w:rPr>
              <w:t xml:space="preserve">la recuperación de la cobertura forestal, pero esta tendencia no se considera permanente al no estar soportada por </w:t>
            </w:r>
            <w:r w:rsidRPr="001A01AB">
              <w:rPr>
                <w:rFonts w:cs="Calibri"/>
              </w:rPr>
              <w:lastRenderedPageBreak/>
              <w:t xml:space="preserve">una política institucional. </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 xml:space="preserve">Si no hay evolución institucional en el manejo del SIGAP, la gestión en </w:t>
            </w:r>
            <w:r w:rsidR="00AF1CB2">
              <w:rPr>
                <w:rFonts w:cs="Calibri"/>
              </w:rPr>
              <w:t>áreas protegidas</w:t>
            </w:r>
            <w:r w:rsidRPr="001A01AB">
              <w:rPr>
                <w:rFonts w:cs="Calibri"/>
              </w:rPr>
              <w:t xml:space="preserve"> fracasará, debido a invasiones y al avance de frontera agrícola y narcoactividad.</w:t>
            </w:r>
          </w:p>
          <w:p w:rsidR="008327B2" w:rsidRPr="001A01AB" w:rsidRDefault="00AF1CB2" w:rsidP="001A01AB">
            <w:pPr>
              <w:pStyle w:val="Prrafodelista"/>
              <w:numPr>
                <w:ilvl w:val="0"/>
                <w:numId w:val="28"/>
              </w:numPr>
              <w:autoSpaceDE w:val="0"/>
              <w:autoSpaceDN w:val="0"/>
              <w:adjustRightInd w:val="0"/>
              <w:spacing w:after="60"/>
              <w:ind w:left="282" w:hanging="284"/>
              <w:jc w:val="both"/>
              <w:rPr>
                <w:rFonts w:cs="Calibri"/>
              </w:rPr>
            </w:pPr>
            <w:r>
              <w:rPr>
                <w:rFonts w:cs="Calibri"/>
              </w:rPr>
              <w:t>L</w:t>
            </w:r>
            <w:r w:rsidR="008327B2" w:rsidRPr="001A01AB">
              <w:rPr>
                <w:rFonts w:cs="Calibri"/>
              </w:rPr>
              <w:t xml:space="preserve">a agricultura anual y de cultivos de subsistencia muestra una tendencia a expandirse hacia tierras marginales para la agricultura. </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 xml:space="preserve">El área bajo manejo forestal sostenible se ha reducido de 22,060 </w:t>
            </w:r>
            <w:r w:rsidR="00AF1CB2">
              <w:rPr>
                <w:rFonts w:cs="Calibri"/>
              </w:rPr>
              <w:t xml:space="preserve">ha </w:t>
            </w:r>
            <w:r w:rsidRPr="001A01AB">
              <w:rPr>
                <w:rFonts w:cs="Calibri"/>
              </w:rPr>
              <w:t>en 2006 a 7,782 ha en 2010.</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La deforestación provoca una tendencia a la disminución de la cobertura vegetal en TFCRH.</w:t>
            </w:r>
          </w:p>
          <w:p w:rsidR="008327B2" w:rsidRPr="001A01AB" w:rsidRDefault="00AF1CB2" w:rsidP="001A01AB">
            <w:pPr>
              <w:pStyle w:val="Prrafodelista"/>
              <w:numPr>
                <w:ilvl w:val="0"/>
                <w:numId w:val="28"/>
              </w:numPr>
              <w:autoSpaceDE w:val="0"/>
              <w:autoSpaceDN w:val="0"/>
              <w:adjustRightInd w:val="0"/>
              <w:spacing w:after="60"/>
              <w:ind w:left="282" w:hanging="284"/>
              <w:jc w:val="both"/>
              <w:rPr>
                <w:rFonts w:cs="Calibri"/>
              </w:rPr>
            </w:pPr>
            <w:r>
              <w:rPr>
                <w:rFonts w:cs="Calibri"/>
              </w:rPr>
              <w:t>La tendiente</w:t>
            </w:r>
            <w:r w:rsidR="008327B2" w:rsidRPr="001A01AB">
              <w:rPr>
                <w:rFonts w:cs="Calibri"/>
              </w:rPr>
              <w:t xml:space="preserve"> reducción de la cobertura forestal provoca el aumento de las tierras en condiciones de sobreuso, especialmente en zonas de ladera.</w:t>
            </w:r>
            <w:r w:rsidR="00141A70">
              <w:rPr>
                <w:rFonts w:cs="Calibri"/>
              </w:rPr>
              <w:t xml:space="preserve"> </w:t>
            </w:r>
            <w:r w:rsidR="008327B2" w:rsidRPr="001A01AB">
              <w:rPr>
                <w:rFonts w:cs="Calibri"/>
              </w:rPr>
              <w:t xml:space="preserve">Esto provoca </w:t>
            </w:r>
            <w:r>
              <w:rPr>
                <w:rFonts w:cs="Calibri"/>
              </w:rPr>
              <w:t>la pé</w:t>
            </w:r>
            <w:r w:rsidR="008327B2" w:rsidRPr="001A01AB">
              <w:rPr>
                <w:rFonts w:cs="Calibri"/>
              </w:rPr>
              <w:t>rdida de la fertilidad de los suelos, la cual se incrementará de no reducirse esta tendencia.</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El programa PINPEP es un instrumento que fortalecerá la productividad campesina rural para poseedores</w:t>
            </w:r>
            <w:r w:rsidR="00AF1CB2">
              <w:rPr>
                <w:rFonts w:cs="Calibri"/>
              </w:rPr>
              <w:t>,</w:t>
            </w:r>
            <w:r w:rsidRPr="001A01AB">
              <w:rPr>
                <w:rFonts w:cs="Calibri"/>
              </w:rPr>
              <w:t xml:space="preserve"> incorporando los sistemas agroforestales </w:t>
            </w:r>
            <w:r w:rsidR="00AF1CB2">
              <w:rPr>
                <w:rFonts w:cs="Calibri"/>
              </w:rPr>
              <w:t>a</w:t>
            </w:r>
            <w:r w:rsidRPr="001A01AB">
              <w:rPr>
                <w:rFonts w:cs="Calibri"/>
              </w:rPr>
              <w:t xml:space="preserve"> agroecosistemas productivos.</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El aumento de la población influirá en el crecimiento constante de la demanda de agua.</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Existe una clara tendencia hacia el incremento de la contaminación del agua como un hecho irreversible.</w:t>
            </w:r>
          </w:p>
          <w:p w:rsidR="008327B2" w:rsidRPr="001A01AB" w:rsidRDefault="00AF1CB2" w:rsidP="001A01AB">
            <w:pPr>
              <w:pStyle w:val="Prrafodelista"/>
              <w:numPr>
                <w:ilvl w:val="0"/>
                <w:numId w:val="28"/>
              </w:numPr>
              <w:autoSpaceDE w:val="0"/>
              <w:autoSpaceDN w:val="0"/>
              <w:adjustRightInd w:val="0"/>
              <w:spacing w:after="60"/>
              <w:ind w:left="282" w:hanging="284"/>
              <w:jc w:val="both"/>
              <w:rPr>
                <w:rFonts w:cs="Calibri"/>
              </w:rPr>
            </w:pPr>
            <w:r>
              <w:rPr>
                <w:rFonts w:cs="Calibri"/>
              </w:rPr>
              <w:t>La cooperación internacional para la</w:t>
            </w:r>
            <w:r w:rsidR="008327B2" w:rsidRPr="001A01AB">
              <w:rPr>
                <w:rFonts w:cs="Calibri"/>
              </w:rPr>
              <w:t xml:space="preserve"> asistencia técnica o </w:t>
            </w:r>
            <w:r>
              <w:rPr>
                <w:rFonts w:cs="Calibri"/>
              </w:rPr>
              <w:t xml:space="preserve">el </w:t>
            </w:r>
            <w:r w:rsidR="008327B2" w:rsidRPr="001A01AB">
              <w:rPr>
                <w:rFonts w:cs="Calibri"/>
              </w:rPr>
              <w:t>financiamiento a tecnologías apropiadas o proyectos productivos</w:t>
            </w:r>
            <w:r>
              <w:rPr>
                <w:rFonts w:cs="Calibri"/>
              </w:rPr>
              <w:t>,</w:t>
            </w:r>
            <w:r w:rsidR="008327B2" w:rsidRPr="001A01AB">
              <w:rPr>
                <w:rFonts w:cs="Calibri"/>
              </w:rPr>
              <w:t xml:space="preserve"> </w:t>
            </w:r>
            <w:r>
              <w:rPr>
                <w:rFonts w:cs="Calibri"/>
              </w:rPr>
              <w:t>es necesaria como soporte o complemento de</w:t>
            </w:r>
            <w:r w:rsidR="008327B2" w:rsidRPr="001A01AB">
              <w:rPr>
                <w:rFonts w:cs="Calibri"/>
              </w:rPr>
              <w:t xml:space="preserve"> los programas nacionales.</w:t>
            </w:r>
          </w:p>
          <w:p w:rsidR="008327B2" w:rsidRPr="001A01AB" w:rsidRDefault="00AF1CB2" w:rsidP="001A01AB">
            <w:pPr>
              <w:pStyle w:val="Prrafodelista"/>
              <w:numPr>
                <w:ilvl w:val="0"/>
                <w:numId w:val="28"/>
              </w:numPr>
              <w:autoSpaceDE w:val="0"/>
              <w:autoSpaceDN w:val="0"/>
              <w:adjustRightInd w:val="0"/>
              <w:spacing w:after="60"/>
              <w:ind w:left="282" w:hanging="284"/>
              <w:jc w:val="both"/>
              <w:rPr>
                <w:rFonts w:cs="Calibri"/>
              </w:rPr>
            </w:pPr>
            <w:r>
              <w:rPr>
                <w:rFonts w:cs="Calibri"/>
              </w:rPr>
              <w:t>Los</w:t>
            </w:r>
            <w:r w:rsidR="008327B2" w:rsidRPr="001A01AB">
              <w:rPr>
                <w:rFonts w:cs="Calibri"/>
              </w:rPr>
              <w:t xml:space="preserve"> recursos energéticos de origen natural, como la leña, son tradicional y culturalmente utilizados por las familias rurales.</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La contaminación de fuentes de agua y acuíferos superficiales y subterráneos va en aumento acelerado.</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La red vial ha mantenido una tendencia de expansión demasiado baja, en comparación con el ritmo de crecimiento de la población y de la economía.</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 xml:space="preserve">La insuficiente cantidad de inversiones </w:t>
            </w:r>
            <w:r w:rsidR="00AF1CB2">
              <w:rPr>
                <w:rFonts w:cs="Calibri"/>
              </w:rPr>
              <w:t>para</w:t>
            </w:r>
            <w:r w:rsidRPr="001A01AB">
              <w:rPr>
                <w:rFonts w:cs="Calibri"/>
              </w:rPr>
              <w:t xml:space="preserve"> la expansión y mejoramiento de la red vial ha limitado la tendencia de crecimiento de las actividades económicas, entre ellas, la agricultura.</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La superficie bajo cultivo ha experimentado una tendencia de crecimiento menor que el ritmo de crecimiento de la población, limitada, en parte, por una insuficiente red vial.</w:t>
            </w:r>
          </w:p>
        </w:tc>
      </w:tr>
    </w:tbl>
    <w:p w:rsidR="008327B2" w:rsidRPr="001A01AB" w:rsidRDefault="008327B2" w:rsidP="008327B2">
      <w:pPr>
        <w:jc w:val="both"/>
        <w:rPr>
          <w:rFonts w:ascii="Calibri" w:hAnsi="Calibri" w:cs="Calibri"/>
          <w:lang w:val="es-GT"/>
        </w:rPr>
      </w:pPr>
    </w:p>
    <w:p w:rsidR="008327B2" w:rsidRPr="001A01AB" w:rsidRDefault="008327B2" w:rsidP="00760D64">
      <w:pPr>
        <w:pBdr>
          <w:bottom w:val="single" w:sz="4" w:space="1" w:color="auto"/>
        </w:pBdr>
        <w:jc w:val="both"/>
        <w:rPr>
          <w:rFonts w:ascii="Calibri" w:hAnsi="Calibri" w:cs="Calibri"/>
          <w:b/>
          <w:color w:val="365F91"/>
          <w:sz w:val="32"/>
          <w:lang w:val="es-GT"/>
        </w:rPr>
      </w:pPr>
      <w:r w:rsidRPr="001A01AB">
        <w:rPr>
          <w:rFonts w:ascii="Calibri" w:hAnsi="Calibri" w:cs="Calibri"/>
          <w:lang w:val="es-GT"/>
        </w:rPr>
        <w:br w:type="page"/>
      </w:r>
      <w:r w:rsidRPr="001A01AB">
        <w:rPr>
          <w:rFonts w:ascii="Calibri" w:hAnsi="Calibri" w:cs="Calibri"/>
          <w:b/>
          <w:color w:val="365F91"/>
          <w:sz w:val="32"/>
          <w:lang w:val="es-GT"/>
        </w:rPr>
        <w:lastRenderedPageBreak/>
        <w:t>FCD 3: Seguridad alimentaria y nutricional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Enfoque:</w:t>
      </w:r>
    </w:p>
    <w:p w:rsidR="008327B2" w:rsidRPr="001A01AB" w:rsidRDefault="008327B2" w:rsidP="006B0A31">
      <w:pPr>
        <w:pStyle w:val="Prrafodelista"/>
        <w:numPr>
          <w:ilvl w:val="0"/>
          <w:numId w:val="43"/>
        </w:numPr>
        <w:autoSpaceDE w:val="0"/>
        <w:autoSpaceDN w:val="0"/>
        <w:adjustRightInd w:val="0"/>
        <w:spacing w:after="0" w:line="240" w:lineRule="auto"/>
        <w:ind w:left="284" w:hanging="284"/>
        <w:jc w:val="both"/>
        <w:rPr>
          <w:rFonts w:cs="Calibri"/>
          <w:sz w:val="24"/>
          <w:szCs w:val="24"/>
        </w:rPr>
      </w:pPr>
      <w:r w:rsidRPr="001A01AB">
        <w:rPr>
          <w:rFonts w:cs="Calibri"/>
          <w:sz w:val="24"/>
          <w:szCs w:val="24"/>
        </w:rPr>
        <w:t>El enfoque planteado para cumplir con el factor crítico de decisión es el de asegurar la provisión de alimentos esenciales para la familia rural, utilizando como uno de los principales criterios de evaluación el estado actual de la desnutrición y pobreza en Guatemala.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b/>
          <w:color w:val="365F91"/>
          <w:sz w:val="28"/>
          <w:lang w:val="es-GT"/>
        </w:rPr>
        <w:t>3.1</w:t>
      </w:r>
      <w:r w:rsidRPr="001A01AB">
        <w:rPr>
          <w:rFonts w:ascii="Calibri" w:hAnsi="Calibri" w:cs="Calibri"/>
          <w:b/>
          <w:color w:val="365F91"/>
          <w:sz w:val="28"/>
          <w:lang w:val="es-GT"/>
        </w:rPr>
        <w:tab/>
        <w:t>Criterio de evaluación: D</w:t>
      </w:r>
      <w:r w:rsidR="0073409A" w:rsidRPr="001A01AB">
        <w:rPr>
          <w:rFonts w:ascii="Calibri" w:hAnsi="Calibri" w:cs="Calibri"/>
          <w:b/>
          <w:color w:val="365F91"/>
          <w:sz w:val="28"/>
          <w:lang w:val="es-GT"/>
        </w:rPr>
        <w:t>esnutrición</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 desnutrición se manifiesta de varias formas y se ve reflejada por el retardo en el crecimiento intrauterino que se evidencia </w:t>
      </w:r>
      <w:r w:rsidR="00B67FE7">
        <w:rPr>
          <w:rFonts w:ascii="Calibri" w:hAnsi="Calibri" w:cs="Calibri"/>
          <w:lang w:val="es-GT"/>
        </w:rPr>
        <w:t>por</w:t>
      </w:r>
      <w:r w:rsidRPr="001A01AB">
        <w:rPr>
          <w:rFonts w:ascii="Calibri" w:hAnsi="Calibri" w:cs="Calibri"/>
          <w:lang w:val="es-GT"/>
        </w:rPr>
        <w:t xml:space="preserve"> el bajo peso al nacer (BPN); la disminución crónica del crecimiento con una baja talla respecto a la edad (T/E); la emaciación o desnutrición aguda manifestada por una pérdida grave de peso con respecto a la estatura (P/T); y de manera menos visible, pero no por ello menos importante, las deficiencias por micronutrientes consi</w:t>
      </w:r>
      <w:r w:rsidR="0073409A">
        <w:rPr>
          <w:rFonts w:ascii="Calibri" w:hAnsi="Calibri" w:cs="Calibri"/>
          <w:lang w:val="es-GT"/>
        </w:rPr>
        <w:t xml:space="preserve">deradas como hambre </w:t>
      </w:r>
      <w:r w:rsidR="0073409A" w:rsidRPr="00AC507E">
        <w:rPr>
          <w:rFonts w:ascii="Calibri" w:hAnsi="Calibri" w:cs="Calibri"/>
          <w:lang w:val="es-GT"/>
        </w:rPr>
        <w:t xml:space="preserve">oculta (OPS y </w:t>
      </w:r>
      <w:r w:rsidRPr="00AC507E">
        <w:rPr>
          <w:rFonts w:ascii="Calibri" w:hAnsi="Calibri" w:cs="Calibri"/>
          <w:lang w:val="es-GT"/>
        </w:rPr>
        <w:t>OMS,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desnutrición es causada por una ingesta deficiente de alimentos y/o por enfermedades infecciosas comunes y</w:t>
      </w:r>
      <w:r w:rsidR="00B67FE7">
        <w:rPr>
          <w:rFonts w:ascii="Calibri" w:hAnsi="Calibri" w:cs="Calibri"/>
          <w:lang w:val="es-GT"/>
        </w:rPr>
        <w:t>,</w:t>
      </w:r>
      <w:r w:rsidRPr="001A01AB">
        <w:rPr>
          <w:rFonts w:ascii="Calibri" w:hAnsi="Calibri" w:cs="Calibri"/>
          <w:lang w:val="es-GT"/>
        </w:rPr>
        <w:t xml:space="preserve"> consecuentemente</w:t>
      </w:r>
      <w:r w:rsidR="00B67FE7">
        <w:rPr>
          <w:rFonts w:ascii="Calibri" w:hAnsi="Calibri" w:cs="Calibri"/>
          <w:lang w:val="es-GT"/>
        </w:rPr>
        <w:t>,</w:t>
      </w:r>
      <w:r w:rsidRPr="001A01AB">
        <w:rPr>
          <w:rFonts w:ascii="Calibri" w:hAnsi="Calibri" w:cs="Calibri"/>
          <w:lang w:val="es-GT"/>
        </w:rPr>
        <w:t xml:space="preserve"> es el factor de riesgo más importante para la carga de enfermedad de los países en vías de desarrollo. Es causa directa de alrededor de 300 mil muertes en el mundo por año</w:t>
      </w:r>
      <w:r w:rsidR="00B67FE7">
        <w:rPr>
          <w:rFonts w:ascii="Calibri" w:hAnsi="Calibri" w:cs="Calibri"/>
          <w:lang w:val="es-GT"/>
        </w:rPr>
        <w:t>,</w:t>
      </w:r>
      <w:r w:rsidRPr="001A01AB">
        <w:rPr>
          <w:rFonts w:ascii="Calibri" w:hAnsi="Calibri" w:cs="Calibri"/>
          <w:lang w:val="es-GT"/>
        </w:rPr>
        <w:t xml:space="preserve"> e indirectamente</w:t>
      </w:r>
      <w:r w:rsidR="00B67FE7">
        <w:rPr>
          <w:rFonts w:ascii="Calibri" w:hAnsi="Calibri" w:cs="Calibri"/>
          <w:lang w:val="es-GT"/>
        </w:rPr>
        <w:t xml:space="preserve"> es</w:t>
      </w:r>
      <w:r w:rsidRPr="001A01AB">
        <w:rPr>
          <w:rFonts w:ascii="Calibri" w:hAnsi="Calibri" w:cs="Calibri"/>
          <w:lang w:val="es-GT"/>
        </w:rPr>
        <w:t xml:space="preserve"> responsable de la mitad de las muertes en los menores de </w:t>
      </w:r>
      <w:r w:rsidR="00B67FE7">
        <w:rPr>
          <w:rFonts w:ascii="Calibri" w:hAnsi="Calibri" w:cs="Calibri"/>
          <w:lang w:val="es-GT"/>
        </w:rPr>
        <w:t>cinco</w:t>
      </w:r>
      <w:r w:rsidRPr="001A01AB">
        <w:rPr>
          <w:rFonts w:ascii="Calibri" w:hAnsi="Calibri" w:cs="Calibri"/>
          <w:lang w:val="es-GT"/>
        </w:rPr>
        <w:t xml:space="preserve"> años. </w:t>
      </w:r>
      <w:r w:rsidR="00B67FE7">
        <w:rPr>
          <w:rFonts w:ascii="Calibri" w:hAnsi="Calibri" w:cs="Calibri"/>
          <w:lang w:val="es-GT"/>
        </w:rPr>
        <w:t>A</w:t>
      </w:r>
      <w:r w:rsidR="00B67FE7" w:rsidRPr="001A01AB">
        <w:rPr>
          <w:rFonts w:ascii="Calibri" w:hAnsi="Calibri" w:cs="Calibri"/>
          <w:lang w:val="es-GT"/>
        </w:rPr>
        <w:t xml:space="preserve"> nivel mundial</w:t>
      </w:r>
      <w:r w:rsidR="00B67FE7">
        <w:rPr>
          <w:rFonts w:ascii="Calibri" w:hAnsi="Calibri" w:cs="Calibri"/>
          <w:lang w:val="es-GT"/>
        </w:rPr>
        <w:t>, e</w:t>
      </w:r>
      <w:r w:rsidRPr="001A01AB">
        <w:rPr>
          <w:rFonts w:ascii="Calibri" w:hAnsi="Calibri" w:cs="Calibri"/>
          <w:lang w:val="es-GT"/>
        </w:rPr>
        <w:t>l retraso en el crecimiento intrauterino (RCI), la desnutrición crónica y la desnutrición aguda severa contribuyen con 2.2 millones de muertes por año y 91 millones de años de vida saludables perdidos, y son responsables del 7% de la</w:t>
      </w:r>
      <w:r w:rsidR="0073409A">
        <w:rPr>
          <w:rFonts w:ascii="Calibri" w:hAnsi="Calibri" w:cs="Calibri"/>
          <w:lang w:val="es-GT"/>
        </w:rPr>
        <w:t xml:space="preserve"> carga total de enfermedad (OPS y </w:t>
      </w:r>
      <w:r w:rsidRPr="001A01AB">
        <w:rPr>
          <w:rFonts w:ascii="Calibri" w:hAnsi="Calibri" w:cs="Calibri"/>
          <w:lang w:val="es-GT"/>
        </w:rPr>
        <w:t>OMS, 2009).</w:t>
      </w:r>
      <w:r w:rsidR="00B67FE7">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Guatemala es uno de los 36 países que a nivel mundial contribuyen con el 90% de la desnutrición crónica y es el país con mayor nivel de desnutrición en América Latina </w:t>
      </w:r>
      <w:r w:rsidR="00B67FE7">
        <w:rPr>
          <w:rFonts w:ascii="Calibri" w:hAnsi="Calibri" w:cs="Calibri"/>
          <w:lang w:val="es-GT"/>
        </w:rPr>
        <w:t>(</w:t>
      </w:r>
      <w:r w:rsidRPr="001A01AB">
        <w:rPr>
          <w:rFonts w:ascii="Calibri" w:hAnsi="Calibri" w:cs="Calibri"/>
          <w:lang w:val="es-GT"/>
        </w:rPr>
        <w:t>53%</w:t>
      </w:r>
      <w:r w:rsidR="00B67FE7">
        <w:rPr>
          <w:rFonts w:ascii="Calibri" w:hAnsi="Calibri" w:cs="Calibri"/>
          <w:lang w:val="es-GT"/>
        </w:rPr>
        <w:t>),</w:t>
      </w:r>
      <w:r w:rsidRPr="001A01AB">
        <w:rPr>
          <w:rFonts w:ascii="Calibri" w:hAnsi="Calibri" w:cs="Calibri"/>
          <w:lang w:val="es-GT"/>
        </w:rPr>
        <w:t xml:space="preserve"> de acuerdo</w:t>
      </w:r>
      <w:r w:rsidR="0073409A">
        <w:rPr>
          <w:rFonts w:ascii="Calibri" w:hAnsi="Calibri" w:cs="Calibri"/>
          <w:lang w:val="es-GT"/>
        </w:rPr>
        <w:t xml:space="preserve"> con los estándares de </w:t>
      </w:r>
      <w:r w:rsidR="00B67FE7">
        <w:rPr>
          <w:rFonts w:ascii="Calibri" w:hAnsi="Calibri" w:cs="Calibri"/>
          <w:lang w:val="es-GT"/>
        </w:rPr>
        <w:t xml:space="preserve">la </w:t>
      </w:r>
      <w:r w:rsidR="0073409A">
        <w:rPr>
          <w:rFonts w:ascii="Calibri" w:hAnsi="Calibri" w:cs="Calibri"/>
          <w:lang w:val="es-GT"/>
        </w:rPr>
        <w:t>O</w:t>
      </w:r>
      <w:r w:rsidR="00B67FE7">
        <w:rPr>
          <w:rFonts w:ascii="Calibri" w:hAnsi="Calibri" w:cs="Calibri"/>
          <w:lang w:val="es-GT"/>
        </w:rPr>
        <w:t xml:space="preserve">rganización </w:t>
      </w:r>
      <w:r w:rsidR="0073409A">
        <w:rPr>
          <w:rFonts w:ascii="Calibri" w:hAnsi="Calibri" w:cs="Calibri"/>
          <w:lang w:val="es-GT"/>
        </w:rPr>
        <w:t>M</w:t>
      </w:r>
      <w:r w:rsidR="00B67FE7">
        <w:rPr>
          <w:rFonts w:ascii="Calibri" w:hAnsi="Calibri" w:cs="Calibri"/>
          <w:lang w:val="es-GT"/>
        </w:rPr>
        <w:t xml:space="preserve">undial de la </w:t>
      </w:r>
      <w:r w:rsidR="0073409A">
        <w:rPr>
          <w:rFonts w:ascii="Calibri" w:hAnsi="Calibri" w:cs="Calibri"/>
          <w:lang w:val="es-GT"/>
        </w:rPr>
        <w:t>S</w:t>
      </w:r>
      <w:r w:rsidR="00B67FE7">
        <w:rPr>
          <w:rFonts w:ascii="Calibri" w:hAnsi="Calibri" w:cs="Calibri"/>
          <w:lang w:val="es-GT"/>
        </w:rPr>
        <w:t>alud –OMS-</w:t>
      </w:r>
      <w:r w:rsidR="0073409A">
        <w:rPr>
          <w:rFonts w:ascii="Calibri" w:hAnsi="Calibri" w:cs="Calibri"/>
          <w:lang w:val="es-GT"/>
        </w:rPr>
        <w:t xml:space="preserve"> (OPS y </w:t>
      </w:r>
      <w:r w:rsidRPr="001A01AB">
        <w:rPr>
          <w:rFonts w:ascii="Calibri" w:hAnsi="Calibri" w:cs="Calibri"/>
          <w:lang w:val="es-GT"/>
        </w:rPr>
        <w:t>OMS,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desnutrición crónica es el resultado de determinantes sociales donde la pobreza juega un papel muy relevante. Se trata de un problema estructural evidenciado por situaciones políticas, económicas y sociales.</w:t>
      </w:r>
      <w:r w:rsidR="00141A70">
        <w:rPr>
          <w:rFonts w:ascii="Calibri" w:hAnsi="Calibri" w:cs="Calibri"/>
          <w:lang w:val="es-GT"/>
        </w:rPr>
        <w:t xml:space="preserve"> </w:t>
      </w:r>
      <w:r w:rsidRPr="001A01AB">
        <w:rPr>
          <w:rFonts w:ascii="Calibri" w:hAnsi="Calibri" w:cs="Calibri"/>
          <w:lang w:val="es-GT"/>
        </w:rPr>
        <w:t>Este problema ocurre en mayor medida en los departamentos del altiplano occidental</w:t>
      </w:r>
      <w:r w:rsidR="00B67FE7">
        <w:rPr>
          <w:rFonts w:ascii="Calibri" w:hAnsi="Calibri" w:cs="Calibri"/>
          <w:lang w:val="es-GT"/>
        </w:rPr>
        <w:t>,</w:t>
      </w:r>
      <w:r w:rsidRPr="001A01AB">
        <w:rPr>
          <w:rFonts w:ascii="Calibri" w:hAnsi="Calibri" w:cs="Calibri"/>
          <w:lang w:val="es-GT"/>
        </w:rPr>
        <w:t xml:space="preserve"> que incluyen a Totonicapán, San Marcos, Sololá, Quiché, Alta Verapaz, Huehuetenango y Chimaltenango.</w:t>
      </w:r>
      <w:r w:rsidR="00141A70">
        <w:rPr>
          <w:rFonts w:ascii="Calibri" w:hAnsi="Calibri" w:cs="Calibri"/>
          <w:lang w:val="es-GT"/>
        </w:rPr>
        <w:t xml:space="preserve"> </w:t>
      </w:r>
      <w:r w:rsidRPr="001A01AB">
        <w:rPr>
          <w:rFonts w:ascii="Calibri" w:hAnsi="Calibri" w:cs="Calibri"/>
          <w:lang w:val="es-GT"/>
        </w:rPr>
        <w:t xml:space="preserve">En el Cuadro </w:t>
      </w:r>
      <w:r w:rsidR="00B67FE7">
        <w:rPr>
          <w:rFonts w:ascii="Calibri" w:hAnsi="Calibri" w:cs="Calibri"/>
          <w:lang w:val="es-GT"/>
        </w:rPr>
        <w:t>2</w:t>
      </w:r>
      <w:r w:rsidR="004C77F8">
        <w:rPr>
          <w:rFonts w:ascii="Calibri" w:hAnsi="Calibri" w:cs="Calibri"/>
          <w:lang w:val="es-GT"/>
        </w:rPr>
        <w:t>9</w:t>
      </w:r>
      <w:r w:rsidRPr="001A01AB">
        <w:rPr>
          <w:rFonts w:ascii="Calibri" w:hAnsi="Calibri" w:cs="Calibri"/>
          <w:lang w:val="es-GT"/>
        </w:rPr>
        <w:t xml:space="preserve"> se describen los determinantes de la desnutric</w:t>
      </w:r>
      <w:r w:rsidR="0073409A">
        <w:rPr>
          <w:rFonts w:ascii="Calibri" w:hAnsi="Calibri" w:cs="Calibri"/>
          <w:lang w:val="es-GT"/>
        </w:rPr>
        <w:t xml:space="preserve">ión crónica para Guatemala (OPS y </w:t>
      </w:r>
      <w:r w:rsidRPr="001A01AB">
        <w:rPr>
          <w:rFonts w:ascii="Calibri" w:hAnsi="Calibri" w:cs="Calibri"/>
          <w:lang w:val="es-GT"/>
        </w:rPr>
        <w:t>OMS, 2009).</w:t>
      </w:r>
    </w:p>
    <w:p w:rsidR="008327B2" w:rsidRPr="001A01AB" w:rsidRDefault="008327B2" w:rsidP="008327B2">
      <w:pPr>
        <w:autoSpaceDE w:val="0"/>
        <w:autoSpaceDN w:val="0"/>
        <w:adjustRightInd w:val="0"/>
        <w:jc w:val="both"/>
        <w:rPr>
          <w:rFonts w:ascii="Calibri" w:hAnsi="Calibri" w:cs="Calibri"/>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bookmarkStart w:id="337" w:name="_Toc340032173"/>
      <w:bookmarkStart w:id="338" w:name="_Toc340034450"/>
      <w:bookmarkStart w:id="339" w:name="_Toc343164657"/>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8327B2" w:rsidRDefault="00C54ACC" w:rsidP="007033AE">
      <w:pPr>
        <w:pStyle w:val="Epgrafe"/>
        <w:jc w:val="center"/>
        <w:rPr>
          <w:rFonts w:asciiTheme="minorHAnsi" w:hAnsiTheme="minorHAnsi" w:cstheme="minorHAnsi"/>
          <w:color w:val="365F91" w:themeColor="accent1" w:themeShade="BF"/>
          <w:sz w:val="22"/>
          <w:szCs w:val="22"/>
          <w:lang w:val="es-GT"/>
        </w:rPr>
      </w:pPr>
      <w:bookmarkStart w:id="340" w:name="_Toc347841211"/>
      <w:r w:rsidRPr="007033AE">
        <w:rPr>
          <w:rFonts w:asciiTheme="minorHAnsi" w:hAnsiTheme="minorHAnsi" w:cstheme="minorHAnsi"/>
          <w:color w:val="365F91" w:themeColor="accent1" w:themeShade="BF"/>
          <w:sz w:val="22"/>
          <w:szCs w:val="22"/>
          <w:lang w:val="es-GT"/>
        </w:rPr>
        <w:lastRenderedPageBreak/>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29</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Determinantes de la desnu</w:t>
      </w:r>
      <w:r w:rsidR="00F0158A" w:rsidRPr="007033AE">
        <w:rPr>
          <w:rFonts w:asciiTheme="minorHAnsi" w:hAnsiTheme="minorHAnsi" w:cstheme="minorHAnsi"/>
          <w:color w:val="365F91" w:themeColor="accent1" w:themeShade="BF"/>
          <w:sz w:val="22"/>
          <w:szCs w:val="22"/>
          <w:lang w:val="es-GT"/>
        </w:rPr>
        <w:t>trición crónica para Guatemala (</w:t>
      </w:r>
      <w:r w:rsidR="008327B2" w:rsidRPr="007033AE">
        <w:rPr>
          <w:rFonts w:asciiTheme="minorHAnsi" w:hAnsiTheme="minorHAnsi" w:cstheme="minorHAnsi"/>
          <w:color w:val="365F91" w:themeColor="accent1" w:themeShade="BF"/>
          <w:sz w:val="22"/>
          <w:szCs w:val="22"/>
          <w:lang w:val="es-GT"/>
        </w:rPr>
        <w:t>2009</w:t>
      </w:r>
      <w:bookmarkEnd w:id="337"/>
      <w:bookmarkEnd w:id="338"/>
      <w:bookmarkEnd w:id="339"/>
      <w:r w:rsidR="00F0158A" w:rsidRPr="007033AE">
        <w:rPr>
          <w:rFonts w:asciiTheme="minorHAnsi" w:hAnsiTheme="minorHAnsi" w:cstheme="minorHAnsi"/>
          <w:color w:val="365F91" w:themeColor="accent1" w:themeShade="BF"/>
          <w:sz w:val="22"/>
          <w:szCs w:val="22"/>
          <w:lang w:val="es-GT"/>
        </w:rPr>
        <w:t>)</w:t>
      </w:r>
      <w:bookmarkEnd w:id="340"/>
    </w:p>
    <w:p w:rsidR="007033AE" w:rsidRPr="007033AE" w:rsidRDefault="007033AE" w:rsidP="007033AE">
      <w:pPr>
        <w:rPr>
          <w:lang w:val="es-GT"/>
        </w:rPr>
      </w:pPr>
    </w:p>
    <w:tbl>
      <w:tblPr>
        <w:tblW w:w="9356" w:type="dxa"/>
        <w:tblInd w:w="108" w:type="dxa"/>
        <w:tblBorders>
          <w:top w:val="single" w:sz="4" w:space="0" w:color="365F91"/>
          <w:bottom w:val="single" w:sz="4" w:space="0" w:color="365F91"/>
          <w:insideH w:val="single" w:sz="4" w:space="0" w:color="365F91"/>
          <w:insideV w:val="single" w:sz="4" w:space="0" w:color="auto"/>
        </w:tblBorders>
        <w:tblLook w:val="04A0" w:firstRow="1" w:lastRow="0" w:firstColumn="1" w:lastColumn="0" w:noHBand="0" w:noVBand="1"/>
      </w:tblPr>
      <w:tblGrid>
        <w:gridCol w:w="9356"/>
      </w:tblGrid>
      <w:tr w:rsidR="008327B2" w:rsidRPr="000364C9" w:rsidTr="001A01AB">
        <w:tc>
          <w:tcPr>
            <w:tcW w:w="9356" w:type="dxa"/>
            <w:shd w:val="clear" w:color="auto" w:fill="auto"/>
          </w:tcPr>
          <w:p w:rsidR="008327B2" w:rsidRPr="001A01AB" w:rsidRDefault="008327B2" w:rsidP="00F0158A">
            <w:pPr>
              <w:autoSpaceDE w:val="0"/>
              <w:autoSpaceDN w:val="0"/>
              <w:adjustRightInd w:val="0"/>
              <w:spacing w:before="40" w:after="40"/>
              <w:jc w:val="both"/>
              <w:rPr>
                <w:rFonts w:ascii="Calibri" w:hAnsi="Calibri" w:cs="Calibri"/>
                <w:color w:val="000000"/>
                <w:lang w:val="es-GT" w:eastAsia="es-GT"/>
              </w:rPr>
            </w:pPr>
            <w:r w:rsidRPr="001A01AB">
              <w:rPr>
                <w:rFonts w:ascii="Calibri" w:hAnsi="Calibri" w:cs="Calibri"/>
                <w:color w:val="000000"/>
                <w:lang w:val="es-GT" w:eastAsia="es-GT"/>
              </w:rPr>
              <w:t>La desnutrición es 3.2 veces mayor en familias que poseen</w:t>
            </w:r>
            <w:r w:rsidR="00F0158A">
              <w:rPr>
                <w:rFonts w:ascii="Calibri" w:hAnsi="Calibri" w:cs="Calibri"/>
                <w:color w:val="000000"/>
                <w:lang w:val="es-GT" w:eastAsia="es-GT"/>
              </w:rPr>
              <w:t xml:space="preserve"> menos de 2 manzanas que en aque</w:t>
            </w:r>
            <w:r w:rsidRPr="001A01AB">
              <w:rPr>
                <w:rFonts w:ascii="Calibri" w:hAnsi="Calibri" w:cs="Calibri"/>
                <w:color w:val="000000"/>
                <w:lang w:val="es-GT" w:eastAsia="es-GT"/>
              </w:rPr>
              <w:t>llas con más de 51.</w:t>
            </w:r>
          </w:p>
        </w:tc>
      </w:tr>
      <w:tr w:rsidR="008327B2" w:rsidRPr="00281FF0" w:rsidTr="001A01AB">
        <w:tc>
          <w:tcPr>
            <w:tcW w:w="9356" w:type="dxa"/>
            <w:tcBorders>
              <w:bottom w:val="single" w:sz="4" w:space="0" w:color="365F91"/>
            </w:tcBorders>
            <w:shd w:val="clear" w:color="auto" w:fill="auto"/>
          </w:tcPr>
          <w:p w:rsidR="008327B2" w:rsidRPr="001A01AB" w:rsidRDefault="008327B2" w:rsidP="00F0158A">
            <w:pPr>
              <w:autoSpaceDE w:val="0"/>
              <w:autoSpaceDN w:val="0"/>
              <w:adjustRightInd w:val="0"/>
              <w:spacing w:before="40" w:after="40"/>
              <w:jc w:val="both"/>
              <w:rPr>
                <w:rFonts w:ascii="Calibri" w:hAnsi="Calibri" w:cs="Calibri"/>
                <w:color w:val="000000"/>
                <w:lang w:val="es-GT" w:eastAsia="es-GT"/>
              </w:rPr>
            </w:pPr>
            <w:r w:rsidRPr="001A01AB">
              <w:rPr>
                <w:rFonts w:ascii="Calibri" w:hAnsi="Calibri" w:cs="Calibri"/>
                <w:color w:val="000000"/>
                <w:lang w:val="es-GT" w:eastAsia="es-GT"/>
              </w:rPr>
              <w:t>Desempleo, subempleo y mercado informal sin cobertura de protección social. Salario mínimo agrícola insuficiente</w:t>
            </w:r>
            <w:r w:rsidR="00F0158A">
              <w:rPr>
                <w:rFonts w:ascii="Calibri" w:hAnsi="Calibri" w:cs="Calibri"/>
                <w:color w:val="000000"/>
                <w:lang w:val="es-GT" w:eastAsia="es-GT"/>
              </w:rPr>
              <w:t>.</w:t>
            </w:r>
          </w:p>
        </w:tc>
      </w:tr>
      <w:tr w:rsidR="008327B2" w:rsidRPr="00281FF0" w:rsidTr="001A01AB">
        <w:tc>
          <w:tcPr>
            <w:tcW w:w="9356" w:type="dxa"/>
            <w:tcBorders>
              <w:bottom w:val="nil"/>
            </w:tcBorders>
            <w:shd w:val="clear" w:color="auto" w:fill="auto"/>
          </w:tcPr>
          <w:p w:rsidR="008327B2" w:rsidRPr="001A01AB" w:rsidRDefault="008327B2" w:rsidP="00F0158A">
            <w:pPr>
              <w:autoSpaceDE w:val="0"/>
              <w:autoSpaceDN w:val="0"/>
              <w:adjustRightInd w:val="0"/>
              <w:spacing w:before="40" w:after="40"/>
              <w:jc w:val="both"/>
              <w:rPr>
                <w:rFonts w:ascii="Calibri" w:hAnsi="Calibri" w:cs="Calibri"/>
                <w:color w:val="000000"/>
                <w:lang w:val="es-GT" w:eastAsia="es-GT"/>
              </w:rPr>
            </w:pPr>
          </w:p>
        </w:tc>
      </w:tr>
      <w:tr w:rsidR="008327B2" w:rsidRPr="000364C9" w:rsidTr="001A01AB">
        <w:tc>
          <w:tcPr>
            <w:tcW w:w="9356" w:type="dxa"/>
            <w:tcBorders>
              <w:top w:val="nil"/>
            </w:tcBorders>
            <w:shd w:val="clear" w:color="auto" w:fill="auto"/>
          </w:tcPr>
          <w:p w:rsidR="008327B2" w:rsidRPr="001A01AB" w:rsidRDefault="008327B2" w:rsidP="00F0158A">
            <w:pPr>
              <w:autoSpaceDE w:val="0"/>
              <w:autoSpaceDN w:val="0"/>
              <w:adjustRightInd w:val="0"/>
              <w:spacing w:before="40" w:after="40"/>
              <w:jc w:val="both"/>
              <w:rPr>
                <w:rFonts w:ascii="Calibri" w:hAnsi="Calibri" w:cs="Calibri"/>
                <w:color w:val="000000"/>
                <w:lang w:val="es-GT" w:eastAsia="es-GT"/>
              </w:rPr>
            </w:pPr>
            <w:r w:rsidRPr="001A01AB">
              <w:rPr>
                <w:rFonts w:ascii="Calibri" w:hAnsi="Calibri" w:cs="Calibri"/>
                <w:color w:val="000000"/>
                <w:lang w:val="es-GT" w:eastAsia="es-GT"/>
              </w:rPr>
              <w:t>La economía de Guatemala está dominada por el sector privado, generando alrededor del 85% del PIB. La agricultura contribuye con el 23% del PIB y constituye el 75% de las exportaciones. El 0.96% corresponde a salud. Baja recaudación fiscal. Reducción de remesas</w:t>
            </w:r>
            <w:r w:rsidR="00F0158A">
              <w:rPr>
                <w:rFonts w:ascii="Calibri" w:hAnsi="Calibri" w:cs="Calibri"/>
                <w:color w:val="000000"/>
                <w:lang w:val="es-GT" w:eastAsia="es-GT"/>
              </w:rPr>
              <w:t>.</w:t>
            </w:r>
          </w:p>
        </w:tc>
      </w:tr>
      <w:tr w:rsidR="008327B2" w:rsidRPr="000364C9" w:rsidTr="001A01AB">
        <w:tc>
          <w:tcPr>
            <w:tcW w:w="9356" w:type="dxa"/>
            <w:shd w:val="clear" w:color="auto" w:fill="auto"/>
          </w:tcPr>
          <w:p w:rsidR="008327B2" w:rsidRPr="001A01AB" w:rsidRDefault="00F0158A" w:rsidP="00F0158A">
            <w:pPr>
              <w:autoSpaceDE w:val="0"/>
              <w:autoSpaceDN w:val="0"/>
              <w:adjustRightInd w:val="0"/>
              <w:spacing w:before="40" w:after="40"/>
              <w:jc w:val="both"/>
              <w:rPr>
                <w:rFonts w:ascii="Calibri" w:hAnsi="Calibri" w:cs="Calibri"/>
                <w:color w:val="000000"/>
                <w:lang w:val="es-GT" w:eastAsia="es-GT"/>
              </w:rPr>
            </w:pPr>
            <w:r>
              <w:rPr>
                <w:rFonts w:ascii="Calibri" w:hAnsi="Calibri" w:cs="Calibri"/>
                <w:color w:val="000000"/>
                <w:lang w:val="es-GT" w:eastAsia="es-GT"/>
              </w:rPr>
              <w:t>Limitada soberanía alimentaria. E</w:t>
            </w:r>
            <w:r w:rsidR="008327B2" w:rsidRPr="001A01AB">
              <w:rPr>
                <w:rFonts w:ascii="Calibri" w:hAnsi="Calibri" w:cs="Calibri"/>
                <w:color w:val="000000"/>
                <w:lang w:val="es-GT" w:eastAsia="es-GT"/>
              </w:rPr>
              <w:t>l 60% del frijol -producto de la canasta básica- es importado.</w:t>
            </w:r>
          </w:p>
        </w:tc>
      </w:tr>
      <w:tr w:rsidR="008327B2" w:rsidRPr="000364C9" w:rsidTr="001A01AB">
        <w:tc>
          <w:tcPr>
            <w:tcW w:w="9356" w:type="dxa"/>
            <w:shd w:val="clear" w:color="auto" w:fill="auto"/>
          </w:tcPr>
          <w:p w:rsidR="008327B2" w:rsidRPr="001A01AB" w:rsidRDefault="008327B2" w:rsidP="00F0158A">
            <w:pPr>
              <w:autoSpaceDE w:val="0"/>
              <w:autoSpaceDN w:val="0"/>
              <w:adjustRightInd w:val="0"/>
              <w:spacing w:before="40" w:after="40"/>
              <w:jc w:val="both"/>
              <w:rPr>
                <w:rFonts w:ascii="Calibri" w:hAnsi="Calibri" w:cs="Calibri"/>
                <w:color w:val="000000"/>
                <w:lang w:val="es-GT" w:eastAsia="es-GT"/>
              </w:rPr>
            </w:pPr>
            <w:r w:rsidRPr="001A01AB">
              <w:rPr>
                <w:rFonts w:ascii="Calibri" w:hAnsi="Calibri" w:cs="Calibri"/>
                <w:color w:val="000000"/>
                <w:lang w:val="es-GT" w:eastAsia="es-GT"/>
              </w:rPr>
              <w:t>Limitado acceso a servicios de salud y educación. La desnutrición es tres veces más alta en niños y niñas cuyas madres no tienen escolaridad.</w:t>
            </w:r>
          </w:p>
        </w:tc>
      </w:tr>
      <w:tr w:rsidR="008327B2" w:rsidRPr="000364C9" w:rsidTr="001A01AB">
        <w:tc>
          <w:tcPr>
            <w:tcW w:w="9356" w:type="dxa"/>
            <w:shd w:val="clear" w:color="auto" w:fill="auto"/>
          </w:tcPr>
          <w:p w:rsidR="008327B2" w:rsidRPr="001A01AB" w:rsidRDefault="008327B2" w:rsidP="00F0158A">
            <w:pPr>
              <w:autoSpaceDE w:val="0"/>
              <w:autoSpaceDN w:val="0"/>
              <w:adjustRightInd w:val="0"/>
              <w:spacing w:before="40" w:after="40"/>
              <w:jc w:val="both"/>
              <w:rPr>
                <w:rFonts w:ascii="Calibri" w:hAnsi="Calibri" w:cs="Calibri"/>
                <w:color w:val="000000"/>
                <w:lang w:val="es-GT" w:eastAsia="es-GT"/>
              </w:rPr>
            </w:pPr>
            <w:r w:rsidRPr="001A01AB">
              <w:rPr>
                <w:rFonts w:ascii="Calibri" w:hAnsi="Calibri" w:cs="Calibri"/>
                <w:color w:val="000000"/>
                <w:lang w:val="es-GT" w:eastAsia="es-GT"/>
              </w:rPr>
              <w:t xml:space="preserve">Inadecuadas prácticas alimentarias, incluyendo disminución de la lactancia materna y alimentación complementaria durante la niñez. 51% de los niños menores de 6 meses recibe lactancia exclusiva y 42% lactancia continuada </w:t>
            </w:r>
            <w:r w:rsidRPr="00F0158A">
              <w:rPr>
                <w:rFonts w:ascii="Calibri" w:hAnsi="Calibri" w:cs="Calibri"/>
                <w:color w:val="000000"/>
                <w:highlight w:val="yellow"/>
                <w:lang w:val="es-GT" w:eastAsia="es-GT"/>
              </w:rPr>
              <w:t>hasta 2 años 3</w:t>
            </w:r>
          </w:p>
        </w:tc>
      </w:tr>
      <w:tr w:rsidR="008327B2" w:rsidRPr="000364C9" w:rsidTr="001A01AB">
        <w:tc>
          <w:tcPr>
            <w:tcW w:w="9356" w:type="dxa"/>
            <w:shd w:val="clear" w:color="auto" w:fill="auto"/>
          </w:tcPr>
          <w:p w:rsidR="008327B2" w:rsidRPr="001A01AB" w:rsidRDefault="008327B2" w:rsidP="00F0158A">
            <w:pPr>
              <w:autoSpaceDE w:val="0"/>
              <w:autoSpaceDN w:val="0"/>
              <w:adjustRightInd w:val="0"/>
              <w:spacing w:before="40" w:after="40"/>
              <w:jc w:val="both"/>
              <w:rPr>
                <w:rFonts w:ascii="Calibri" w:hAnsi="Calibri" w:cs="Calibri"/>
                <w:color w:val="000000"/>
                <w:lang w:val="es-GT" w:eastAsia="es-GT"/>
              </w:rPr>
            </w:pPr>
            <w:r w:rsidRPr="001A01AB">
              <w:rPr>
                <w:rFonts w:ascii="Calibri" w:hAnsi="Calibri" w:cs="Calibri"/>
                <w:color w:val="000000"/>
                <w:lang w:val="es-GT" w:eastAsia="es-GT"/>
              </w:rPr>
              <w:t xml:space="preserve">La cantidad y variedad de la ingesta dietética se ha reducido, apenas cinco alimentos constituyen el patrón alimentario del 75% de las familias en el país. Están </w:t>
            </w:r>
            <w:r w:rsidR="0017736D" w:rsidRPr="001A01AB">
              <w:rPr>
                <w:rFonts w:ascii="Calibri" w:hAnsi="Calibri" w:cs="Calibri"/>
                <w:color w:val="000000"/>
                <w:lang w:val="es-GT" w:eastAsia="es-GT"/>
              </w:rPr>
              <w:t>excluidas</w:t>
            </w:r>
            <w:r w:rsidRPr="001A01AB">
              <w:rPr>
                <w:rFonts w:ascii="Calibri" w:hAnsi="Calibri" w:cs="Calibri"/>
                <w:color w:val="000000"/>
                <w:lang w:val="es-GT" w:eastAsia="es-GT"/>
              </w:rPr>
              <w:t xml:space="preserve"> las verduras, frutas y productos de origen animal.</w:t>
            </w:r>
          </w:p>
        </w:tc>
      </w:tr>
      <w:tr w:rsidR="008327B2" w:rsidRPr="000364C9" w:rsidTr="001A01AB">
        <w:tc>
          <w:tcPr>
            <w:tcW w:w="9356" w:type="dxa"/>
            <w:shd w:val="clear" w:color="auto" w:fill="auto"/>
          </w:tcPr>
          <w:p w:rsidR="008327B2" w:rsidRPr="001A01AB" w:rsidRDefault="008327B2" w:rsidP="00F0158A">
            <w:pPr>
              <w:autoSpaceDE w:val="0"/>
              <w:autoSpaceDN w:val="0"/>
              <w:adjustRightInd w:val="0"/>
              <w:spacing w:before="40" w:after="40"/>
              <w:jc w:val="both"/>
              <w:rPr>
                <w:rFonts w:ascii="Calibri" w:hAnsi="Calibri" w:cs="Calibri"/>
                <w:lang w:val="es-GT"/>
              </w:rPr>
            </w:pPr>
            <w:r w:rsidRPr="001A01AB">
              <w:rPr>
                <w:rFonts w:ascii="Calibri" w:hAnsi="Calibri" w:cs="Calibri"/>
                <w:color w:val="000000"/>
                <w:lang w:val="es-GT" w:eastAsia="es-GT"/>
              </w:rPr>
              <w:t xml:space="preserve">En el 2007, se reportó un ambiente afectado con 97% de agua contaminada con </w:t>
            </w:r>
            <w:r w:rsidRPr="0017736D">
              <w:rPr>
                <w:rFonts w:ascii="Calibri" w:hAnsi="Calibri" w:cs="Calibri"/>
                <w:i/>
                <w:color w:val="000000"/>
                <w:lang w:val="es-GT" w:eastAsia="es-GT"/>
              </w:rPr>
              <w:t xml:space="preserve">E. </w:t>
            </w:r>
            <w:r w:rsidR="0017736D" w:rsidRPr="0017736D">
              <w:rPr>
                <w:rFonts w:ascii="Calibri" w:hAnsi="Calibri" w:cs="Calibri"/>
                <w:i/>
                <w:color w:val="000000"/>
                <w:lang w:val="es-GT" w:eastAsia="es-GT"/>
              </w:rPr>
              <w:t>c</w:t>
            </w:r>
            <w:r w:rsidRPr="0017736D">
              <w:rPr>
                <w:rFonts w:ascii="Calibri" w:hAnsi="Calibri" w:cs="Calibri"/>
                <w:i/>
                <w:color w:val="000000"/>
                <w:lang w:val="es-GT" w:eastAsia="es-GT"/>
              </w:rPr>
              <w:t>oli,</w:t>
            </w:r>
            <w:r w:rsidRPr="001A01AB">
              <w:rPr>
                <w:rFonts w:ascii="Calibri" w:hAnsi="Calibri" w:cs="Calibri"/>
                <w:color w:val="000000"/>
                <w:lang w:val="es-GT" w:eastAsia="es-GT"/>
              </w:rPr>
              <w:t xml:space="preserve"> infraestructura de saneamiento precaria, defecación a cielo abierto, aguas residuales sin disposición y malas prácticas higiénicas en 447 comunidades.</w:t>
            </w:r>
          </w:p>
        </w:tc>
      </w:tr>
    </w:tbl>
    <w:p w:rsidR="008327B2" w:rsidRPr="001A01AB" w:rsidRDefault="008327B2" w:rsidP="008327B2">
      <w:pPr>
        <w:autoSpaceDE w:val="0"/>
        <w:autoSpaceDN w:val="0"/>
        <w:adjustRightInd w:val="0"/>
        <w:ind w:left="1701"/>
        <w:jc w:val="right"/>
        <w:rPr>
          <w:rFonts w:ascii="Calibri" w:hAnsi="Calibri" w:cs="Calibri"/>
          <w:sz w:val="20"/>
          <w:lang w:val="es-GT"/>
        </w:rPr>
      </w:pPr>
      <w:r w:rsidRPr="001A01AB">
        <w:rPr>
          <w:rFonts w:ascii="Calibri" w:hAnsi="Calibri" w:cs="Calibri"/>
          <w:sz w:val="20"/>
          <w:lang w:val="es-GT"/>
        </w:rPr>
        <w:t xml:space="preserve">Fuente: </w:t>
      </w:r>
      <w:r w:rsidR="0073409A">
        <w:rPr>
          <w:rFonts w:ascii="Calibri" w:hAnsi="Calibri" w:cs="Calibri"/>
          <w:sz w:val="20"/>
          <w:lang w:val="es-GT"/>
        </w:rPr>
        <w:t>OPS y OMS (</w:t>
      </w:r>
      <w:r w:rsidRPr="001A01AB">
        <w:rPr>
          <w:rFonts w:ascii="Calibri" w:hAnsi="Calibri" w:cs="Calibri"/>
          <w:sz w:val="20"/>
          <w:lang w:val="es-GT"/>
        </w:rPr>
        <w:t>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 pesar de que la desnutrición crónica continúa siendo el problema</w:t>
      </w:r>
      <w:r w:rsidR="00141A70">
        <w:rPr>
          <w:rFonts w:ascii="Calibri" w:hAnsi="Calibri" w:cs="Calibri"/>
          <w:lang w:val="es-GT"/>
        </w:rPr>
        <w:t xml:space="preserve"> </w:t>
      </w:r>
      <w:r w:rsidRPr="001A01AB">
        <w:rPr>
          <w:rFonts w:ascii="Calibri" w:hAnsi="Calibri" w:cs="Calibri"/>
          <w:lang w:val="es-GT"/>
        </w:rPr>
        <w:t xml:space="preserve">prioritario de Guatemala, actualmente se </w:t>
      </w:r>
      <w:r w:rsidR="00F0158A">
        <w:rPr>
          <w:rFonts w:ascii="Calibri" w:hAnsi="Calibri" w:cs="Calibri"/>
          <w:lang w:val="es-GT"/>
        </w:rPr>
        <w:t>observa</w:t>
      </w:r>
      <w:r w:rsidRPr="001A01AB">
        <w:rPr>
          <w:rFonts w:ascii="Calibri" w:hAnsi="Calibri" w:cs="Calibri"/>
          <w:lang w:val="es-GT"/>
        </w:rPr>
        <w:t xml:space="preserve"> un incremento de la desnutrición aguda severa señalada por la Secretaría de Seg</w:t>
      </w:r>
      <w:r w:rsidR="00F0158A">
        <w:rPr>
          <w:rFonts w:ascii="Calibri" w:hAnsi="Calibri" w:cs="Calibri"/>
          <w:lang w:val="es-GT"/>
        </w:rPr>
        <w:t>uridad Alimentaria Nutricional (</w:t>
      </w:r>
      <w:r w:rsidRPr="001A01AB">
        <w:rPr>
          <w:rFonts w:ascii="Calibri" w:hAnsi="Calibri" w:cs="Calibri"/>
          <w:lang w:val="es-GT"/>
        </w:rPr>
        <w:t>SESAN</w:t>
      </w:r>
      <w:r w:rsidR="00F0158A">
        <w:rPr>
          <w:rFonts w:ascii="Calibri" w:hAnsi="Calibri" w:cs="Calibri"/>
          <w:lang w:val="es-GT"/>
        </w:rPr>
        <w:t>)</w:t>
      </w:r>
      <w:r w:rsidRPr="001A01AB">
        <w:rPr>
          <w:rFonts w:ascii="Calibri" w:hAnsi="Calibri" w:cs="Calibri"/>
          <w:lang w:val="es-GT"/>
        </w:rPr>
        <w:t xml:space="preserve"> y por las agencias internacionales.</w:t>
      </w:r>
      <w:r w:rsidR="00F0158A">
        <w:rPr>
          <w:rFonts w:ascii="Calibri" w:hAnsi="Calibri" w:cs="Calibri"/>
          <w:lang w:val="es-GT"/>
        </w:rPr>
        <w:t xml:space="preserve"> </w:t>
      </w:r>
      <w:r w:rsidRPr="001A01AB">
        <w:rPr>
          <w:rFonts w:ascii="Calibri" w:hAnsi="Calibri" w:cs="Calibri"/>
          <w:lang w:val="es-GT"/>
        </w:rPr>
        <w:t xml:space="preserve">Entre </w:t>
      </w:r>
      <w:r w:rsidR="00F0158A">
        <w:rPr>
          <w:rFonts w:ascii="Calibri" w:hAnsi="Calibri" w:cs="Calibri"/>
          <w:lang w:val="es-GT"/>
        </w:rPr>
        <w:t>sus</w:t>
      </w:r>
      <w:r w:rsidRPr="001A01AB">
        <w:rPr>
          <w:rFonts w:ascii="Calibri" w:hAnsi="Calibri" w:cs="Calibri"/>
          <w:lang w:val="es-GT"/>
        </w:rPr>
        <w:t xml:space="preserve"> principales condicionantes, el Cuadro </w:t>
      </w:r>
      <w:r w:rsidR="004C77F8">
        <w:rPr>
          <w:rFonts w:ascii="Calibri" w:hAnsi="Calibri" w:cs="Calibri"/>
          <w:lang w:val="es-GT"/>
        </w:rPr>
        <w:t>30</w:t>
      </w:r>
      <w:r w:rsidR="00F0158A">
        <w:rPr>
          <w:rFonts w:ascii="Calibri" w:hAnsi="Calibri" w:cs="Calibri"/>
          <w:lang w:val="es-GT"/>
        </w:rPr>
        <w:t xml:space="preserve"> menciona</w:t>
      </w:r>
      <w:r w:rsidRPr="001A01AB">
        <w:rPr>
          <w:rFonts w:ascii="Calibri" w:hAnsi="Calibri" w:cs="Calibri"/>
          <w:lang w:val="es-GT"/>
        </w:rPr>
        <w:t xml:space="preserve"> los más relevantes:</w:t>
      </w:r>
    </w:p>
    <w:p w:rsidR="008327B2" w:rsidRPr="001A01AB" w:rsidRDefault="008327B2" w:rsidP="008327B2">
      <w:pPr>
        <w:autoSpaceDE w:val="0"/>
        <w:autoSpaceDN w:val="0"/>
        <w:adjustRightInd w:val="0"/>
        <w:jc w:val="both"/>
        <w:rPr>
          <w:rFonts w:ascii="Calibri" w:hAnsi="Calibri" w:cs="Calibri"/>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bookmarkStart w:id="341" w:name="_Toc340032174"/>
      <w:bookmarkStart w:id="342" w:name="_Toc340034451"/>
      <w:bookmarkStart w:id="343" w:name="_Toc343164658"/>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B556CF" w:rsidRDefault="00B556CF" w:rsidP="007033AE">
      <w:pPr>
        <w:pStyle w:val="Epgrafe"/>
        <w:jc w:val="center"/>
        <w:rPr>
          <w:rFonts w:asciiTheme="minorHAnsi" w:hAnsiTheme="minorHAnsi" w:cstheme="minorHAnsi"/>
          <w:color w:val="365F91" w:themeColor="accent1" w:themeShade="BF"/>
          <w:sz w:val="22"/>
          <w:szCs w:val="22"/>
          <w:lang w:val="es-GT"/>
        </w:rPr>
      </w:pPr>
    </w:p>
    <w:p w:rsidR="008327B2" w:rsidRDefault="00C54ACC" w:rsidP="007033AE">
      <w:pPr>
        <w:pStyle w:val="Epgrafe"/>
        <w:jc w:val="center"/>
        <w:rPr>
          <w:rFonts w:asciiTheme="minorHAnsi" w:hAnsiTheme="minorHAnsi" w:cstheme="minorHAnsi"/>
          <w:color w:val="365F91" w:themeColor="accent1" w:themeShade="BF"/>
          <w:sz w:val="22"/>
          <w:szCs w:val="22"/>
          <w:lang w:val="es-GT"/>
        </w:rPr>
      </w:pPr>
      <w:bookmarkStart w:id="344" w:name="_Toc347841212"/>
      <w:r w:rsidRPr="007033AE">
        <w:rPr>
          <w:rFonts w:asciiTheme="minorHAnsi" w:hAnsiTheme="minorHAnsi" w:cstheme="minorHAnsi"/>
          <w:color w:val="365F91" w:themeColor="accent1" w:themeShade="BF"/>
          <w:sz w:val="22"/>
          <w:szCs w:val="22"/>
          <w:lang w:val="es-GT"/>
        </w:rPr>
        <w:lastRenderedPageBreak/>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30</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Condicionantes de la desnutric</w:t>
      </w:r>
      <w:r w:rsidR="00F0158A" w:rsidRPr="007033AE">
        <w:rPr>
          <w:rFonts w:asciiTheme="minorHAnsi" w:hAnsiTheme="minorHAnsi" w:cstheme="minorHAnsi"/>
          <w:color w:val="365F91" w:themeColor="accent1" w:themeShade="BF"/>
          <w:sz w:val="22"/>
          <w:szCs w:val="22"/>
          <w:lang w:val="es-GT"/>
        </w:rPr>
        <w:t>ión aguda moderada y severa en</w:t>
      </w:r>
      <w:r w:rsidR="007033AE">
        <w:rPr>
          <w:rFonts w:asciiTheme="minorHAnsi" w:hAnsiTheme="minorHAnsi" w:cstheme="minorHAnsi"/>
          <w:color w:val="365F91" w:themeColor="accent1" w:themeShade="BF"/>
          <w:sz w:val="22"/>
          <w:szCs w:val="22"/>
          <w:lang w:val="es-GT"/>
        </w:rPr>
        <w:t xml:space="preserve"> Guatemala. Año </w:t>
      </w:r>
      <w:r w:rsidR="008327B2" w:rsidRPr="007033AE">
        <w:rPr>
          <w:rFonts w:asciiTheme="minorHAnsi" w:hAnsiTheme="minorHAnsi" w:cstheme="minorHAnsi"/>
          <w:color w:val="365F91" w:themeColor="accent1" w:themeShade="BF"/>
          <w:sz w:val="22"/>
          <w:szCs w:val="22"/>
          <w:lang w:val="es-GT"/>
        </w:rPr>
        <w:t>2009</w:t>
      </w:r>
      <w:bookmarkEnd w:id="341"/>
      <w:bookmarkEnd w:id="342"/>
      <w:bookmarkEnd w:id="343"/>
      <w:bookmarkEnd w:id="344"/>
    </w:p>
    <w:p w:rsidR="007033AE" w:rsidRPr="007033AE" w:rsidRDefault="007033AE" w:rsidP="007033AE">
      <w:pPr>
        <w:rPr>
          <w:lang w:val="es-GT"/>
        </w:rPr>
      </w:pPr>
    </w:p>
    <w:tbl>
      <w:tblPr>
        <w:tblW w:w="9356" w:type="dxa"/>
        <w:tblInd w:w="108" w:type="dxa"/>
        <w:tblBorders>
          <w:top w:val="single" w:sz="4" w:space="0" w:color="365F91"/>
          <w:bottom w:val="single" w:sz="4" w:space="0" w:color="365F91"/>
          <w:insideH w:val="single" w:sz="4" w:space="0" w:color="365F91"/>
          <w:insideV w:val="single" w:sz="4" w:space="0" w:color="auto"/>
        </w:tblBorders>
        <w:tblLook w:val="04A0" w:firstRow="1" w:lastRow="0" w:firstColumn="1" w:lastColumn="0" w:noHBand="0" w:noVBand="1"/>
      </w:tblPr>
      <w:tblGrid>
        <w:gridCol w:w="9356"/>
      </w:tblGrid>
      <w:tr w:rsidR="008327B2" w:rsidRPr="000364C9" w:rsidTr="001A01AB">
        <w:tc>
          <w:tcPr>
            <w:tcW w:w="9356" w:type="dxa"/>
            <w:shd w:val="clear" w:color="auto" w:fill="auto"/>
          </w:tcPr>
          <w:p w:rsidR="008327B2" w:rsidRPr="001A01AB" w:rsidRDefault="008327B2" w:rsidP="00F0158A">
            <w:pPr>
              <w:autoSpaceDE w:val="0"/>
              <w:autoSpaceDN w:val="0"/>
              <w:adjustRightInd w:val="0"/>
              <w:spacing w:before="40" w:after="40"/>
              <w:jc w:val="both"/>
              <w:rPr>
                <w:rFonts w:ascii="Calibri" w:hAnsi="Calibri" w:cs="Calibri"/>
                <w:lang w:val="es-GT" w:eastAsia="es-GT"/>
              </w:rPr>
            </w:pPr>
            <w:r w:rsidRPr="001A01AB">
              <w:rPr>
                <w:rFonts w:ascii="Calibri" w:hAnsi="Calibri" w:cs="Calibri"/>
                <w:lang w:val="es-GT" w:eastAsia="es-GT"/>
              </w:rPr>
              <w:t>Reducción de las reservas alimentarias antes de la temporada habitual, con aumento de los precios.</w:t>
            </w:r>
          </w:p>
        </w:tc>
      </w:tr>
      <w:tr w:rsidR="008327B2" w:rsidRPr="000364C9" w:rsidTr="001A01AB">
        <w:tc>
          <w:tcPr>
            <w:tcW w:w="9356" w:type="dxa"/>
            <w:shd w:val="clear" w:color="auto" w:fill="auto"/>
          </w:tcPr>
          <w:p w:rsidR="008327B2" w:rsidRPr="001A01AB" w:rsidRDefault="008327B2" w:rsidP="00F0158A">
            <w:pPr>
              <w:autoSpaceDE w:val="0"/>
              <w:autoSpaceDN w:val="0"/>
              <w:adjustRightInd w:val="0"/>
              <w:spacing w:before="40" w:after="40"/>
              <w:jc w:val="both"/>
              <w:rPr>
                <w:rFonts w:ascii="Calibri" w:hAnsi="Calibri" w:cs="Calibri"/>
                <w:color w:val="000000"/>
                <w:lang w:val="es-GT" w:eastAsia="es-GT"/>
              </w:rPr>
            </w:pPr>
            <w:r w:rsidRPr="001A01AB">
              <w:rPr>
                <w:rFonts w:ascii="Calibri" w:hAnsi="Calibri" w:cs="Calibri"/>
                <w:lang w:val="es-GT" w:eastAsia="es-GT"/>
              </w:rPr>
              <w:t>Los efectos del cambio climático han ten</w:t>
            </w:r>
            <w:r w:rsidR="00F0158A">
              <w:rPr>
                <w:rFonts w:ascii="Calibri" w:hAnsi="Calibri" w:cs="Calibri"/>
                <w:lang w:val="es-GT" w:eastAsia="es-GT"/>
              </w:rPr>
              <w:t>ido como consecuencia la sequía y</w:t>
            </w:r>
            <w:r w:rsidRPr="001A01AB">
              <w:rPr>
                <w:rFonts w:ascii="Calibri" w:hAnsi="Calibri" w:cs="Calibri"/>
                <w:lang w:val="es-GT" w:eastAsia="es-GT"/>
              </w:rPr>
              <w:t xml:space="preserve"> </w:t>
            </w:r>
            <w:r w:rsidR="00F0158A">
              <w:rPr>
                <w:rFonts w:ascii="Calibri" w:hAnsi="Calibri" w:cs="Calibri"/>
                <w:lang w:val="es-GT" w:eastAsia="es-GT"/>
              </w:rPr>
              <w:t>la d</w:t>
            </w:r>
            <w:r w:rsidRPr="001A01AB">
              <w:rPr>
                <w:rFonts w:ascii="Calibri" w:hAnsi="Calibri" w:cs="Calibri"/>
                <w:lang w:val="es-GT" w:eastAsia="es-GT"/>
              </w:rPr>
              <w:t>eforestación, particularmente en el corredor seco. En julio</w:t>
            </w:r>
            <w:r w:rsidR="00F0158A">
              <w:rPr>
                <w:rFonts w:ascii="Calibri" w:hAnsi="Calibri" w:cs="Calibri"/>
                <w:lang w:val="es-GT" w:eastAsia="es-GT"/>
              </w:rPr>
              <w:t xml:space="preserve"> de 2009</w:t>
            </w:r>
            <w:r w:rsidR="00A64575">
              <w:rPr>
                <w:rFonts w:ascii="Calibri" w:hAnsi="Calibri" w:cs="Calibri"/>
                <w:lang w:val="es-GT" w:eastAsia="es-GT"/>
              </w:rPr>
              <w:t xml:space="preserve">, la </w:t>
            </w:r>
            <w:r w:rsidR="00A64575" w:rsidRPr="00A64575">
              <w:rPr>
                <w:rFonts w:ascii="Calibri" w:hAnsi="Calibri" w:cs="Calibri"/>
                <w:lang w:val="es-GT" w:eastAsia="es-GT"/>
              </w:rPr>
              <w:t>National Oceanic and Atmospheric Administration</w:t>
            </w:r>
            <w:r w:rsidR="00F0158A">
              <w:rPr>
                <w:rFonts w:ascii="Calibri" w:hAnsi="Calibri" w:cs="Calibri"/>
                <w:lang w:val="es-GT" w:eastAsia="es-GT"/>
              </w:rPr>
              <w:t xml:space="preserve"> </w:t>
            </w:r>
            <w:r w:rsidR="00A64575">
              <w:rPr>
                <w:rFonts w:ascii="Calibri" w:hAnsi="Calibri" w:cs="Calibri"/>
                <w:lang w:val="es-GT" w:eastAsia="es-GT"/>
              </w:rPr>
              <w:t>(</w:t>
            </w:r>
            <w:r w:rsidR="00F0158A">
              <w:rPr>
                <w:rFonts w:ascii="Calibri" w:hAnsi="Calibri" w:cs="Calibri"/>
                <w:lang w:val="es-GT" w:eastAsia="es-GT"/>
              </w:rPr>
              <w:t>NOAA</w:t>
            </w:r>
            <w:r w:rsidR="00A64575">
              <w:rPr>
                <w:rFonts w:ascii="Calibri" w:hAnsi="Calibri" w:cs="Calibri"/>
                <w:lang w:val="es-GT" w:eastAsia="es-GT"/>
              </w:rPr>
              <w:t>)</w:t>
            </w:r>
            <w:r w:rsidR="00F0158A">
              <w:rPr>
                <w:rFonts w:ascii="Calibri" w:hAnsi="Calibri" w:cs="Calibri"/>
                <w:lang w:val="es-GT" w:eastAsia="es-GT"/>
              </w:rPr>
              <w:t xml:space="preserve"> declaró</w:t>
            </w:r>
            <w:r w:rsidRPr="001A01AB">
              <w:rPr>
                <w:rFonts w:ascii="Calibri" w:hAnsi="Calibri" w:cs="Calibri"/>
                <w:lang w:val="es-GT" w:eastAsia="es-GT"/>
              </w:rPr>
              <w:t xml:space="preserve"> oficialmente </w:t>
            </w:r>
            <w:r w:rsidR="00F0158A">
              <w:rPr>
                <w:rFonts w:ascii="Calibri" w:hAnsi="Calibri" w:cs="Calibri"/>
                <w:lang w:val="es-GT" w:eastAsia="es-GT"/>
              </w:rPr>
              <w:t xml:space="preserve">que </w:t>
            </w:r>
            <w:r w:rsidRPr="001A01AB">
              <w:rPr>
                <w:rFonts w:ascii="Calibri" w:hAnsi="Calibri" w:cs="Calibri"/>
                <w:lang w:val="es-GT" w:eastAsia="es-GT"/>
              </w:rPr>
              <w:t xml:space="preserve">el fenómeno del Niño ocasiona condiciones secas y calurosas </w:t>
            </w:r>
            <w:r w:rsidR="00F0158A">
              <w:rPr>
                <w:rFonts w:ascii="Calibri" w:hAnsi="Calibri" w:cs="Calibri"/>
                <w:lang w:val="es-GT" w:eastAsia="es-GT"/>
              </w:rPr>
              <w:t>en</w:t>
            </w:r>
            <w:r w:rsidRPr="001A01AB">
              <w:rPr>
                <w:rFonts w:ascii="Calibri" w:hAnsi="Calibri" w:cs="Calibri"/>
                <w:lang w:val="es-GT" w:eastAsia="es-GT"/>
              </w:rPr>
              <w:t xml:space="preserve"> el país. Irregularidades en las lluvias e</w:t>
            </w:r>
            <w:r w:rsidR="00F0158A">
              <w:rPr>
                <w:rFonts w:ascii="Calibri" w:hAnsi="Calibri" w:cs="Calibri"/>
                <w:lang w:val="es-GT" w:eastAsia="es-GT"/>
              </w:rPr>
              <w:t>ntre mayo y junio 2009 afectaron</w:t>
            </w:r>
            <w:r w:rsidRPr="001A01AB">
              <w:rPr>
                <w:rFonts w:ascii="Calibri" w:hAnsi="Calibri" w:cs="Calibri"/>
                <w:lang w:val="es-GT" w:eastAsia="es-GT"/>
              </w:rPr>
              <w:t xml:space="preserve"> los cultivos de maíz y frijol negro en el oriente y litoral pacífico, reportándose pérdidas hasta del 50%. </w:t>
            </w:r>
          </w:p>
        </w:tc>
      </w:tr>
      <w:tr w:rsidR="008327B2" w:rsidRPr="000364C9" w:rsidTr="001A01AB">
        <w:tc>
          <w:tcPr>
            <w:tcW w:w="9356" w:type="dxa"/>
            <w:shd w:val="clear" w:color="auto" w:fill="auto"/>
          </w:tcPr>
          <w:p w:rsidR="008327B2" w:rsidRPr="001A01AB" w:rsidRDefault="00A64575" w:rsidP="00F0158A">
            <w:pPr>
              <w:autoSpaceDE w:val="0"/>
              <w:autoSpaceDN w:val="0"/>
              <w:adjustRightInd w:val="0"/>
              <w:spacing w:before="40" w:after="40"/>
              <w:jc w:val="both"/>
              <w:rPr>
                <w:rFonts w:ascii="Calibri" w:hAnsi="Calibri" w:cs="Calibri"/>
                <w:color w:val="000000"/>
                <w:lang w:val="es-GT" w:eastAsia="es-GT"/>
              </w:rPr>
            </w:pPr>
            <w:r>
              <w:rPr>
                <w:rFonts w:ascii="Calibri" w:hAnsi="Calibri" w:cs="Calibri"/>
                <w:lang w:val="es-GT" w:eastAsia="es-GT"/>
              </w:rPr>
              <w:t>D</w:t>
            </w:r>
            <w:r w:rsidR="008327B2" w:rsidRPr="001A01AB">
              <w:rPr>
                <w:rFonts w:ascii="Calibri" w:hAnsi="Calibri" w:cs="Calibri"/>
                <w:lang w:val="es-GT" w:eastAsia="es-GT"/>
              </w:rPr>
              <w:t xml:space="preserve">esempleo provocado por la depresión tropical </w:t>
            </w:r>
            <w:r>
              <w:rPr>
                <w:rFonts w:ascii="Calibri" w:hAnsi="Calibri" w:cs="Calibri"/>
                <w:lang w:val="es-GT" w:eastAsia="es-GT"/>
              </w:rPr>
              <w:t xml:space="preserve">No. </w:t>
            </w:r>
            <w:r w:rsidR="008327B2" w:rsidRPr="001A01AB">
              <w:rPr>
                <w:rFonts w:ascii="Calibri" w:hAnsi="Calibri" w:cs="Calibri"/>
                <w:lang w:val="es-GT" w:eastAsia="es-GT"/>
              </w:rPr>
              <w:t>16 del año 2008, entre las poblaciones que habitan en el corredor seco.</w:t>
            </w:r>
          </w:p>
        </w:tc>
      </w:tr>
      <w:tr w:rsidR="008327B2" w:rsidRPr="000364C9" w:rsidTr="001A01AB">
        <w:tc>
          <w:tcPr>
            <w:tcW w:w="9356" w:type="dxa"/>
            <w:shd w:val="clear" w:color="auto" w:fill="auto"/>
          </w:tcPr>
          <w:p w:rsidR="008327B2" w:rsidRPr="001A01AB" w:rsidRDefault="00A64575" w:rsidP="00F0158A">
            <w:pPr>
              <w:autoSpaceDE w:val="0"/>
              <w:autoSpaceDN w:val="0"/>
              <w:adjustRightInd w:val="0"/>
              <w:spacing w:before="40" w:after="40"/>
              <w:jc w:val="both"/>
              <w:rPr>
                <w:rFonts w:ascii="Calibri" w:hAnsi="Calibri" w:cs="Calibri"/>
                <w:color w:val="000000"/>
                <w:lang w:val="es-GT" w:eastAsia="es-GT"/>
              </w:rPr>
            </w:pPr>
            <w:r>
              <w:rPr>
                <w:rFonts w:ascii="Calibri" w:hAnsi="Calibri" w:cs="Calibri"/>
                <w:lang w:val="es-GT" w:eastAsia="es-GT"/>
              </w:rPr>
              <w:t>La enfermedad diarreica aguda</w:t>
            </w:r>
            <w:r w:rsidR="008327B2" w:rsidRPr="001A01AB">
              <w:rPr>
                <w:rFonts w:ascii="Calibri" w:hAnsi="Calibri" w:cs="Calibri"/>
                <w:lang w:val="es-GT" w:eastAsia="es-GT"/>
              </w:rPr>
              <w:t xml:space="preserve"> presentó un incremento del 35% con relación al mismo período del año previo, con una tasa de incidencia de</w:t>
            </w:r>
            <w:r>
              <w:rPr>
                <w:rFonts w:ascii="Calibri" w:hAnsi="Calibri" w:cs="Calibri"/>
                <w:lang w:val="es-GT" w:eastAsia="es-GT"/>
              </w:rPr>
              <w:t xml:space="preserve"> 2,560 por 100 mil habitantes, e</w:t>
            </w:r>
            <w:r w:rsidR="008327B2" w:rsidRPr="001A01AB">
              <w:rPr>
                <w:rFonts w:ascii="Calibri" w:hAnsi="Calibri" w:cs="Calibri"/>
                <w:lang w:val="es-GT" w:eastAsia="es-GT"/>
              </w:rPr>
              <w:t>vento considerado como epidemia por las autoridades de salud.</w:t>
            </w:r>
          </w:p>
        </w:tc>
      </w:tr>
      <w:tr w:rsidR="008327B2" w:rsidRPr="000364C9" w:rsidTr="001A01AB">
        <w:tc>
          <w:tcPr>
            <w:tcW w:w="9356" w:type="dxa"/>
            <w:shd w:val="clear" w:color="auto" w:fill="auto"/>
          </w:tcPr>
          <w:p w:rsidR="008327B2" w:rsidRPr="001A01AB" w:rsidRDefault="008327B2" w:rsidP="00581E8C">
            <w:pPr>
              <w:autoSpaceDE w:val="0"/>
              <w:autoSpaceDN w:val="0"/>
              <w:adjustRightInd w:val="0"/>
              <w:spacing w:before="40" w:after="40"/>
              <w:jc w:val="both"/>
              <w:rPr>
                <w:rFonts w:ascii="Calibri" w:hAnsi="Calibri" w:cs="Calibri"/>
                <w:lang w:val="es-GT"/>
              </w:rPr>
            </w:pPr>
            <w:r w:rsidRPr="001A01AB">
              <w:rPr>
                <w:rFonts w:ascii="Calibri" w:hAnsi="Calibri" w:cs="Calibri"/>
                <w:lang w:val="es-GT" w:eastAsia="es-GT"/>
              </w:rPr>
              <w:t>Las infecciones respiratorias agudas se m</w:t>
            </w:r>
            <w:r w:rsidR="00581E8C">
              <w:rPr>
                <w:rFonts w:ascii="Calibri" w:hAnsi="Calibri" w:cs="Calibri"/>
                <w:lang w:val="es-GT" w:eastAsia="es-GT"/>
              </w:rPr>
              <w:t>antienen en niveles de epidemia.</w:t>
            </w:r>
            <w:r w:rsidRPr="001A01AB">
              <w:rPr>
                <w:rFonts w:ascii="Calibri" w:hAnsi="Calibri" w:cs="Calibri"/>
                <w:lang w:val="es-GT" w:eastAsia="es-GT"/>
              </w:rPr>
              <w:t xml:space="preserve"> </w:t>
            </w:r>
            <w:r w:rsidR="00581E8C">
              <w:rPr>
                <w:rFonts w:ascii="Calibri" w:hAnsi="Calibri" w:cs="Calibri"/>
                <w:lang w:val="es-GT" w:eastAsia="es-GT"/>
              </w:rPr>
              <w:t>Veinte</w:t>
            </w:r>
            <w:r w:rsidRPr="001A01AB">
              <w:rPr>
                <w:rFonts w:ascii="Calibri" w:hAnsi="Calibri" w:cs="Calibri"/>
                <w:lang w:val="es-GT" w:eastAsia="es-GT"/>
              </w:rPr>
              <w:t xml:space="preserve"> áreas de salud presentan incrementos por arriba de lo notificado en e</w:t>
            </w:r>
            <w:r w:rsidR="00581E8C">
              <w:rPr>
                <w:rFonts w:ascii="Calibri" w:hAnsi="Calibri" w:cs="Calibri"/>
                <w:lang w:val="es-GT" w:eastAsia="es-GT"/>
              </w:rPr>
              <w:t>l mismo periodo el año anterior:</w:t>
            </w:r>
            <w:r w:rsidRPr="001A01AB">
              <w:rPr>
                <w:rFonts w:ascii="Calibri" w:hAnsi="Calibri" w:cs="Calibri"/>
                <w:lang w:val="es-GT" w:eastAsia="es-GT"/>
              </w:rPr>
              <w:t xml:space="preserve"> TI 10, 740 por 100 mil habitantes</w:t>
            </w:r>
            <w:r w:rsidR="00581E8C">
              <w:rPr>
                <w:rFonts w:ascii="Calibri" w:hAnsi="Calibri" w:cs="Calibri"/>
                <w:lang w:val="es-GT" w:eastAsia="es-GT"/>
              </w:rPr>
              <w:t>.</w:t>
            </w:r>
          </w:p>
        </w:tc>
      </w:tr>
    </w:tbl>
    <w:p w:rsidR="0073409A" w:rsidRPr="001A01AB" w:rsidRDefault="0073409A" w:rsidP="0073409A">
      <w:pPr>
        <w:autoSpaceDE w:val="0"/>
        <w:autoSpaceDN w:val="0"/>
        <w:adjustRightInd w:val="0"/>
        <w:ind w:left="1701"/>
        <w:jc w:val="right"/>
        <w:rPr>
          <w:rFonts w:ascii="Calibri" w:hAnsi="Calibri" w:cs="Calibri"/>
          <w:sz w:val="20"/>
          <w:lang w:val="es-GT"/>
        </w:rPr>
      </w:pPr>
      <w:r w:rsidRPr="001A01AB">
        <w:rPr>
          <w:rFonts w:ascii="Calibri" w:hAnsi="Calibri" w:cs="Calibri"/>
          <w:sz w:val="20"/>
          <w:lang w:val="es-GT"/>
        </w:rPr>
        <w:t xml:space="preserve">Fuente: </w:t>
      </w:r>
      <w:r>
        <w:rPr>
          <w:rFonts w:ascii="Calibri" w:hAnsi="Calibri" w:cs="Calibri"/>
          <w:sz w:val="20"/>
          <w:lang w:val="es-GT"/>
        </w:rPr>
        <w:t>OPS y OMS (</w:t>
      </w:r>
      <w:r w:rsidRPr="001A01AB">
        <w:rPr>
          <w:rFonts w:ascii="Calibri" w:hAnsi="Calibri" w:cs="Calibri"/>
          <w:sz w:val="20"/>
          <w:lang w:val="es-GT"/>
        </w:rPr>
        <w:t>2009).</w:t>
      </w: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 pesar de que el sistema de salud y la información están fragmentados, es evidente la carga de enfermedad y muerte asociada a la desnutrición en el país; por lo que es necesario atender sus condicionantes implementando acciones e intervenciones basadas en evidencia. Con un 99% de cobertura de la promoción de la lactancia materna, se podrían reducir las muertes en un 9.1% y los AVAD</w:t>
      </w:r>
      <w:r w:rsidRPr="001A01AB">
        <w:rPr>
          <w:rStyle w:val="Refdenotaalpie"/>
          <w:rFonts w:ascii="Calibri" w:hAnsi="Calibri" w:cs="Calibri"/>
          <w:lang w:val="es-GT"/>
        </w:rPr>
        <w:footnoteReference w:id="7"/>
      </w:r>
      <w:r w:rsidRPr="001A01AB">
        <w:rPr>
          <w:rFonts w:ascii="Calibri" w:hAnsi="Calibri" w:cs="Calibri"/>
          <w:lang w:val="es-GT"/>
        </w:rPr>
        <w:t xml:space="preserve"> a los 36 meses en un 8.6%.</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A continuación se analizan las situaciones y tendencias que han impactado a la seguridad </w:t>
      </w:r>
      <w:r w:rsidR="00581E8C">
        <w:rPr>
          <w:rFonts w:ascii="Calibri" w:hAnsi="Calibri" w:cs="Calibri"/>
          <w:lang w:val="es-GT"/>
        </w:rPr>
        <w:t xml:space="preserve">alimentaria en los últimos años, cuyos </w:t>
      </w:r>
      <w:r w:rsidRPr="001A01AB">
        <w:rPr>
          <w:rFonts w:ascii="Calibri" w:hAnsi="Calibri" w:cs="Calibri"/>
          <w:lang w:val="es-GT"/>
        </w:rPr>
        <w:t xml:space="preserve">indicadores son: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 Prevalencia del retardo en peso y talla.</w:t>
      </w: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b) Reservas familiares </w:t>
      </w:r>
      <w:r w:rsidR="00581E8C">
        <w:rPr>
          <w:rFonts w:ascii="Calibri" w:hAnsi="Calibri" w:cs="Calibri"/>
          <w:lang w:val="es-GT"/>
        </w:rPr>
        <w:t>de</w:t>
      </w:r>
      <w:r w:rsidRPr="001A01AB">
        <w:rPr>
          <w:rFonts w:ascii="Calibri" w:hAnsi="Calibri" w:cs="Calibri"/>
          <w:lang w:val="es-GT"/>
        </w:rPr>
        <w:t xml:space="preserve"> granos básicos.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3.1.1.</w:t>
      </w:r>
      <w:r w:rsidRPr="001A01AB">
        <w:rPr>
          <w:rFonts w:ascii="Calibri" w:hAnsi="Calibri" w:cs="Calibri"/>
          <w:b/>
          <w:color w:val="365F91"/>
          <w:lang w:val="es-GT"/>
        </w:rPr>
        <w:tab/>
        <w:t>Indicador: P</w:t>
      </w:r>
      <w:r w:rsidR="0073409A" w:rsidRPr="001A01AB">
        <w:rPr>
          <w:rFonts w:ascii="Calibri" w:hAnsi="Calibri" w:cs="Calibri"/>
          <w:b/>
          <w:color w:val="365F91"/>
          <w:lang w:val="es-GT"/>
        </w:rPr>
        <w:t>revalencia del retardo en peso y talla</w:t>
      </w:r>
    </w:p>
    <w:p w:rsidR="008327B2" w:rsidRPr="001A01AB" w:rsidRDefault="008327B2" w:rsidP="008327B2">
      <w:pPr>
        <w:autoSpaceDE w:val="0"/>
        <w:autoSpaceDN w:val="0"/>
        <w:adjustRightInd w:val="0"/>
        <w:jc w:val="both"/>
        <w:rPr>
          <w:rFonts w:ascii="Calibri" w:hAnsi="Calibri" w:cs="Calibri"/>
          <w:lang w:val="es-GT"/>
        </w:rPr>
      </w:pPr>
    </w:p>
    <w:p w:rsidR="008327B2"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 vigilancia de la desnutrición se realiza </w:t>
      </w:r>
      <w:r w:rsidR="00206FDA">
        <w:rPr>
          <w:rFonts w:ascii="Calibri" w:hAnsi="Calibri" w:cs="Calibri"/>
          <w:lang w:val="es-GT"/>
        </w:rPr>
        <w:t>a través</w:t>
      </w:r>
      <w:r w:rsidRPr="001A01AB">
        <w:rPr>
          <w:rFonts w:ascii="Calibri" w:hAnsi="Calibri" w:cs="Calibri"/>
          <w:lang w:val="es-GT"/>
        </w:rPr>
        <w:t xml:space="preserve"> el Ministerio de Salud Pública y Asistencia Social (MSPAS), quien prioriza a </w:t>
      </w:r>
      <w:r w:rsidR="00206FDA">
        <w:rPr>
          <w:rFonts w:ascii="Calibri" w:hAnsi="Calibri" w:cs="Calibri"/>
          <w:lang w:val="es-GT"/>
        </w:rPr>
        <w:t>dos grupos vulnerables:</w:t>
      </w:r>
      <w:r w:rsidRPr="001A01AB">
        <w:rPr>
          <w:rFonts w:ascii="Calibri" w:hAnsi="Calibri" w:cs="Calibri"/>
          <w:lang w:val="es-GT"/>
        </w:rPr>
        <w:t xml:space="preserve"> los menores de </w:t>
      </w:r>
      <w:r w:rsidR="00206FDA">
        <w:rPr>
          <w:rFonts w:ascii="Calibri" w:hAnsi="Calibri" w:cs="Calibri"/>
          <w:lang w:val="es-GT"/>
        </w:rPr>
        <w:t>cinco</w:t>
      </w:r>
      <w:r w:rsidRPr="001A01AB">
        <w:rPr>
          <w:rFonts w:ascii="Calibri" w:hAnsi="Calibri" w:cs="Calibri"/>
          <w:lang w:val="es-GT"/>
        </w:rPr>
        <w:t xml:space="preserve"> años y las mujeres embarazadas y lactantes, a través de la vigilancia pasiva en las unidades de salud institucionales. El Min</w:t>
      </w:r>
      <w:r w:rsidR="00206FDA">
        <w:rPr>
          <w:rFonts w:ascii="Calibri" w:hAnsi="Calibri" w:cs="Calibri"/>
          <w:lang w:val="es-GT"/>
        </w:rPr>
        <w:t>isterio de Educación se enfoca en</w:t>
      </w:r>
      <w:r w:rsidRPr="001A01AB">
        <w:rPr>
          <w:rFonts w:ascii="Calibri" w:hAnsi="Calibri" w:cs="Calibri"/>
          <w:lang w:val="es-GT"/>
        </w:rPr>
        <w:t xml:space="preserve"> la vigilancia de la población escolar de </w:t>
      </w:r>
      <w:r w:rsidR="00206FDA">
        <w:rPr>
          <w:rFonts w:ascii="Calibri" w:hAnsi="Calibri" w:cs="Calibri"/>
          <w:lang w:val="es-GT"/>
        </w:rPr>
        <w:t xml:space="preserve">primer </w:t>
      </w:r>
      <w:r w:rsidRPr="001A01AB">
        <w:rPr>
          <w:rFonts w:ascii="Calibri" w:hAnsi="Calibri" w:cs="Calibri"/>
          <w:lang w:val="es-GT"/>
        </w:rPr>
        <w:t>grado, a través de censos de talla que no tiene</w:t>
      </w:r>
      <w:r w:rsidR="0073409A">
        <w:rPr>
          <w:rFonts w:ascii="Calibri" w:hAnsi="Calibri" w:cs="Calibri"/>
          <w:lang w:val="es-GT"/>
        </w:rPr>
        <w:t xml:space="preserve">n </w:t>
      </w:r>
      <w:r w:rsidR="00206FDA">
        <w:rPr>
          <w:rFonts w:ascii="Calibri" w:hAnsi="Calibri" w:cs="Calibri"/>
          <w:lang w:val="es-GT"/>
        </w:rPr>
        <w:t xml:space="preserve">una </w:t>
      </w:r>
      <w:r w:rsidR="0073409A">
        <w:rPr>
          <w:rFonts w:ascii="Calibri" w:hAnsi="Calibri" w:cs="Calibri"/>
          <w:lang w:val="es-GT"/>
        </w:rPr>
        <w:t xml:space="preserve">periodicidad establecida (OPS y </w:t>
      </w:r>
      <w:r w:rsidRPr="001A01AB">
        <w:rPr>
          <w:rFonts w:ascii="Calibri" w:hAnsi="Calibri" w:cs="Calibri"/>
          <w:lang w:val="es-GT"/>
        </w:rPr>
        <w:t>OMS, 2009).</w:t>
      </w:r>
    </w:p>
    <w:p w:rsidR="0073409A" w:rsidRPr="001A01AB" w:rsidRDefault="0073409A"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206FDA">
        <w:rPr>
          <w:rFonts w:ascii="Calibri" w:hAnsi="Calibri" w:cs="Calibri"/>
          <w:highlight w:val="yellow"/>
          <w:lang w:val="es-GT"/>
        </w:rPr>
        <w:lastRenderedPageBreak/>
        <w:t>Ésta</w:t>
      </w:r>
      <w:r w:rsidRPr="001A01AB">
        <w:rPr>
          <w:rFonts w:ascii="Calibri" w:hAnsi="Calibri" w:cs="Calibri"/>
          <w:lang w:val="es-GT"/>
        </w:rPr>
        <w:t xml:space="preserve"> está enfocada </w:t>
      </w:r>
      <w:r w:rsidR="00206FDA">
        <w:rPr>
          <w:rFonts w:ascii="Calibri" w:hAnsi="Calibri" w:cs="Calibri"/>
          <w:lang w:val="es-GT"/>
        </w:rPr>
        <w:t>en</w:t>
      </w:r>
      <w:r w:rsidRPr="001A01AB">
        <w:rPr>
          <w:rFonts w:ascii="Calibri" w:hAnsi="Calibri" w:cs="Calibri"/>
          <w:lang w:val="es-GT"/>
        </w:rPr>
        <w:t xml:space="preserve"> la identificación de recién nacidos con bajo peso al nacer, niños con crecimiento inadecuado (estimado a través del monitoreo del crecimiento con peso para la edad P/E) y ni</w:t>
      </w:r>
      <w:r w:rsidR="0073409A">
        <w:rPr>
          <w:rFonts w:ascii="Calibri" w:hAnsi="Calibri" w:cs="Calibri"/>
          <w:lang w:val="es-GT"/>
        </w:rPr>
        <w:t xml:space="preserve">ños con desnutrición aguda (OPS y </w:t>
      </w:r>
      <w:r w:rsidRPr="001A01AB">
        <w:rPr>
          <w:rFonts w:ascii="Calibri" w:hAnsi="Calibri" w:cs="Calibri"/>
          <w:lang w:val="es-GT"/>
        </w:rPr>
        <w:t xml:space="preserve">OMS, 2009).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 prevalencia del retardo en peso y talla </w:t>
      </w:r>
      <w:r w:rsidR="001271C4">
        <w:rPr>
          <w:rFonts w:ascii="Calibri" w:hAnsi="Calibri" w:cs="Calibri"/>
          <w:lang w:val="es-GT"/>
        </w:rPr>
        <w:t>es</w:t>
      </w:r>
      <w:r w:rsidRPr="001A01AB">
        <w:rPr>
          <w:rFonts w:ascii="Calibri" w:hAnsi="Calibri" w:cs="Calibri"/>
          <w:lang w:val="es-GT"/>
        </w:rPr>
        <w:t xml:space="preserve"> uno de los efectos más importantes de la malnutrición.</w:t>
      </w:r>
      <w:r w:rsidR="00141A70">
        <w:rPr>
          <w:rFonts w:ascii="Calibri" w:hAnsi="Calibri" w:cs="Calibri"/>
          <w:lang w:val="es-GT"/>
        </w:rPr>
        <w:t xml:space="preserve"> </w:t>
      </w:r>
      <w:r w:rsidRPr="001A01AB">
        <w:rPr>
          <w:rFonts w:ascii="Calibri" w:hAnsi="Calibri" w:cs="Calibri"/>
          <w:lang w:val="es-GT"/>
        </w:rPr>
        <w:t xml:space="preserve">Por ejemplo, el bajo peso al nacer presenta el efecto de </w:t>
      </w:r>
      <w:r w:rsidR="001271C4">
        <w:rPr>
          <w:rFonts w:ascii="Calibri" w:hAnsi="Calibri" w:cs="Calibri"/>
          <w:lang w:val="es-GT"/>
        </w:rPr>
        <w:t>2 a 10</w:t>
      </w:r>
      <w:r w:rsidRPr="001A01AB">
        <w:rPr>
          <w:rFonts w:ascii="Calibri" w:hAnsi="Calibri" w:cs="Calibri"/>
          <w:lang w:val="es-GT"/>
        </w:rPr>
        <w:t xml:space="preserve"> veces el riesgo de mo</w:t>
      </w:r>
      <w:r w:rsidR="001271C4">
        <w:rPr>
          <w:rFonts w:ascii="Calibri" w:hAnsi="Calibri" w:cs="Calibri"/>
          <w:lang w:val="es-GT"/>
        </w:rPr>
        <w:t>rtalidad;</w:t>
      </w:r>
      <w:r w:rsidRPr="001A01AB">
        <w:rPr>
          <w:rFonts w:ascii="Calibri" w:hAnsi="Calibri" w:cs="Calibri"/>
          <w:lang w:val="es-GT"/>
        </w:rPr>
        <w:t xml:space="preserve"> asimismo la reducción del 1% en la talla de adultos por desnutrición en la niñez, provoca una pérdida de productividad del 1.4% </w:t>
      </w:r>
      <w:r w:rsidRPr="00AC507E">
        <w:rPr>
          <w:rFonts w:ascii="Calibri" w:hAnsi="Calibri" w:cs="Calibri"/>
          <w:highlight w:val="magenta"/>
          <w:lang w:val="es-GT"/>
        </w:rPr>
        <w:t>(Palmieri y Delgado, 2011).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Durante el año 2010, los servicios de salud registraron un acumulado de 14,952 casos de desnutrición aguda</w:t>
      </w:r>
      <w:r w:rsidR="001271C4">
        <w:rPr>
          <w:rFonts w:ascii="Calibri" w:hAnsi="Calibri" w:cs="Calibri"/>
          <w:lang w:val="es-GT"/>
        </w:rPr>
        <w:t xml:space="preserve">, de la cual 63% fue moderada y 37% severa </w:t>
      </w:r>
      <w:r w:rsidRPr="001A01AB">
        <w:rPr>
          <w:rFonts w:ascii="Calibri" w:hAnsi="Calibri" w:cs="Calibri"/>
          <w:lang w:val="es-GT"/>
        </w:rPr>
        <w:t>(Palmieri y Delgado, 2011).</w:t>
      </w:r>
      <w:r w:rsidR="00141A70">
        <w:rPr>
          <w:rFonts w:ascii="Calibri" w:hAnsi="Calibri" w:cs="Calibri"/>
          <w:lang w:val="es-GT"/>
        </w:rPr>
        <w:t xml:space="preserve"> </w:t>
      </w:r>
      <w:r w:rsidRPr="001A01AB">
        <w:rPr>
          <w:rFonts w:ascii="Calibri" w:hAnsi="Calibri" w:cs="Calibri"/>
          <w:lang w:val="es-GT"/>
        </w:rPr>
        <w:t xml:space="preserve">La tendencia de </w:t>
      </w:r>
      <w:r w:rsidR="001271C4">
        <w:rPr>
          <w:rFonts w:ascii="Calibri" w:hAnsi="Calibri" w:cs="Calibri"/>
          <w:lang w:val="es-GT"/>
        </w:rPr>
        <w:t>mortalidad en los menores de un</w:t>
      </w:r>
      <w:r w:rsidRPr="001A01AB">
        <w:rPr>
          <w:rFonts w:ascii="Calibri" w:hAnsi="Calibri" w:cs="Calibri"/>
          <w:lang w:val="es-GT"/>
        </w:rPr>
        <w:t xml:space="preserve"> año es ascendente pero </w:t>
      </w:r>
      <w:r w:rsidR="001271C4">
        <w:rPr>
          <w:rFonts w:ascii="Calibri" w:hAnsi="Calibri" w:cs="Calibri"/>
          <w:lang w:val="es-GT"/>
        </w:rPr>
        <w:t>conservadora, no así en los de uno</w:t>
      </w:r>
      <w:r w:rsidRPr="001A01AB">
        <w:rPr>
          <w:rFonts w:ascii="Calibri" w:hAnsi="Calibri" w:cs="Calibri"/>
          <w:lang w:val="es-GT"/>
        </w:rPr>
        <w:t xml:space="preserve"> a </w:t>
      </w:r>
      <w:r w:rsidR="001271C4">
        <w:rPr>
          <w:rFonts w:ascii="Calibri" w:hAnsi="Calibri" w:cs="Calibri"/>
          <w:lang w:val="es-GT"/>
        </w:rPr>
        <w:t xml:space="preserve">cuatro </w:t>
      </w:r>
      <w:r w:rsidRPr="001A01AB">
        <w:rPr>
          <w:rFonts w:ascii="Calibri" w:hAnsi="Calibri" w:cs="Calibri"/>
          <w:lang w:val="es-GT"/>
        </w:rPr>
        <w:t>años, donde se presenta un incremento de 2.5 veces más que en el 2006 (</w:t>
      </w:r>
      <w:r w:rsidR="001271C4" w:rsidRPr="001A01AB">
        <w:rPr>
          <w:rFonts w:ascii="Calibri" w:hAnsi="Calibri" w:cs="Calibri"/>
          <w:lang w:val="es-GT"/>
        </w:rPr>
        <w:t>2006: 1.03 x 1000</w:t>
      </w:r>
      <w:r w:rsidR="001271C4">
        <w:rPr>
          <w:rFonts w:ascii="Calibri" w:hAnsi="Calibri" w:cs="Calibri"/>
          <w:lang w:val="es-GT"/>
        </w:rPr>
        <w:t xml:space="preserve"> y </w:t>
      </w:r>
      <w:r w:rsidRPr="001A01AB">
        <w:rPr>
          <w:rFonts w:ascii="Calibri" w:hAnsi="Calibri" w:cs="Calibri"/>
          <w:lang w:val="es-GT"/>
        </w:rPr>
        <w:t>2007: 3.71 x 1,000),</w:t>
      </w:r>
      <w:r w:rsidR="00141A70">
        <w:rPr>
          <w:rFonts w:ascii="Calibri" w:hAnsi="Calibri" w:cs="Calibri"/>
          <w:lang w:val="es-GT"/>
        </w:rPr>
        <w:t xml:space="preserve"> </w:t>
      </w:r>
      <w:r w:rsidRPr="001A01AB">
        <w:rPr>
          <w:rFonts w:ascii="Calibri" w:hAnsi="Calibri" w:cs="Calibri"/>
          <w:lang w:val="es-GT"/>
        </w:rPr>
        <w:t xml:space="preserve">como </w:t>
      </w:r>
      <w:r w:rsidR="001271C4">
        <w:rPr>
          <w:rFonts w:ascii="Calibri" w:hAnsi="Calibri" w:cs="Calibri"/>
          <w:lang w:val="es-GT"/>
        </w:rPr>
        <w:t>se aprecia en la F</w:t>
      </w:r>
      <w:r w:rsidR="0073409A">
        <w:rPr>
          <w:rFonts w:ascii="Calibri" w:hAnsi="Calibri" w:cs="Calibri"/>
          <w:lang w:val="es-GT"/>
        </w:rPr>
        <w:t xml:space="preserve">igura </w:t>
      </w:r>
      <w:r w:rsidR="001271C4">
        <w:rPr>
          <w:rFonts w:ascii="Calibri" w:hAnsi="Calibri" w:cs="Calibri"/>
          <w:lang w:val="es-GT"/>
        </w:rPr>
        <w:t>37</w:t>
      </w:r>
      <w:r w:rsidR="0073409A">
        <w:rPr>
          <w:rFonts w:ascii="Calibri" w:hAnsi="Calibri" w:cs="Calibri"/>
          <w:lang w:val="es-GT"/>
        </w:rPr>
        <w:t xml:space="preserve"> (OPS y </w:t>
      </w:r>
      <w:r w:rsidRPr="001A01AB">
        <w:rPr>
          <w:rFonts w:ascii="Calibri" w:hAnsi="Calibri" w:cs="Calibri"/>
          <w:lang w:val="es-GT"/>
        </w:rPr>
        <w:t>OMS, 2009).</w:t>
      </w:r>
    </w:p>
    <w:p w:rsidR="008327B2" w:rsidRPr="001A01AB" w:rsidRDefault="008327B2" w:rsidP="008327B2">
      <w:pPr>
        <w:autoSpaceDE w:val="0"/>
        <w:autoSpaceDN w:val="0"/>
        <w:adjustRightInd w:val="0"/>
        <w:jc w:val="both"/>
        <w:rPr>
          <w:rFonts w:ascii="Calibri" w:hAnsi="Calibri" w:cs="Calibri"/>
          <w:lang w:val="es-GT"/>
        </w:rPr>
      </w:pPr>
    </w:p>
    <w:p w:rsidR="00224B57" w:rsidRDefault="008327B2" w:rsidP="00224B57">
      <w:pPr>
        <w:spacing w:after="120"/>
        <w:jc w:val="center"/>
        <w:rPr>
          <w:rFonts w:ascii="Calibri" w:eastAsia="Calibri" w:hAnsi="Calibri" w:cs="Calibri"/>
          <w:b/>
          <w:color w:val="365F91"/>
          <w:sz w:val="22"/>
          <w:szCs w:val="22"/>
          <w:lang w:val="es-GT"/>
        </w:rPr>
      </w:pPr>
      <w:bookmarkStart w:id="345" w:name="_Toc340034505"/>
      <w:bookmarkStart w:id="346" w:name="_Toc343098419"/>
      <w:bookmarkStart w:id="347" w:name="_Toc343098527"/>
      <w:bookmarkStart w:id="348" w:name="_Toc347841260"/>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37</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Tasas de mortalidad </w:t>
      </w:r>
      <w:r w:rsidR="001271C4" w:rsidRPr="00224B57">
        <w:rPr>
          <w:rFonts w:ascii="Calibri" w:eastAsia="Calibri" w:hAnsi="Calibri" w:cs="Calibri"/>
          <w:b/>
          <w:color w:val="365F91"/>
          <w:sz w:val="22"/>
          <w:szCs w:val="22"/>
          <w:lang w:val="es-GT"/>
        </w:rPr>
        <w:t xml:space="preserve">del periodo </w:t>
      </w:r>
      <w:r w:rsidRPr="00224B57">
        <w:rPr>
          <w:rFonts w:ascii="Calibri" w:eastAsia="Calibri" w:hAnsi="Calibri" w:cs="Calibri"/>
          <w:b/>
          <w:color w:val="365F91"/>
          <w:sz w:val="22"/>
          <w:szCs w:val="22"/>
          <w:lang w:val="es-GT"/>
        </w:rPr>
        <w:t>2002-2007, en inform</w:t>
      </w:r>
      <w:r w:rsidR="001271C4" w:rsidRPr="00224B57">
        <w:rPr>
          <w:rFonts w:ascii="Calibri" w:eastAsia="Calibri" w:hAnsi="Calibri" w:cs="Calibri"/>
          <w:b/>
          <w:color w:val="365F91"/>
          <w:sz w:val="22"/>
          <w:szCs w:val="22"/>
          <w:lang w:val="es-GT"/>
        </w:rPr>
        <w:t>e de desnutrición en Guatemala</w:t>
      </w:r>
      <w:r w:rsidR="00B55DB8" w:rsidRPr="00224B57">
        <w:rPr>
          <w:rFonts w:ascii="Calibri" w:eastAsia="Calibri" w:hAnsi="Calibri" w:cs="Calibri"/>
          <w:b/>
          <w:color w:val="365F91"/>
          <w:sz w:val="22"/>
          <w:szCs w:val="22"/>
          <w:lang w:val="es-GT"/>
        </w:rPr>
        <w:t>.</w:t>
      </w:r>
      <w:bookmarkEnd w:id="348"/>
      <w:r w:rsidR="00B55DB8" w:rsidRPr="00224B57">
        <w:rPr>
          <w:rFonts w:ascii="Calibri" w:eastAsia="Calibri" w:hAnsi="Calibri" w:cs="Calibri"/>
          <w:b/>
          <w:color w:val="365F91"/>
          <w:sz w:val="22"/>
          <w:szCs w:val="22"/>
          <w:lang w:val="es-GT"/>
        </w:rPr>
        <w:t xml:space="preserve"> </w:t>
      </w:r>
    </w:p>
    <w:p w:rsidR="008327B2" w:rsidRPr="00224B57" w:rsidRDefault="00B55DB8" w:rsidP="00224B57">
      <w:pPr>
        <w:spacing w:after="120"/>
        <w:jc w:val="center"/>
        <w:rPr>
          <w:rFonts w:ascii="Calibri" w:eastAsia="Calibri" w:hAnsi="Calibri" w:cs="Calibri"/>
          <w:b/>
          <w:color w:val="365F91"/>
          <w:sz w:val="22"/>
          <w:szCs w:val="22"/>
          <w:lang w:val="es-GT"/>
        </w:rPr>
      </w:pPr>
      <w:r w:rsidRPr="00224B57">
        <w:rPr>
          <w:rFonts w:ascii="Calibri" w:eastAsia="Calibri" w:hAnsi="Calibri" w:cs="Calibri"/>
          <w:b/>
          <w:color w:val="365F91"/>
          <w:sz w:val="22"/>
          <w:szCs w:val="22"/>
          <w:lang w:val="es-GT"/>
        </w:rPr>
        <w:t xml:space="preserve">Año </w:t>
      </w:r>
      <w:r w:rsidR="008327B2" w:rsidRPr="00224B57">
        <w:rPr>
          <w:rFonts w:ascii="Calibri" w:eastAsia="Calibri" w:hAnsi="Calibri" w:cs="Calibri"/>
          <w:b/>
          <w:color w:val="365F91"/>
          <w:sz w:val="22"/>
          <w:szCs w:val="22"/>
          <w:lang w:val="es-GT"/>
        </w:rPr>
        <w:t>2009</w:t>
      </w:r>
      <w:bookmarkEnd w:id="345"/>
      <w:bookmarkEnd w:id="346"/>
      <w:bookmarkEnd w:id="347"/>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400675" cy="2781300"/>
            <wp:effectExtent l="0" t="0" r="9525" b="0"/>
            <wp:docPr id="2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l="1888" t="10361" r="3761" b="12440"/>
                    <a:stretch>
                      <a:fillRect/>
                    </a:stretch>
                  </pic:blipFill>
                  <pic:spPr bwMode="auto">
                    <a:xfrm>
                      <a:off x="0" y="0"/>
                      <a:ext cx="5400675" cy="2781300"/>
                    </a:xfrm>
                    <a:prstGeom prst="rect">
                      <a:avLst/>
                    </a:prstGeom>
                    <a:noFill/>
                    <a:ln>
                      <a:noFill/>
                    </a:ln>
                  </pic:spPr>
                </pic:pic>
              </a:graphicData>
            </a:graphic>
          </wp:inline>
        </w:drawing>
      </w:r>
    </w:p>
    <w:p w:rsidR="008327B2" w:rsidRPr="001A01AB" w:rsidRDefault="008327B2" w:rsidP="008327B2">
      <w:pPr>
        <w:autoSpaceDE w:val="0"/>
        <w:autoSpaceDN w:val="0"/>
        <w:adjustRightInd w:val="0"/>
        <w:jc w:val="center"/>
        <w:rPr>
          <w:rFonts w:ascii="Calibri" w:hAnsi="Calibri" w:cs="Calibri"/>
          <w:sz w:val="20"/>
          <w:lang w:val="es-GT"/>
        </w:rPr>
      </w:pPr>
      <w:r w:rsidRPr="001A01AB">
        <w:rPr>
          <w:rFonts w:ascii="Calibri" w:hAnsi="Calibri" w:cs="Calibri"/>
          <w:sz w:val="20"/>
          <w:lang w:val="es-GT"/>
        </w:rPr>
        <w:t xml:space="preserve">Fuente: </w:t>
      </w:r>
      <w:r w:rsidRPr="00AC507E">
        <w:rPr>
          <w:rFonts w:ascii="Calibri" w:hAnsi="Calibri" w:cs="Calibri"/>
          <w:sz w:val="20"/>
          <w:highlight w:val="magenta"/>
          <w:lang w:val="es-GT"/>
        </w:rPr>
        <w:t>Memorias Anuales de Epidemiología. (CNE 2002-2007).</w:t>
      </w:r>
    </w:p>
    <w:p w:rsidR="008327B2" w:rsidRPr="001A01AB" w:rsidRDefault="008327B2" w:rsidP="008327B2">
      <w:pPr>
        <w:autoSpaceDE w:val="0"/>
        <w:autoSpaceDN w:val="0"/>
        <w:adjustRightInd w:val="0"/>
        <w:jc w:val="both"/>
        <w:rPr>
          <w:rFonts w:ascii="Calibri" w:hAnsi="Calibri" w:cs="Calibri"/>
          <w:lang w:val="es-GT"/>
        </w:rPr>
      </w:pPr>
    </w:p>
    <w:p w:rsidR="008327B2" w:rsidRPr="00254241" w:rsidRDefault="008327B2" w:rsidP="008327B2">
      <w:pPr>
        <w:autoSpaceDE w:val="0"/>
        <w:autoSpaceDN w:val="0"/>
        <w:adjustRightInd w:val="0"/>
        <w:jc w:val="both"/>
        <w:rPr>
          <w:rFonts w:ascii="Calibri" w:hAnsi="Calibri" w:cs="Calibri"/>
          <w:lang w:val="es-GT"/>
        </w:rPr>
      </w:pPr>
      <w:r w:rsidRPr="00254241">
        <w:rPr>
          <w:rFonts w:ascii="Calibri" w:hAnsi="Calibri" w:cs="Calibri"/>
          <w:lang w:val="es-GT"/>
        </w:rPr>
        <w:t xml:space="preserve">Las principales causas de mortalidad para los menores de </w:t>
      </w:r>
      <w:r w:rsidR="00254241">
        <w:rPr>
          <w:rFonts w:ascii="Calibri" w:hAnsi="Calibri" w:cs="Calibri"/>
          <w:lang w:val="es-GT"/>
        </w:rPr>
        <w:t>un</w:t>
      </w:r>
      <w:r w:rsidRPr="00254241">
        <w:rPr>
          <w:rFonts w:ascii="Calibri" w:hAnsi="Calibri" w:cs="Calibri"/>
          <w:lang w:val="es-GT"/>
        </w:rPr>
        <w:t xml:space="preserve"> año son las neumonías y bronconeumonías, prematurez</w:t>
      </w:r>
      <w:r w:rsidR="00254241">
        <w:rPr>
          <w:rFonts w:ascii="Calibri" w:hAnsi="Calibri" w:cs="Calibri"/>
          <w:lang w:val="es-GT"/>
        </w:rPr>
        <w:t xml:space="preserve">, sepsis neonatal y diarreas; y para los niños de uno a cuatro años son: </w:t>
      </w:r>
      <w:r w:rsidRPr="00254241">
        <w:rPr>
          <w:rFonts w:ascii="Calibri" w:hAnsi="Calibri" w:cs="Calibri"/>
          <w:lang w:val="es-GT"/>
        </w:rPr>
        <w:t>neumonía, bronconeumonía, septicemia, traumatismo cráneo cefálico, asfixia, ahorcamiento y diarreas.</w:t>
      </w:r>
    </w:p>
    <w:p w:rsidR="008327B2" w:rsidRPr="00254241"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254241">
        <w:rPr>
          <w:rFonts w:ascii="Calibri" w:hAnsi="Calibri" w:cs="Calibri"/>
          <w:lang w:val="es-GT"/>
        </w:rPr>
        <w:t>Sin emb</w:t>
      </w:r>
      <w:r w:rsidR="00254241">
        <w:rPr>
          <w:rFonts w:ascii="Calibri" w:hAnsi="Calibri" w:cs="Calibri"/>
          <w:lang w:val="es-GT"/>
        </w:rPr>
        <w:t>argo, según Palmieri y Delgado</w:t>
      </w:r>
      <w:r w:rsidRPr="00254241">
        <w:rPr>
          <w:rFonts w:ascii="Calibri" w:hAnsi="Calibri" w:cs="Calibri"/>
          <w:lang w:val="es-GT"/>
        </w:rPr>
        <w:t xml:space="preserve"> </w:t>
      </w:r>
      <w:r w:rsidR="00254241">
        <w:rPr>
          <w:rFonts w:ascii="Calibri" w:hAnsi="Calibri" w:cs="Calibri"/>
          <w:lang w:val="es-GT"/>
        </w:rPr>
        <w:t>(</w:t>
      </w:r>
      <w:r w:rsidRPr="00254241">
        <w:rPr>
          <w:rFonts w:ascii="Calibri" w:hAnsi="Calibri" w:cs="Calibri"/>
          <w:lang w:val="es-GT"/>
        </w:rPr>
        <w:t>2011</w:t>
      </w:r>
      <w:r w:rsidR="00254241">
        <w:rPr>
          <w:rFonts w:ascii="Calibri" w:hAnsi="Calibri" w:cs="Calibri"/>
          <w:lang w:val="es-GT"/>
        </w:rPr>
        <w:t>)</w:t>
      </w:r>
      <w:r w:rsidRPr="00254241">
        <w:rPr>
          <w:rFonts w:ascii="Calibri" w:hAnsi="Calibri" w:cs="Calibri"/>
          <w:lang w:val="es-GT"/>
        </w:rPr>
        <w:t xml:space="preserve">, la tendencia a la disminución </w:t>
      </w:r>
      <w:r w:rsidR="00254241">
        <w:rPr>
          <w:rFonts w:ascii="Calibri" w:hAnsi="Calibri" w:cs="Calibri"/>
          <w:lang w:val="es-GT"/>
        </w:rPr>
        <w:t>de la</w:t>
      </w:r>
      <w:r w:rsidRPr="00254241">
        <w:rPr>
          <w:rFonts w:ascii="Calibri" w:hAnsi="Calibri" w:cs="Calibri"/>
          <w:lang w:val="es-GT"/>
        </w:rPr>
        <w:t xml:space="preserve"> desnutrición crónica que se observa en Guatemala, expresada en puntos porcentuales reducidos por año, es de 0.5 punto porcentual desde 1965 al año 2008.</w:t>
      </w:r>
      <w:r w:rsidR="00141A70" w:rsidRPr="00254241">
        <w:rPr>
          <w:rFonts w:ascii="Calibri" w:hAnsi="Calibri" w:cs="Calibri"/>
          <w:lang w:val="es-GT"/>
        </w:rPr>
        <w:t xml:space="preserve"> </w:t>
      </w:r>
      <w:r w:rsidR="00254241">
        <w:rPr>
          <w:rFonts w:ascii="Calibri" w:hAnsi="Calibri" w:cs="Calibri"/>
          <w:lang w:val="es-GT"/>
        </w:rPr>
        <w:t>Como se observa en la F</w:t>
      </w:r>
      <w:r w:rsidRPr="00254241">
        <w:rPr>
          <w:rFonts w:ascii="Calibri" w:hAnsi="Calibri" w:cs="Calibri"/>
          <w:lang w:val="es-GT"/>
        </w:rPr>
        <w:t xml:space="preserve">igura </w:t>
      </w:r>
      <w:r w:rsidR="00254241">
        <w:rPr>
          <w:rFonts w:ascii="Calibri" w:hAnsi="Calibri" w:cs="Calibri"/>
          <w:lang w:val="es-GT"/>
        </w:rPr>
        <w:t>38</w:t>
      </w:r>
      <w:r w:rsidRPr="00254241">
        <w:rPr>
          <w:rFonts w:ascii="Calibri" w:hAnsi="Calibri" w:cs="Calibri"/>
          <w:lang w:val="es-GT"/>
        </w:rPr>
        <w:t>, el retardo</w:t>
      </w:r>
      <w:r w:rsidR="00254241">
        <w:rPr>
          <w:rFonts w:ascii="Calibri" w:hAnsi="Calibri" w:cs="Calibri"/>
          <w:lang w:val="es-GT"/>
        </w:rPr>
        <w:t xml:space="preserve"> en talla por región político–</w:t>
      </w:r>
      <w:r w:rsidRPr="00254241">
        <w:rPr>
          <w:rFonts w:ascii="Calibri" w:hAnsi="Calibri" w:cs="Calibri"/>
          <w:lang w:val="es-GT"/>
        </w:rPr>
        <w:t>administrativa</w:t>
      </w:r>
      <w:r w:rsidR="00254241">
        <w:rPr>
          <w:rFonts w:ascii="Calibri" w:hAnsi="Calibri" w:cs="Calibri"/>
          <w:lang w:val="es-GT"/>
        </w:rPr>
        <w:t xml:space="preserve"> tiende a disminuir en </w:t>
      </w:r>
      <w:r w:rsidRPr="00254241">
        <w:rPr>
          <w:rFonts w:ascii="Calibri" w:hAnsi="Calibri" w:cs="Calibri"/>
          <w:lang w:val="es-GT"/>
        </w:rPr>
        <w:t xml:space="preserve">el promedio nacional y en todas las </w:t>
      </w:r>
      <w:r w:rsidRPr="00254241">
        <w:rPr>
          <w:rFonts w:ascii="Calibri" w:hAnsi="Calibri" w:cs="Calibri"/>
          <w:lang w:val="es-GT"/>
        </w:rPr>
        <w:lastRenderedPageBreak/>
        <w:t>reg</w:t>
      </w:r>
      <w:r w:rsidR="00254241">
        <w:rPr>
          <w:rFonts w:ascii="Calibri" w:hAnsi="Calibri" w:cs="Calibri"/>
          <w:lang w:val="es-GT"/>
        </w:rPr>
        <w:t>iones estudiadas. L</w:t>
      </w:r>
      <w:r w:rsidRPr="00254241">
        <w:rPr>
          <w:rFonts w:ascii="Calibri" w:hAnsi="Calibri" w:cs="Calibri"/>
          <w:lang w:val="es-GT"/>
        </w:rPr>
        <w:t xml:space="preserve">a </w:t>
      </w:r>
      <w:r w:rsidR="00254241">
        <w:rPr>
          <w:rFonts w:ascii="Calibri" w:hAnsi="Calibri" w:cs="Calibri"/>
          <w:lang w:val="es-GT"/>
        </w:rPr>
        <w:t>reducción</w:t>
      </w:r>
      <w:r w:rsidRPr="00254241">
        <w:rPr>
          <w:rFonts w:ascii="Calibri" w:hAnsi="Calibri" w:cs="Calibri"/>
          <w:lang w:val="es-GT"/>
        </w:rPr>
        <w:t xml:space="preserve"> en la región metropolitana es significativamente mayor que la observada en las regiones norte, nororiente y noroccidente.</w:t>
      </w: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349" w:name="_Toc340034506"/>
      <w:bookmarkStart w:id="350" w:name="_Toc343098420"/>
      <w:bookmarkStart w:id="351" w:name="_Toc343098528"/>
      <w:bookmarkStart w:id="352" w:name="_Toc347841261"/>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38</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Cambios en baja talla para ed</w:t>
      </w:r>
      <w:r w:rsidR="00254241" w:rsidRPr="00224B57">
        <w:rPr>
          <w:rFonts w:ascii="Calibri" w:eastAsia="Calibri" w:hAnsi="Calibri" w:cs="Calibri"/>
          <w:b/>
          <w:color w:val="365F91"/>
          <w:sz w:val="22"/>
          <w:szCs w:val="22"/>
          <w:lang w:val="es-GT"/>
        </w:rPr>
        <w:t>ad de niños y niñas menores de cinco</w:t>
      </w:r>
      <w:r w:rsidRPr="00224B57">
        <w:rPr>
          <w:rFonts w:ascii="Calibri" w:eastAsia="Calibri" w:hAnsi="Calibri" w:cs="Calibri"/>
          <w:b/>
          <w:color w:val="365F91"/>
          <w:sz w:val="22"/>
          <w:szCs w:val="22"/>
          <w:lang w:val="es-GT"/>
        </w:rPr>
        <w:t xml:space="preserve"> años de Guatemala</w:t>
      </w:r>
      <w:r w:rsidR="00254241" w:rsidRPr="00224B57">
        <w:rPr>
          <w:rFonts w:ascii="Calibri" w:eastAsia="Calibri" w:hAnsi="Calibri" w:cs="Calibri"/>
          <w:b/>
          <w:color w:val="365F91"/>
          <w:sz w:val="22"/>
          <w:szCs w:val="22"/>
          <w:lang w:val="es-GT"/>
        </w:rPr>
        <w:t>,</w:t>
      </w:r>
      <w:r w:rsidRPr="00224B57">
        <w:rPr>
          <w:rFonts w:ascii="Calibri" w:eastAsia="Calibri" w:hAnsi="Calibri" w:cs="Calibri"/>
          <w:b/>
          <w:color w:val="365F91"/>
          <w:sz w:val="22"/>
          <w:szCs w:val="22"/>
          <w:lang w:val="es-GT"/>
        </w:rPr>
        <w:t xml:space="preserve"> </w:t>
      </w:r>
      <w:r w:rsidR="00254241" w:rsidRPr="00224B57">
        <w:rPr>
          <w:rFonts w:ascii="Calibri" w:eastAsia="Calibri" w:hAnsi="Calibri" w:cs="Calibri"/>
          <w:b/>
          <w:color w:val="365F91"/>
          <w:sz w:val="22"/>
          <w:szCs w:val="22"/>
          <w:lang w:val="es-GT"/>
        </w:rPr>
        <w:t>en total y por regiones. Patrones de crecimiento OMS. Periodo</w:t>
      </w:r>
      <w:r w:rsidRPr="00224B57">
        <w:rPr>
          <w:rFonts w:ascii="Calibri" w:eastAsia="Calibri" w:hAnsi="Calibri" w:cs="Calibri"/>
          <w:b/>
          <w:color w:val="365F91"/>
          <w:sz w:val="22"/>
          <w:szCs w:val="22"/>
          <w:lang w:val="es-GT"/>
        </w:rPr>
        <w:t xml:space="preserve"> 1966</w:t>
      </w:r>
      <w:r w:rsidR="00254241" w:rsidRPr="00224B57">
        <w:rPr>
          <w:rFonts w:ascii="Calibri" w:eastAsia="Calibri" w:hAnsi="Calibri" w:cs="Calibri"/>
          <w:b/>
          <w:color w:val="365F91"/>
          <w:sz w:val="22"/>
          <w:szCs w:val="22"/>
          <w:lang w:val="es-GT"/>
        </w:rPr>
        <w:t>–</w:t>
      </w:r>
      <w:r w:rsidRPr="00224B57">
        <w:rPr>
          <w:rFonts w:ascii="Calibri" w:eastAsia="Calibri" w:hAnsi="Calibri" w:cs="Calibri"/>
          <w:b/>
          <w:color w:val="365F91"/>
          <w:sz w:val="22"/>
          <w:szCs w:val="22"/>
          <w:lang w:val="es-GT"/>
        </w:rPr>
        <w:t>2008.</w:t>
      </w:r>
      <w:bookmarkEnd w:id="349"/>
      <w:bookmarkEnd w:id="350"/>
      <w:bookmarkEnd w:id="351"/>
      <w:bookmarkEnd w:id="352"/>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400675" cy="4181475"/>
            <wp:effectExtent l="0" t="0" r="9525" b="9525"/>
            <wp:docPr id="2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t="14867" b="9563"/>
                    <a:stretch>
                      <a:fillRect/>
                    </a:stretch>
                  </pic:blipFill>
                  <pic:spPr bwMode="auto">
                    <a:xfrm>
                      <a:off x="0" y="0"/>
                      <a:ext cx="5400675" cy="4181475"/>
                    </a:xfrm>
                    <a:prstGeom prst="rect">
                      <a:avLst/>
                    </a:prstGeom>
                    <a:noFill/>
                    <a:ln>
                      <a:noFill/>
                    </a:ln>
                  </pic:spPr>
                </pic:pic>
              </a:graphicData>
            </a:graphic>
          </wp:inline>
        </w:drawing>
      </w:r>
    </w:p>
    <w:p w:rsidR="008327B2" w:rsidRPr="001A01AB" w:rsidRDefault="0073409A" w:rsidP="008327B2">
      <w:pPr>
        <w:autoSpaceDE w:val="0"/>
        <w:autoSpaceDN w:val="0"/>
        <w:adjustRightInd w:val="0"/>
        <w:ind w:right="571"/>
        <w:jc w:val="right"/>
        <w:rPr>
          <w:rFonts w:ascii="Calibri" w:hAnsi="Calibri" w:cs="Calibri"/>
          <w:sz w:val="20"/>
          <w:lang w:val="es-GT"/>
        </w:rPr>
      </w:pPr>
      <w:r>
        <w:rPr>
          <w:rFonts w:ascii="Calibri" w:hAnsi="Calibri" w:cs="Calibri"/>
          <w:sz w:val="20"/>
          <w:lang w:val="es-GT"/>
        </w:rPr>
        <w:t>FUENTE: Palmieri y Delgado</w:t>
      </w:r>
      <w:r w:rsidR="008327B2" w:rsidRPr="001A01AB">
        <w:rPr>
          <w:rFonts w:ascii="Calibri" w:hAnsi="Calibri" w:cs="Calibri"/>
          <w:sz w:val="20"/>
          <w:lang w:val="es-GT"/>
        </w:rPr>
        <w:t xml:space="preserve"> </w:t>
      </w:r>
      <w:r>
        <w:rPr>
          <w:rFonts w:ascii="Calibri" w:hAnsi="Calibri" w:cs="Calibri"/>
          <w:sz w:val="20"/>
          <w:lang w:val="es-GT"/>
        </w:rPr>
        <w:t>(</w:t>
      </w:r>
      <w:r w:rsidR="008327B2" w:rsidRPr="001A01AB">
        <w:rPr>
          <w:rFonts w:ascii="Calibri" w:hAnsi="Calibri" w:cs="Calibri"/>
          <w:sz w:val="20"/>
          <w:lang w:val="es-GT"/>
        </w:rPr>
        <w:t>2011</w:t>
      </w:r>
      <w:r>
        <w:rPr>
          <w:rFonts w:ascii="Calibri" w:hAnsi="Calibri" w:cs="Calibri"/>
          <w:sz w:val="20"/>
          <w:lang w:val="es-GT"/>
        </w:rPr>
        <w:t>)</w:t>
      </w:r>
      <w:r w:rsidR="008327B2" w:rsidRPr="001A01AB">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Se</w:t>
      </w:r>
      <w:r w:rsidR="0073409A">
        <w:rPr>
          <w:rFonts w:ascii="Calibri" w:hAnsi="Calibri" w:cs="Calibri"/>
          <w:lang w:val="es-GT"/>
        </w:rPr>
        <w:t>gún se aprecia en la F</w:t>
      </w:r>
      <w:r w:rsidRPr="001A01AB">
        <w:rPr>
          <w:rFonts w:ascii="Calibri" w:hAnsi="Calibri" w:cs="Calibri"/>
          <w:lang w:val="es-GT"/>
        </w:rPr>
        <w:t xml:space="preserve">igura </w:t>
      </w:r>
      <w:r w:rsidR="009B20BF">
        <w:rPr>
          <w:rFonts w:ascii="Calibri" w:hAnsi="Calibri" w:cs="Calibri"/>
          <w:lang w:val="es-GT"/>
        </w:rPr>
        <w:t>39</w:t>
      </w:r>
      <w:r w:rsidRPr="001A01AB">
        <w:rPr>
          <w:rFonts w:ascii="Calibri" w:hAnsi="Calibri" w:cs="Calibri"/>
          <w:lang w:val="es-GT"/>
        </w:rPr>
        <w:t>, los promedios nacionales de talla enmascaran serias disparidades en términos de las características de las familias que son más afectadas (los más pobres). En ella se observa que las tasas son considerablemente mayores en los residentes rurales, en los grupos indígenas, en los niños cuyas madres tienen menores niveles de educación f</w:t>
      </w:r>
      <w:r w:rsidR="009B20BF">
        <w:rPr>
          <w:rFonts w:ascii="Calibri" w:hAnsi="Calibri" w:cs="Calibri"/>
          <w:lang w:val="es-GT"/>
        </w:rPr>
        <w:t>ormal y que</w:t>
      </w:r>
      <w:r w:rsidRPr="001A01AB">
        <w:rPr>
          <w:rFonts w:ascii="Calibri" w:hAnsi="Calibri" w:cs="Calibri"/>
          <w:lang w:val="es-GT"/>
        </w:rPr>
        <w:t xml:space="preserve"> han tenido un período menor de espaciamiento entre embarazos.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016E8A" w:rsidRPr="001A01AB" w:rsidRDefault="00016E8A" w:rsidP="008327B2">
      <w:pPr>
        <w:autoSpaceDE w:val="0"/>
        <w:autoSpaceDN w:val="0"/>
        <w:adjustRightInd w:val="0"/>
        <w:jc w:val="both"/>
        <w:rPr>
          <w:rFonts w:ascii="Calibri" w:hAnsi="Calibri" w:cs="Calibri"/>
          <w:lang w:val="es-GT"/>
        </w:rPr>
      </w:pPr>
    </w:p>
    <w:p w:rsidR="008327B2" w:rsidRPr="00224B57" w:rsidRDefault="008327B2" w:rsidP="00224B57">
      <w:pPr>
        <w:spacing w:after="120"/>
        <w:jc w:val="center"/>
        <w:rPr>
          <w:rFonts w:ascii="Calibri" w:eastAsia="Calibri" w:hAnsi="Calibri" w:cs="Calibri"/>
          <w:b/>
          <w:color w:val="365F91"/>
          <w:sz w:val="22"/>
          <w:szCs w:val="22"/>
          <w:lang w:val="es-GT"/>
        </w:rPr>
      </w:pPr>
      <w:bookmarkStart w:id="353" w:name="_Toc340034507"/>
      <w:bookmarkStart w:id="354" w:name="_Toc343098421"/>
      <w:bookmarkStart w:id="355" w:name="_Toc343098529"/>
      <w:bookmarkStart w:id="356" w:name="_Toc347841262"/>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39</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Tasas de baja talla para la edad de niños y niñas menores de </w:t>
      </w:r>
      <w:r w:rsidR="009B20BF" w:rsidRPr="00224B57">
        <w:rPr>
          <w:rFonts w:ascii="Calibri" w:eastAsia="Calibri" w:hAnsi="Calibri" w:cs="Calibri"/>
          <w:b/>
          <w:color w:val="365F91"/>
          <w:sz w:val="22"/>
          <w:szCs w:val="22"/>
          <w:lang w:val="es-GT"/>
        </w:rPr>
        <w:t>cinco</w:t>
      </w:r>
      <w:r w:rsidRPr="00224B57">
        <w:rPr>
          <w:rFonts w:ascii="Calibri" w:eastAsia="Calibri" w:hAnsi="Calibri" w:cs="Calibri"/>
          <w:b/>
          <w:color w:val="365F91"/>
          <w:sz w:val="22"/>
          <w:szCs w:val="22"/>
          <w:lang w:val="es-GT"/>
        </w:rPr>
        <w:t xml:space="preserve"> años, se</w:t>
      </w:r>
      <w:r w:rsidR="009B20BF" w:rsidRPr="00224B57">
        <w:rPr>
          <w:rFonts w:ascii="Calibri" w:eastAsia="Calibri" w:hAnsi="Calibri" w:cs="Calibri"/>
          <w:b/>
          <w:color w:val="365F91"/>
          <w:sz w:val="22"/>
          <w:szCs w:val="22"/>
          <w:lang w:val="es-GT"/>
        </w:rPr>
        <w:t>gún características familiares. P</w:t>
      </w:r>
      <w:r w:rsidRPr="00224B57">
        <w:rPr>
          <w:rFonts w:ascii="Calibri" w:eastAsia="Calibri" w:hAnsi="Calibri" w:cs="Calibri"/>
          <w:b/>
          <w:color w:val="365F91"/>
          <w:sz w:val="22"/>
          <w:szCs w:val="22"/>
          <w:lang w:val="es-GT"/>
        </w:rPr>
        <w:t xml:space="preserve">atrones de crecimiento </w:t>
      </w:r>
      <w:r w:rsidR="009B20BF" w:rsidRPr="00224B57">
        <w:rPr>
          <w:rFonts w:ascii="Calibri" w:eastAsia="Calibri" w:hAnsi="Calibri" w:cs="Calibri"/>
          <w:b/>
          <w:color w:val="365F91"/>
          <w:sz w:val="22"/>
          <w:szCs w:val="22"/>
          <w:lang w:val="es-GT"/>
        </w:rPr>
        <w:t>OMS. Periodo 1966–</w:t>
      </w:r>
      <w:r w:rsidRPr="00224B57">
        <w:rPr>
          <w:rFonts w:ascii="Calibri" w:eastAsia="Calibri" w:hAnsi="Calibri" w:cs="Calibri"/>
          <w:b/>
          <w:color w:val="365F91"/>
          <w:sz w:val="22"/>
          <w:szCs w:val="22"/>
          <w:lang w:val="es-GT"/>
        </w:rPr>
        <w:t>2008.</w:t>
      </w:r>
      <w:bookmarkEnd w:id="353"/>
      <w:bookmarkEnd w:id="354"/>
      <w:bookmarkEnd w:id="355"/>
      <w:bookmarkEnd w:id="356"/>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400675" cy="3162300"/>
            <wp:effectExtent l="0" t="0" r="9525" b="0"/>
            <wp:docPr id="2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t="18483" b="10022"/>
                    <a:stretch>
                      <a:fillRect/>
                    </a:stretch>
                  </pic:blipFill>
                  <pic:spPr bwMode="auto">
                    <a:xfrm>
                      <a:off x="0" y="0"/>
                      <a:ext cx="5400675" cy="3162300"/>
                    </a:xfrm>
                    <a:prstGeom prst="rect">
                      <a:avLst/>
                    </a:prstGeom>
                    <a:noFill/>
                    <a:ln>
                      <a:noFill/>
                    </a:ln>
                  </pic:spPr>
                </pic:pic>
              </a:graphicData>
            </a:graphic>
          </wp:inline>
        </w:drawing>
      </w:r>
    </w:p>
    <w:p w:rsidR="008327B2" w:rsidRPr="001A01AB" w:rsidRDefault="008327B2" w:rsidP="008327B2">
      <w:pPr>
        <w:autoSpaceDE w:val="0"/>
        <w:autoSpaceDN w:val="0"/>
        <w:adjustRightInd w:val="0"/>
        <w:ind w:right="571"/>
        <w:jc w:val="right"/>
        <w:rPr>
          <w:rFonts w:ascii="Calibri" w:hAnsi="Calibri" w:cs="Calibri"/>
          <w:sz w:val="20"/>
          <w:lang w:val="es-GT"/>
        </w:rPr>
      </w:pPr>
      <w:r w:rsidRPr="001A01AB">
        <w:rPr>
          <w:rFonts w:ascii="Calibri" w:hAnsi="Calibri" w:cs="Calibri"/>
          <w:sz w:val="20"/>
          <w:lang w:val="es-GT"/>
        </w:rPr>
        <w:t xml:space="preserve">FUENTE: </w:t>
      </w:r>
      <w:r w:rsidRPr="00AC507E">
        <w:rPr>
          <w:rFonts w:ascii="Calibri" w:hAnsi="Calibri" w:cs="Calibri"/>
          <w:sz w:val="20"/>
          <w:lang w:val="es-GT"/>
        </w:rPr>
        <w:t>E</w:t>
      </w:r>
      <w:r w:rsidR="00AC507E" w:rsidRPr="00AC507E">
        <w:rPr>
          <w:rFonts w:ascii="Calibri" w:hAnsi="Calibri" w:cs="Calibri"/>
          <w:sz w:val="20"/>
          <w:lang w:val="es-GT"/>
        </w:rPr>
        <w:t xml:space="preserve">ncuesta </w:t>
      </w:r>
      <w:r w:rsidRPr="00AC507E">
        <w:rPr>
          <w:rFonts w:ascii="Calibri" w:hAnsi="Calibri" w:cs="Calibri"/>
          <w:sz w:val="20"/>
          <w:lang w:val="es-GT"/>
        </w:rPr>
        <w:t>N</w:t>
      </w:r>
      <w:r w:rsidR="00AC507E" w:rsidRPr="00AC507E">
        <w:rPr>
          <w:rFonts w:ascii="Calibri" w:hAnsi="Calibri" w:cs="Calibri"/>
          <w:sz w:val="20"/>
          <w:lang w:val="es-GT"/>
        </w:rPr>
        <w:t xml:space="preserve">acional de </w:t>
      </w:r>
      <w:r w:rsidRPr="00AC507E">
        <w:rPr>
          <w:rFonts w:ascii="Calibri" w:hAnsi="Calibri" w:cs="Calibri"/>
          <w:sz w:val="20"/>
          <w:lang w:val="es-GT"/>
        </w:rPr>
        <w:t>S</w:t>
      </w:r>
      <w:r w:rsidR="00AC507E" w:rsidRPr="00AC507E">
        <w:rPr>
          <w:rFonts w:ascii="Calibri" w:hAnsi="Calibri" w:cs="Calibri"/>
          <w:sz w:val="20"/>
          <w:lang w:val="es-GT"/>
        </w:rPr>
        <w:t xml:space="preserve">alud </w:t>
      </w:r>
      <w:r w:rsidRPr="00AC507E">
        <w:rPr>
          <w:rFonts w:ascii="Calibri" w:hAnsi="Calibri" w:cs="Calibri"/>
          <w:sz w:val="20"/>
          <w:lang w:val="es-GT"/>
        </w:rPr>
        <w:t>M</w:t>
      </w:r>
      <w:r w:rsidR="00AC507E" w:rsidRPr="00AC507E">
        <w:rPr>
          <w:rFonts w:ascii="Calibri" w:hAnsi="Calibri" w:cs="Calibri"/>
          <w:sz w:val="20"/>
          <w:lang w:val="es-GT"/>
        </w:rPr>
        <w:t xml:space="preserve">aterno </w:t>
      </w:r>
      <w:r w:rsidRPr="00AC507E">
        <w:rPr>
          <w:rFonts w:ascii="Calibri" w:hAnsi="Calibri" w:cs="Calibri"/>
          <w:sz w:val="20"/>
          <w:lang w:val="es-GT"/>
        </w:rPr>
        <w:t>I</w:t>
      </w:r>
      <w:r w:rsidR="00AC507E" w:rsidRPr="00AC507E">
        <w:rPr>
          <w:rFonts w:ascii="Calibri" w:hAnsi="Calibri" w:cs="Calibri"/>
          <w:sz w:val="20"/>
          <w:lang w:val="es-GT"/>
        </w:rPr>
        <w:t>nfantil (ENSMI)</w:t>
      </w:r>
      <w:r w:rsidRPr="00AC507E">
        <w:rPr>
          <w:rFonts w:ascii="Calibri" w:hAnsi="Calibri" w:cs="Calibri"/>
          <w:sz w:val="20"/>
          <w:lang w:val="es-GT"/>
        </w:rPr>
        <w:t xml:space="preserve"> 2008/2009,</w:t>
      </w:r>
      <w:r w:rsidRPr="001A01AB">
        <w:rPr>
          <w:rFonts w:ascii="Calibri" w:hAnsi="Calibri" w:cs="Calibri"/>
          <w:sz w:val="20"/>
          <w:lang w:val="es-GT"/>
        </w:rPr>
        <w:t xml:space="preserve"> </w:t>
      </w:r>
      <w:r w:rsidR="0073409A">
        <w:rPr>
          <w:rFonts w:ascii="Calibri" w:hAnsi="Calibri" w:cs="Calibri"/>
          <w:sz w:val="20"/>
          <w:lang w:val="es-GT"/>
        </w:rPr>
        <w:t>citado en Palmieri y Delgado (</w:t>
      </w:r>
      <w:r w:rsidRPr="001A01AB">
        <w:rPr>
          <w:rFonts w:ascii="Calibri" w:hAnsi="Calibri" w:cs="Calibri"/>
          <w:sz w:val="20"/>
          <w:lang w:val="es-GT"/>
        </w:rPr>
        <w:t>2011</w:t>
      </w:r>
      <w:r w:rsidR="0073409A">
        <w:rPr>
          <w:rFonts w:ascii="Calibri" w:hAnsi="Calibri" w:cs="Calibri"/>
          <w:sz w:val="20"/>
          <w:lang w:val="es-GT"/>
        </w:rPr>
        <w:t>)</w:t>
      </w:r>
      <w:r w:rsidRPr="001A01AB">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6A31E4" w:rsidP="008327B2">
      <w:pPr>
        <w:autoSpaceDE w:val="0"/>
        <w:autoSpaceDN w:val="0"/>
        <w:adjustRightInd w:val="0"/>
        <w:jc w:val="both"/>
        <w:rPr>
          <w:rFonts w:ascii="Calibri" w:hAnsi="Calibri" w:cs="Calibri"/>
          <w:lang w:val="es-GT"/>
        </w:rPr>
      </w:pPr>
      <w:r>
        <w:rPr>
          <w:rFonts w:ascii="Calibri" w:hAnsi="Calibri" w:cs="Calibri"/>
          <w:lang w:val="es-GT"/>
        </w:rPr>
        <w:t>L</w:t>
      </w:r>
      <w:r w:rsidR="008327B2" w:rsidRPr="001A01AB">
        <w:rPr>
          <w:rFonts w:ascii="Calibri" w:hAnsi="Calibri" w:cs="Calibri"/>
          <w:lang w:val="es-GT"/>
        </w:rPr>
        <w:t>a temática nu</w:t>
      </w:r>
      <w:r>
        <w:rPr>
          <w:rFonts w:ascii="Calibri" w:hAnsi="Calibri" w:cs="Calibri"/>
          <w:lang w:val="es-GT"/>
        </w:rPr>
        <w:t>tricional aludida anteriormente</w:t>
      </w:r>
      <w:r w:rsidR="008327B2" w:rsidRPr="001A01AB">
        <w:rPr>
          <w:rFonts w:ascii="Calibri" w:hAnsi="Calibri" w:cs="Calibri"/>
          <w:lang w:val="es-GT"/>
        </w:rPr>
        <w:t xml:space="preserve"> constituye una de las múltiples manifestaciones de la inseguridad alimentaria y nutricional</w:t>
      </w:r>
      <w:r>
        <w:rPr>
          <w:rFonts w:ascii="Calibri" w:hAnsi="Calibri" w:cs="Calibri"/>
          <w:lang w:val="es-GT"/>
        </w:rPr>
        <w:t xml:space="preserve">, que son el </w:t>
      </w:r>
      <w:r w:rsidR="008327B2" w:rsidRPr="001A01AB">
        <w:rPr>
          <w:rFonts w:ascii="Calibri" w:hAnsi="Calibri" w:cs="Calibri"/>
          <w:lang w:val="es-GT"/>
        </w:rPr>
        <w:t xml:space="preserve">resultado de un proceso prolongado en </w:t>
      </w:r>
      <w:r>
        <w:rPr>
          <w:rFonts w:ascii="Calibri" w:hAnsi="Calibri" w:cs="Calibri"/>
          <w:lang w:val="es-GT"/>
        </w:rPr>
        <w:t>donde</w:t>
      </w:r>
      <w:r w:rsidR="008327B2" w:rsidRPr="001A01AB">
        <w:rPr>
          <w:rFonts w:ascii="Calibri" w:hAnsi="Calibri" w:cs="Calibri"/>
          <w:lang w:val="es-GT"/>
        </w:rPr>
        <w:t xml:space="preserve"> entran en juego mecanismos de adaptación y ajuste para minimizar los daños: las secuelas de este proceso en muchos casos son irreversibles y requieren tiempo y recursos abundantes, por lo que es necesario actuar con mucha fuerza de manera preventiva.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desnutrición crónica se ha utilizado como un ‘proxy’ de la inseguridad alimentaria y nutricional. En un esfuerzo por identificar sus factores determinantes, se ha explorado la asociación de numerosas</w:t>
      </w:r>
      <w:r w:rsidR="006A31E4">
        <w:rPr>
          <w:rFonts w:ascii="Calibri" w:hAnsi="Calibri" w:cs="Calibri"/>
          <w:lang w:val="es-GT"/>
        </w:rPr>
        <w:t xml:space="preserve"> variables económicas, sociales y</w:t>
      </w:r>
      <w:r w:rsidRPr="001A01AB">
        <w:rPr>
          <w:rFonts w:ascii="Calibri" w:hAnsi="Calibri" w:cs="Calibri"/>
          <w:lang w:val="es-GT"/>
        </w:rPr>
        <w:t xml:space="preserve"> ambientales con el retardo en talla (Palmieri y Delgado, 2011).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Se ha podido establecer, por otra parte, la fuerte relación </w:t>
      </w:r>
      <w:r w:rsidR="006A31E4">
        <w:rPr>
          <w:rFonts w:ascii="Calibri" w:hAnsi="Calibri" w:cs="Calibri"/>
          <w:lang w:val="es-GT"/>
        </w:rPr>
        <w:t>existente entre la</w:t>
      </w:r>
      <w:r w:rsidRPr="001A01AB">
        <w:rPr>
          <w:rFonts w:ascii="Calibri" w:hAnsi="Calibri" w:cs="Calibri"/>
          <w:lang w:val="es-GT"/>
        </w:rPr>
        <w:t xml:space="preserve"> nutrición </w:t>
      </w:r>
      <w:r w:rsidR="006A31E4">
        <w:rPr>
          <w:rFonts w:ascii="Calibri" w:hAnsi="Calibri" w:cs="Calibri"/>
          <w:lang w:val="es-GT"/>
        </w:rPr>
        <w:t xml:space="preserve">y </w:t>
      </w:r>
      <w:r w:rsidRPr="001A01AB">
        <w:rPr>
          <w:rFonts w:ascii="Calibri" w:hAnsi="Calibri" w:cs="Calibri"/>
          <w:lang w:val="es-GT"/>
        </w:rPr>
        <w:t xml:space="preserve">variables de naturaleza social, como la relación de dependencia demográfica, la educación materna, la pobreza y pobreza extrema, </w:t>
      </w:r>
      <w:r w:rsidR="006A31E4">
        <w:rPr>
          <w:rFonts w:ascii="Calibri" w:hAnsi="Calibri" w:cs="Calibri"/>
          <w:lang w:val="es-GT"/>
        </w:rPr>
        <w:t xml:space="preserve">y </w:t>
      </w:r>
      <w:r w:rsidRPr="001A01AB">
        <w:rPr>
          <w:rFonts w:ascii="Calibri" w:hAnsi="Calibri" w:cs="Calibri"/>
          <w:lang w:val="es-GT"/>
        </w:rPr>
        <w:t>las condiciones de saneamiento del medio y del ‘hábitat’ en general.</w:t>
      </w:r>
    </w:p>
    <w:p w:rsidR="008327B2" w:rsidRPr="001A01AB" w:rsidRDefault="008327B2" w:rsidP="008327B2">
      <w:pPr>
        <w:autoSpaceDE w:val="0"/>
        <w:autoSpaceDN w:val="0"/>
        <w:adjustRightInd w:val="0"/>
        <w:jc w:val="both"/>
        <w:rPr>
          <w:rFonts w:ascii="Calibri" w:hAnsi="Calibri" w:cs="Calibri"/>
          <w:lang w:val="es-GT"/>
        </w:rPr>
      </w:pPr>
    </w:p>
    <w:p w:rsidR="008327B2" w:rsidRDefault="006A31E4" w:rsidP="008327B2">
      <w:pPr>
        <w:autoSpaceDE w:val="0"/>
        <w:autoSpaceDN w:val="0"/>
        <w:adjustRightInd w:val="0"/>
        <w:jc w:val="both"/>
        <w:rPr>
          <w:rFonts w:ascii="Calibri" w:hAnsi="Calibri" w:cs="Calibri"/>
          <w:lang w:val="es-GT"/>
        </w:rPr>
      </w:pPr>
      <w:r>
        <w:rPr>
          <w:rFonts w:ascii="Calibri" w:hAnsi="Calibri" w:cs="Calibri"/>
          <w:lang w:val="es-GT"/>
        </w:rPr>
        <w:t>Algunos</w:t>
      </w:r>
      <w:r w:rsidR="008327B2" w:rsidRPr="001A01AB">
        <w:rPr>
          <w:rFonts w:ascii="Calibri" w:hAnsi="Calibri" w:cs="Calibri"/>
          <w:lang w:val="es-GT"/>
        </w:rPr>
        <w:t xml:space="preserve"> factores económicos que, al igual que el estado nutricional, afectan las condiciones de pobreza, marginación y exclusión en que se encuentra la mayoría de la població</w:t>
      </w:r>
      <w:r>
        <w:rPr>
          <w:rFonts w:ascii="Calibri" w:hAnsi="Calibri" w:cs="Calibri"/>
          <w:lang w:val="es-GT"/>
        </w:rPr>
        <w:t>n guatemalteca, son:</w:t>
      </w:r>
      <w:r w:rsidR="008327B2" w:rsidRPr="001A01AB">
        <w:rPr>
          <w:rFonts w:ascii="Calibri" w:hAnsi="Calibri" w:cs="Calibri"/>
          <w:lang w:val="es-GT"/>
        </w:rPr>
        <w:t xml:space="preserve"> la capacidad de generar e incrementar los ingresos y acumular activos económicos, el acceso a medios de producción como tierra y crédito</w:t>
      </w:r>
      <w:r>
        <w:rPr>
          <w:rFonts w:ascii="Calibri" w:hAnsi="Calibri" w:cs="Calibri"/>
          <w:lang w:val="es-GT"/>
        </w:rPr>
        <w:t>,</w:t>
      </w:r>
      <w:r w:rsidR="008327B2" w:rsidRPr="001A01AB">
        <w:rPr>
          <w:rFonts w:ascii="Calibri" w:hAnsi="Calibri" w:cs="Calibri"/>
          <w:lang w:val="es-GT"/>
        </w:rPr>
        <w:t xml:space="preserve"> y las modalidades de inserción de los jefes de familia en el mercado de trabajo (Palmieri y Delgado, 2011).</w:t>
      </w:r>
    </w:p>
    <w:p w:rsidR="006A31E4" w:rsidRPr="001A01AB" w:rsidRDefault="006A31E4"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lastRenderedPageBreak/>
        <w:t xml:space="preserve">La interacción entre </w:t>
      </w:r>
      <w:r w:rsidR="006A31E4">
        <w:rPr>
          <w:rFonts w:ascii="Calibri" w:hAnsi="Calibri" w:cs="Calibri"/>
          <w:lang w:val="es-GT"/>
        </w:rPr>
        <w:t xml:space="preserve">la </w:t>
      </w:r>
      <w:r w:rsidRPr="001A01AB">
        <w:rPr>
          <w:rFonts w:ascii="Calibri" w:hAnsi="Calibri" w:cs="Calibri"/>
          <w:lang w:val="es-GT"/>
        </w:rPr>
        <w:t xml:space="preserve">desnutrición y </w:t>
      </w:r>
      <w:r w:rsidR="006A31E4">
        <w:rPr>
          <w:rFonts w:ascii="Calibri" w:hAnsi="Calibri" w:cs="Calibri"/>
          <w:lang w:val="es-GT"/>
        </w:rPr>
        <w:t xml:space="preserve">la </w:t>
      </w:r>
      <w:r w:rsidRPr="001A01AB">
        <w:rPr>
          <w:rFonts w:ascii="Calibri" w:hAnsi="Calibri" w:cs="Calibri"/>
          <w:lang w:val="es-GT"/>
        </w:rPr>
        <w:t>morbilidad infecciosa ha sido ampliamente documentada</w:t>
      </w:r>
      <w:r w:rsidR="006A31E4">
        <w:rPr>
          <w:rFonts w:ascii="Calibri" w:hAnsi="Calibri" w:cs="Calibri"/>
          <w:lang w:val="es-GT"/>
        </w:rPr>
        <w:t>.</w:t>
      </w:r>
      <w:r w:rsidRPr="001A01AB">
        <w:rPr>
          <w:rFonts w:ascii="Calibri" w:hAnsi="Calibri" w:cs="Calibri"/>
          <w:lang w:val="es-MX"/>
        </w:rPr>
        <w:t xml:space="preserve"> </w:t>
      </w:r>
      <w:r w:rsidRPr="001A01AB">
        <w:rPr>
          <w:rFonts w:ascii="Calibri" w:hAnsi="Calibri" w:cs="Calibri"/>
          <w:lang w:val="es-GT"/>
        </w:rPr>
        <w:t>Los datos de la</w:t>
      </w:r>
      <w:r w:rsidR="006A31E4">
        <w:rPr>
          <w:rFonts w:ascii="Calibri" w:hAnsi="Calibri" w:cs="Calibri"/>
          <w:lang w:val="es-GT"/>
        </w:rPr>
        <w:t xml:space="preserve">s encuestas nacionales </w:t>
      </w:r>
      <w:r w:rsidRPr="001A01AB">
        <w:rPr>
          <w:rFonts w:ascii="Calibri" w:hAnsi="Calibri" w:cs="Calibri"/>
          <w:lang w:val="es-GT"/>
        </w:rPr>
        <w:t xml:space="preserve">confirman que cuando se analiza la prevalencia de desnutrición en menores de </w:t>
      </w:r>
      <w:r w:rsidR="006A31E4">
        <w:rPr>
          <w:rFonts w:ascii="Calibri" w:hAnsi="Calibri" w:cs="Calibri"/>
          <w:lang w:val="es-GT"/>
        </w:rPr>
        <w:t>cinco</w:t>
      </w:r>
      <w:r w:rsidRPr="001A01AB">
        <w:rPr>
          <w:rFonts w:ascii="Calibri" w:hAnsi="Calibri" w:cs="Calibri"/>
          <w:lang w:val="es-GT"/>
        </w:rPr>
        <w:t xml:space="preserve"> años según grupos de edad, su comportamiento es consistente con la tendencia de las infecciones, provocando prevalencia de bajo peso para</w:t>
      </w:r>
      <w:r w:rsidR="006A31E4">
        <w:rPr>
          <w:rFonts w:ascii="Calibri" w:hAnsi="Calibri" w:cs="Calibri"/>
          <w:lang w:val="es-GT"/>
        </w:rPr>
        <w:t xml:space="preserve"> la</w:t>
      </w:r>
      <w:r w:rsidRPr="001A01AB">
        <w:rPr>
          <w:rFonts w:ascii="Calibri" w:hAnsi="Calibri" w:cs="Calibri"/>
          <w:lang w:val="es-GT"/>
        </w:rPr>
        <w:t xml:space="preserve"> edad </w:t>
      </w:r>
      <w:r w:rsidRPr="006A31E4">
        <w:rPr>
          <w:rFonts w:ascii="Calibri" w:hAnsi="Calibri" w:cs="Calibri"/>
          <w:highlight w:val="yellow"/>
          <w:lang w:val="es-GT"/>
        </w:rPr>
        <w:t>como la tasa de diarrea se incrementan</w:t>
      </w:r>
      <w:r w:rsidRPr="001A01AB">
        <w:rPr>
          <w:rFonts w:ascii="Calibri" w:hAnsi="Calibri" w:cs="Calibri"/>
          <w:lang w:val="es-GT"/>
        </w:rPr>
        <w:t>.</w:t>
      </w:r>
      <w:r w:rsidR="00141A70">
        <w:rPr>
          <w:rFonts w:ascii="Calibri" w:hAnsi="Calibri" w:cs="Calibri"/>
          <w:lang w:val="es-GT"/>
        </w:rPr>
        <w:t xml:space="preserve"> </w:t>
      </w:r>
      <w:r w:rsidRPr="001A01AB">
        <w:rPr>
          <w:rFonts w:ascii="Calibri" w:hAnsi="Calibri" w:cs="Calibri"/>
          <w:lang w:val="es-GT"/>
        </w:rPr>
        <w:t>En gran medida</w:t>
      </w:r>
      <w:r w:rsidR="00C40AA9">
        <w:rPr>
          <w:rFonts w:ascii="Calibri" w:hAnsi="Calibri" w:cs="Calibri"/>
          <w:lang w:val="es-GT"/>
        </w:rPr>
        <w:t>, las enfermedades infecciosas</w:t>
      </w:r>
      <w:r w:rsidRPr="001A01AB">
        <w:rPr>
          <w:rFonts w:ascii="Calibri" w:hAnsi="Calibri" w:cs="Calibri"/>
          <w:lang w:val="es-GT"/>
        </w:rPr>
        <w:t xml:space="preserve"> que afectan primordialmente a la niñez, están asociadas a malas condiciones de salud, a comportamientos inadecuados en temas de higiene personal, a deficientes e insuficientes sistemas de manejo de residuos sólidos, así como a la falta de disponibilidad de agua segura (Palmieri y Delgado, 2011).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3.1.2.</w:t>
      </w:r>
      <w:r w:rsidRPr="001A01AB">
        <w:rPr>
          <w:rFonts w:ascii="Calibri" w:hAnsi="Calibri" w:cs="Calibri"/>
          <w:b/>
          <w:color w:val="365F91"/>
          <w:lang w:val="es-GT"/>
        </w:rPr>
        <w:tab/>
        <w:t>Indicador: R</w:t>
      </w:r>
      <w:r w:rsidR="0073409A" w:rsidRPr="001A01AB">
        <w:rPr>
          <w:rFonts w:ascii="Calibri" w:hAnsi="Calibri" w:cs="Calibri"/>
          <w:b/>
          <w:color w:val="365F91"/>
          <w:lang w:val="es-GT"/>
        </w:rPr>
        <w:t>eservas familiares de granos básicos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7C476E" w:rsidP="008327B2">
      <w:pPr>
        <w:autoSpaceDE w:val="0"/>
        <w:autoSpaceDN w:val="0"/>
        <w:adjustRightInd w:val="0"/>
        <w:jc w:val="both"/>
        <w:rPr>
          <w:rFonts w:ascii="Calibri" w:hAnsi="Calibri" w:cs="Calibri"/>
          <w:lang w:val="es-GT"/>
        </w:rPr>
      </w:pPr>
      <w:r>
        <w:rPr>
          <w:rFonts w:ascii="Calibri" w:hAnsi="Calibri" w:cs="Calibri"/>
          <w:lang w:val="es-GT"/>
        </w:rPr>
        <w:t>D</w:t>
      </w:r>
      <w:r w:rsidR="008327B2" w:rsidRPr="001A01AB">
        <w:rPr>
          <w:rFonts w:ascii="Calibri" w:hAnsi="Calibri" w:cs="Calibri"/>
          <w:lang w:val="es-GT"/>
        </w:rPr>
        <w:t xml:space="preserve">iversos estudios han demostrado la relación entre el estado nutricional de la niñez y el acceso </w:t>
      </w:r>
      <w:r>
        <w:rPr>
          <w:rFonts w:ascii="Calibri" w:hAnsi="Calibri" w:cs="Calibri"/>
          <w:lang w:val="es-GT"/>
        </w:rPr>
        <w:t>que sus familias tienen a</w:t>
      </w:r>
      <w:r w:rsidR="008327B2" w:rsidRPr="001A01AB">
        <w:rPr>
          <w:rFonts w:ascii="Calibri" w:hAnsi="Calibri" w:cs="Calibri"/>
          <w:lang w:val="es-GT"/>
        </w:rPr>
        <w:t xml:space="preserve"> la tierra</w:t>
      </w:r>
      <w:r>
        <w:rPr>
          <w:rFonts w:ascii="Calibri" w:hAnsi="Calibri" w:cs="Calibri"/>
          <w:lang w:val="es-GT"/>
        </w:rPr>
        <w:t>,</w:t>
      </w:r>
      <w:r w:rsidR="008327B2" w:rsidRPr="001A01AB">
        <w:rPr>
          <w:rFonts w:ascii="Calibri" w:hAnsi="Calibri" w:cs="Calibri"/>
          <w:lang w:val="es-GT"/>
        </w:rPr>
        <w:t xml:space="preserve"> y han establecido que los niños que proceden de familias con menor acceso a la tierra tienen mayor riesgo de desnutrición moderada o severa, en comparación con niños</w:t>
      </w:r>
      <w:r>
        <w:rPr>
          <w:rFonts w:ascii="Calibri" w:hAnsi="Calibri" w:cs="Calibri"/>
          <w:lang w:val="es-GT"/>
        </w:rPr>
        <w:t xml:space="preserve"> de familias que son propietarias o arrendataria</w:t>
      </w:r>
      <w:r w:rsidR="008327B2" w:rsidRPr="001A01AB">
        <w:rPr>
          <w:rFonts w:ascii="Calibri" w:hAnsi="Calibri" w:cs="Calibri"/>
          <w:lang w:val="es-GT"/>
        </w:rPr>
        <w:t>s.</w:t>
      </w:r>
      <w:r w:rsidR="00141A70">
        <w:rPr>
          <w:rFonts w:ascii="Calibri" w:hAnsi="Calibri" w:cs="Calibri"/>
          <w:lang w:val="es-GT"/>
        </w:rPr>
        <w:t xml:space="preserve"> </w:t>
      </w:r>
      <w:r>
        <w:rPr>
          <w:rFonts w:ascii="Calibri" w:hAnsi="Calibri" w:cs="Calibri"/>
          <w:lang w:val="es-GT"/>
        </w:rPr>
        <w:t>Por</w:t>
      </w:r>
      <w:r w:rsidR="008327B2" w:rsidRPr="001A01AB">
        <w:rPr>
          <w:rFonts w:ascii="Calibri" w:hAnsi="Calibri" w:cs="Calibri"/>
          <w:lang w:val="es-GT"/>
        </w:rPr>
        <w:t xml:space="preserve"> ejemplo, se encontró que el riesgo de tener niños desnutridos es 3.2 veces mayor en familias que tienen menos de dos manzanas de tierra (1.4 ha), en comparación con las que tienen acceso a más de cinco (3.5 ha) (Martorell, Valverde, Wesley, Mejía-Pivaral, Teller y Klein, 1977, citados por Palmieri y Delgado, 2011).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tamaño de la tierra a la cual se tiene acceso es, entonces, un factor importante para explicar los déficits nutricionales y por e</w:t>
      </w:r>
      <w:r w:rsidR="007C476E">
        <w:rPr>
          <w:rFonts w:ascii="Calibri" w:hAnsi="Calibri" w:cs="Calibri"/>
          <w:lang w:val="es-GT"/>
        </w:rPr>
        <w:t>llo, para entender la</w:t>
      </w:r>
      <w:r w:rsidRPr="001A01AB">
        <w:rPr>
          <w:rFonts w:ascii="Calibri" w:hAnsi="Calibri" w:cs="Calibri"/>
          <w:lang w:val="es-GT"/>
        </w:rPr>
        <w:t>s determinantes de los problemas de desnutrición.</w:t>
      </w:r>
      <w:r w:rsidR="00141A70">
        <w:rPr>
          <w:rFonts w:ascii="Calibri" w:hAnsi="Calibri" w:cs="Calibri"/>
          <w:lang w:val="es-GT"/>
        </w:rPr>
        <w:t xml:space="preserve"> </w:t>
      </w:r>
      <w:r w:rsidR="007C476E">
        <w:rPr>
          <w:rFonts w:ascii="Calibri" w:hAnsi="Calibri" w:cs="Calibri"/>
          <w:lang w:val="es-GT"/>
        </w:rPr>
        <w:t>Datos del 2003</w:t>
      </w:r>
      <w:r w:rsidRPr="001A01AB">
        <w:rPr>
          <w:rFonts w:ascii="Calibri" w:hAnsi="Calibri" w:cs="Calibri"/>
          <w:lang w:val="es-GT"/>
        </w:rPr>
        <w:t xml:space="preserve"> indican que un total de 1.3 millones de hogares son rurales, equivalentes a la mitad</w:t>
      </w:r>
      <w:r w:rsidR="007C476E">
        <w:rPr>
          <w:rFonts w:ascii="Calibri" w:hAnsi="Calibri" w:cs="Calibri"/>
          <w:lang w:val="es-GT"/>
        </w:rPr>
        <w:t xml:space="preserve"> de la población total del país. De esta población,</w:t>
      </w:r>
      <w:r w:rsidRPr="001A01AB">
        <w:rPr>
          <w:rFonts w:ascii="Calibri" w:hAnsi="Calibri" w:cs="Calibri"/>
          <w:lang w:val="es-GT"/>
        </w:rPr>
        <w:t xml:space="preserve"> el 37.1% no cuenta con tierra para uso agrícola (rentan </w:t>
      </w:r>
      <w:r w:rsidR="007C476E">
        <w:rPr>
          <w:rFonts w:ascii="Calibri" w:hAnsi="Calibri" w:cs="Calibri"/>
          <w:lang w:val="es-GT"/>
        </w:rPr>
        <w:t>desde 0.35 hasta 1.4 hectáreas) y</w:t>
      </w:r>
      <w:r w:rsidRPr="001A01AB">
        <w:rPr>
          <w:rFonts w:ascii="Calibri" w:hAnsi="Calibri" w:cs="Calibri"/>
          <w:lang w:val="es-GT"/>
        </w:rPr>
        <w:t xml:space="preserve"> el 62.9% si cuenta con tierras para uso agrícola (extensiones menores a 2 hectáreas de terreno por familia) (FAO, 2011).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7C476E" w:rsidP="008327B2">
      <w:pPr>
        <w:autoSpaceDE w:val="0"/>
        <w:autoSpaceDN w:val="0"/>
        <w:adjustRightInd w:val="0"/>
        <w:jc w:val="both"/>
        <w:rPr>
          <w:rFonts w:ascii="Calibri" w:hAnsi="Calibri" w:cs="Calibri"/>
          <w:lang w:val="es-GT"/>
        </w:rPr>
      </w:pPr>
      <w:r>
        <w:rPr>
          <w:rFonts w:ascii="Calibri" w:hAnsi="Calibri" w:cs="Calibri"/>
          <w:lang w:val="es-MX"/>
        </w:rPr>
        <w:t>En el año 2010</w:t>
      </w:r>
      <w:r w:rsidR="008327B2" w:rsidRPr="001A01AB">
        <w:rPr>
          <w:rFonts w:ascii="Calibri" w:hAnsi="Calibri" w:cs="Calibri"/>
          <w:lang w:val="es-MX"/>
        </w:rPr>
        <w:t xml:space="preserve"> el país fue afectado por fenómenos naturales, algunos relac</w:t>
      </w:r>
      <w:r>
        <w:rPr>
          <w:rFonts w:ascii="Calibri" w:hAnsi="Calibri" w:cs="Calibri"/>
          <w:lang w:val="es-MX"/>
        </w:rPr>
        <w:t>ionados con el cambio climático,</w:t>
      </w:r>
      <w:r w:rsidR="008327B2" w:rsidRPr="001A01AB">
        <w:rPr>
          <w:rFonts w:ascii="Calibri" w:hAnsi="Calibri" w:cs="Calibri"/>
          <w:lang w:val="es-MX"/>
        </w:rPr>
        <w:t xml:space="preserve"> </w:t>
      </w:r>
      <w:r>
        <w:rPr>
          <w:rFonts w:ascii="Calibri" w:hAnsi="Calibri" w:cs="Calibri"/>
          <w:lang w:val="es-MX"/>
        </w:rPr>
        <w:t>que ocasionaron</w:t>
      </w:r>
      <w:r w:rsidR="008327B2" w:rsidRPr="001A01AB">
        <w:rPr>
          <w:rFonts w:ascii="Calibri" w:hAnsi="Calibri" w:cs="Calibri"/>
          <w:lang w:val="es-MX"/>
        </w:rPr>
        <w:t xml:space="preserve"> daños y pérdidas principalmente en la base de la sustentación alimentaria de las familias pobres y extremadamente pobres. A esto se agre</w:t>
      </w:r>
      <w:r>
        <w:rPr>
          <w:rFonts w:ascii="Calibri" w:hAnsi="Calibri" w:cs="Calibri"/>
          <w:lang w:val="es-MX"/>
        </w:rPr>
        <w:t>ga la aparición de enfermedades que,</w:t>
      </w:r>
      <w:r w:rsidR="008327B2" w:rsidRPr="001A01AB">
        <w:rPr>
          <w:rFonts w:ascii="Calibri" w:hAnsi="Calibri" w:cs="Calibri"/>
          <w:lang w:val="es-MX"/>
        </w:rPr>
        <w:t xml:space="preserve"> en el caso del cultivo de maíz fueron: </w:t>
      </w:r>
      <w:r w:rsidRPr="001A01AB">
        <w:rPr>
          <w:rFonts w:ascii="Calibri" w:hAnsi="Calibri" w:cs="Calibri"/>
          <w:lang w:val="es-MX"/>
        </w:rPr>
        <w:t xml:space="preserve">mancha de asfalto </w:t>
      </w:r>
      <w:r w:rsidR="008327B2" w:rsidRPr="001A01AB">
        <w:rPr>
          <w:rFonts w:ascii="Calibri" w:hAnsi="Calibri" w:cs="Calibri"/>
          <w:i/>
          <w:iCs/>
          <w:lang w:val="es-MX"/>
        </w:rPr>
        <w:t>(Phyllachora maydis)</w:t>
      </w:r>
      <w:r>
        <w:rPr>
          <w:rFonts w:ascii="Calibri" w:hAnsi="Calibri" w:cs="Calibri"/>
          <w:lang w:val="es-MX"/>
        </w:rPr>
        <w:t>, r</w:t>
      </w:r>
      <w:r w:rsidR="008327B2" w:rsidRPr="001A01AB">
        <w:rPr>
          <w:rFonts w:ascii="Calibri" w:hAnsi="Calibri" w:cs="Calibri"/>
          <w:lang w:val="es-MX"/>
        </w:rPr>
        <w:t xml:space="preserve">oya </w:t>
      </w:r>
      <w:r w:rsidR="008327B2" w:rsidRPr="001A01AB">
        <w:rPr>
          <w:rFonts w:ascii="Calibri" w:hAnsi="Calibri" w:cs="Calibri"/>
          <w:i/>
          <w:iCs/>
          <w:lang w:val="es-MX"/>
        </w:rPr>
        <w:t xml:space="preserve">(Puccinia spp) </w:t>
      </w:r>
      <w:r w:rsidR="008327B2" w:rsidRPr="001A01AB">
        <w:rPr>
          <w:rFonts w:ascii="Calibri" w:hAnsi="Calibri" w:cs="Calibri"/>
          <w:lang w:val="es-MX"/>
        </w:rPr>
        <w:t xml:space="preserve">y </w:t>
      </w:r>
      <w:r w:rsidRPr="001A01AB">
        <w:rPr>
          <w:rFonts w:ascii="Calibri" w:hAnsi="Calibri" w:cs="Calibri"/>
          <w:lang w:val="es-MX"/>
        </w:rPr>
        <w:t xml:space="preserve">manchas foliares </w:t>
      </w:r>
      <w:r w:rsidR="008327B2" w:rsidRPr="001A01AB">
        <w:rPr>
          <w:rFonts w:ascii="Calibri" w:hAnsi="Calibri" w:cs="Calibri"/>
          <w:i/>
          <w:iCs/>
          <w:lang w:val="es-MX"/>
        </w:rPr>
        <w:t>(Helminthosporium spp</w:t>
      </w:r>
      <w:r w:rsidR="008327B2" w:rsidRPr="001A01AB">
        <w:rPr>
          <w:rFonts w:ascii="Calibri" w:hAnsi="Calibri" w:cs="Calibri"/>
          <w:lang w:val="es-MX"/>
        </w:rPr>
        <w:t xml:space="preserve">); mientras que el cultivo del frijol fue afectado por enfermedades como el </w:t>
      </w:r>
      <w:r w:rsidRPr="001A01AB">
        <w:rPr>
          <w:rFonts w:ascii="Calibri" w:hAnsi="Calibri" w:cs="Calibri"/>
          <w:lang w:val="es-MX"/>
        </w:rPr>
        <w:t xml:space="preserve">mosaico dorado, roya </w:t>
      </w:r>
      <w:r w:rsidR="008327B2" w:rsidRPr="001A01AB">
        <w:rPr>
          <w:rFonts w:ascii="Calibri" w:hAnsi="Calibri" w:cs="Calibri"/>
          <w:lang w:val="es-MX"/>
        </w:rPr>
        <w:t>(</w:t>
      </w:r>
      <w:r w:rsidR="008327B2" w:rsidRPr="001A01AB">
        <w:rPr>
          <w:rFonts w:ascii="Calibri" w:hAnsi="Calibri" w:cs="Calibri"/>
          <w:i/>
          <w:lang w:val="es-MX"/>
        </w:rPr>
        <w:t>Uromyces appendiculatus</w:t>
      </w:r>
      <w:r w:rsidR="008327B2" w:rsidRPr="001A01AB">
        <w:rPr>
          <w:rFonts w:ascii="Calibri" w:hAnsi="Calibri" w:cs="Calibri"/>
          <w:lang w:val="es-MX"/>
        </w:rPr>
        <w:t>) y</w:t>
      </w:r>
      <w:r>
        <w:rPr>
          <w:rFonts w:ascii="Calibri" w:hAnsi="Calibri" w:cs="Calibri"/>
          <w:lang w:val="es-MX"/>
        </w:rPr>
        <w:t xml:space="preserve"> a</w:t>
      </w:r>
      <w:r w:rsidR="008327B2" w:rsidRPr="001A01AB">
        <w:rPr>
          <w:rFonts w:ascii="Calibri" w:hAnsi="Calibri" w:cs="Calibri"/>
          <w:lang w:val="es-MX"/>
        </w:rPr>
        <w:t xml:space="preserve">ntracnosis </w:t>
      </w:r>
      <w:r w:rsidR="008327B2" w:rsidRPr="001A01AB">
        <w:rPr>
          <w:rFonts w:ascii="Calibri" w:hAnsi="Calibri" w:cs="Calibri"/>
          <w:i/>
          <w:iCs/>
          <w:lang w:val="es-MX"/>
        </w:rPr>
        <w:t xml:space="preserve">(Collectrotrichum lindemuthianum) </w:t>
      </w:r>
      <w:r w:rsidR="008327B2" w:rsidRPr="00AC507E">
        <w:rPr>
          <w:rFonts w:ascii="Calibri" w:hAnsi="Calibri" w:cs="Calibri"/>
          <w:highlight w:val="magenta"/>
          <w:lang w:val="es-GT"/>
        </w:rPr>
        <w:t>(FAO, 2011).</w:t>
      </w:r>
      <w:r w:rsidR="008327B2"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CE66A1"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t>Debido a esto</w:t>
      </w:r>
      <w:r w:rsidR="007C476E">
        <w:rPr>
          <w:rFonts w:ascii="Calibri" w:hAnsi="Calibri" w:cs="Calibri"/>
          <w:lang w:val="es-MX"/>
        </w:rPr>
        <w:t>,</w:t>
      </w:r>
      <w:r w:rsidRPr="001A01AB">
        <w:rPr>
          <w:rFonts w:ascii="Calibri" w:hAnsi="Calibri" w:cs="Calibri"/>
          <w:lang w:val="es-MX"/>
        </w:rPr>
        <w:t xml:space="preserve"> las familias rurales vieron mermadas sus cosechas, disminuyendo con esto sus reservas de maíz y frijol para el año 2011, principalmente en las regiones del </w:t>
      </w:r>
      <w:r w:rsidR="00CE66A1" w:rsidRPr="001A01AB">
        <w:rPr>
          <w:rFonts w:ascii="Calibri" w:hAnsi="Calibri" w:cs="Calibri"/>
          <w:lang w:val="es-MX"/>
        </w:rPr>
        <w:t>oriente y del occidente del país</w:t>
      </w:r>
      <w:r w:rsidR="00CE66A1">
        <w:rPr>
          <w:rFonts w:ascii="Calibri" w:hAnsi="Calibri" w:cs="Calibri"/>
          <w:lang w:val="es-MX"/>
        </w:rPr>
        <w:t>,</w:t>
      </w:r>
      <w:r w:rsidR="00CE66A1" w:rsidRPr="001A01AB">
        <w:rPr>
          <w:rFonts w:ascii="Calibri" w:hAnsi="Calibri" w:cs="Calibri"/>
          <w:lang w:val="es-MX"/>
        </w:rPr>
        <w:t xml:space="preserve"> y en menor grado en el norte y sur </w:t>
      </w:r>
      <w:r w:rsidRPr="001A01AB">
        <w:rPr>
          <w:rFonts w:ascii="Calibri" w:hAnsi="Calibri" w:cs="Calibri"/>
          <w:lang w:val="es-MX"/>
        </w:rPr>
        <w:t>(</w:t>
      </w:r>
      <w:r w:rsidR="00CE66A1">
        <w:rPr>
          <w:rFonts w:ascii="Calibri" w:hAnsi="Calibri" w:cs="Calibri"/>
          <w:lang w:val="es-MX"/>
        </w:rPr>
        <w:t>Figura 40</w:t>
      </w:r>
      <w:r w:rsidRPr="001A01AB">
        <w:rPr>
          <w:rFonts w:ascii="Calibri" w:hAnsi="Calibri" w:cs="Calibri"/>
          <w:lang w:val="es-MX"/>
        </w:rPr>
        <w:t>)</w:t>
      </w:r>
      <w:r w:rsidR="00CE66A1">
        <w:rPr>
          <w:rFonts w:ascii="Calibri" w:hAnsi="Calibri" w:cs="Calibri"/>
          <w:lang w:val="es-MX"/>
        </w:rPr>
        <w:t xml:space="preserve">. Como consecuencia, disminuyó </w:t>
      </w:r>
      <w:r w:rsidRPr="001A01AB">
        <w:rPr>
          <w:rFonts w:ascii="Calibri" w:hAnsi="Calibri" w:cs="Calibri"/>
          <w:lang w:val="es-MX"/>
        </w:rPr>
        <w:t xml:space="preserve">la diversidad de la dieta y </w:t>
      </w:r>
      <w:r w:rsidR="00CE66A1">
        <w:rPr>
          <w:rFonts w:ascii="Calibri" w:hAnsi="Calibri" w:cs="Calibri"/>
          <w:lang w:val="es-MX"/>
        </w:rPr>
        <w:t>se redujo la</w:t>
      </w:r>
      <w:r w:rsidRPr="001A01AB">
        <w:rPr>
          <w:rFonts w:ascii="Calibri" w:hAnsi="Calibri" w:cs="Calibri"/>
          <w:lang w:val="es-MX"/>
        </w:rPr>
        <w:t xml:space="preserve"> ingesta energética de la población pobre, profundizándose en las familias campesinas más pobres, quienes son dependientes de la venta de mano de obra para su subsistencia, como se describe más adelante.</w:t>
      </w:r>
    </w:p>
    <w:p w:rsidR="00B556CF" w:rsidRDefault="00B556CF" w:rsidP="008327B2">
      <w:pPr>
        <w:autoSpaceDE w:val="0"/>
        <w:autoSpaceDN w:val="0"/>
        <w:adjustRightInd w:val="0"/>
        <w:jc w:val="both"/>
        <w:rPr>
          <w:rFonts w:ascii="Calibri" w:hAnsi="Calibri" w:cs="Calibri"/>
          <w:lang w:val="es-MX"/>
        </w:rPr>
      </w:pPr>
    </w:p>
    <w:p w:rsidR="001E2CDD" w:rsidRPr="001E2CDD" w:rsidRDefault="001E2CDD" w:rsidP="008327B2">
      <w:pPr>
        <w:autoSpaceDE w:val="0"/>
        <w:autoSpaceDN w:val="0"/>
        <w:adjustRightInd w:val="0"/>
        <w:jc w:val="both"/>
        <w:rPr>
          <w:rFonts w:ascii="Calibri" w:hAnsi="Calibri" w:cs="Calibri"/>
          <w:lang w:val="es-MX"/>
        </w:rPr>
      </w:pPr>
    </w:p>
    <w:p w:rsidR="001E2CDD" w:rsidRPr="001E2CDD" w:rsidRDefault="001E2CDD" w:rsidP="001E2CDD">
      <w:pPr>
        <w:pStyle w:val="Prrafodelista"/>
        <w:numPr>
          <w:ilvl w:val="0"/>
          <w:numId w:val="77"/>
        </w:numPr>
        <w:autoSpaceDE w:val="0"/>
        <w:autoSpaceDN w:val="0"/>
        <w:adjustRightInd w:val="0"/>
        <w:jc w:val="both"/>
        <w:rPr>
          <w:rFonts w:cs="Calibri"/>
          <w:sz w:val="24"/>
          <w:szCs w:val="24"/>
          <w:lang w:val="es-MX"/>
        </w:rPr>
      </w:pPr>
      <w:r w:rsidRPr="001E2CDD">
        <w:rPr>
          <w:rFonts w:cs="Calibri"/>
          <w:sz w:val="24"/>
          <w:szCs w:val="24"/>
          <w:lang w:val="es-MX"/>
        </w:rPr>
        <w:lastRenderedPageBreak/>
        <w:t>Región oriente</w:t>
      </w:r>
    </w:p>
    <w:p w:rsidR="008327B2" w:rsidRPr="001A01AB" w:rsidRDefault="00CE66A1" w:rsidP="00FD7AE2">
      <w:pPr>
        <w:autoSpaceDE w:val="0"/>
        <w:autoSpaceDN w:val="0"/>
        <w:adjustRightInd w:val="0"/>
        <w:ind w:left="720"/>
        <w:jc w:val="both"/>
        <w:rPr>
          <w:rFonts w:ascii="Calibri" w:hAnsi="Calibri" w:cs="Calibri"/>
          <w:lang w:val="es-MX"/>
        </w:rPr>
      </w:pPr>
      <w:r>
        <w:rPr>
          <w:rFonts w:ascii="Calibri" w:hAnsi="Calibri" w:cs="Calibri"/>
          <w:lang w:val="es-MX"/>
        </w:rPr>
        <w:t>La región oriente</w:t>
      </w:r>
      <w:r w:rsidR="001E2CDD">
        <w:rPr>
          <w:rFonts w:ascii="Calibri" w:hAnsi="Calibri" w:cs="Calibri"/>
          <w:lang w:val="es-MX"/>
        </w:rPr>
        <w:t xml:space="preserve"> </w:t>
      </w:r>
      <w:r w:rsidR="001E2CDD" w:rsidRPr="001A01AB">
        <w:rPr>
          <w:rFonts w:ascii="Calibri" w:hAnsi="Calibri" w:cs="Calibri"/>
          <w:lang w:val="es-MX"/>
        </w:rPr>
        <w:t>incluye los departamentos de El Progreso, Baja Verapaz, Zacapa, Chiquimula, Jalapa y Jutiapa</w:t>
      </w:r>
      <w:r w:rsidR="001E2CDD">
        <w:rPr>
          <w:rFonts w:ascii="Calibri" w:hAnsi="Calibri" w:cs="Calibri"/>
          <w:lang w:val="es-MX"/>
        </w:rPr>
        <w:t>. Esta región, e</w:t>
      </w:r>
      <w:r w:rsidR="008327B2" w:rsidRPr="001A01AB">
        <w:rPr>
          <w:rFonts w:ascii="Calibri" w:hAnsi="Calibri" w:cs="Calibri"/>
          <w:lang w:val="es-MX"/>
        </w:rPr>
        <w:t>n su gran mayoría</w:t>
      </w:r>
      <w:r>
        <w:rPr>
          <w:rFonts w:ascii="Calibri" w:hAnsi="Calibri" w:cs="Calibri"/>
          <w:lang w:val="es-MX"/>
        </w:rPr>
        <w:t>,</w:t>
      </w:r>
      <w:r w:rsidR="008327B2" w:rsidRPr="001A01AB">
        <w:rPr>
          <w:rFonts w:ascii="Calibri" w:hAnsi="Calibri" w:cs="Calibri"/>
          <w:lang w:val="es-MX"/>
        </w:rPr>
        <w:t xml:space="preserve"> está conformada por terrenos de ladera y suelos deteriorados con procesos de degradación severa</w:t>
      </w:r>
      <w:r>
        <w:rPr>
          <w:rFonts w:ascii="Calibri" w:hAnsi="Calibri" w:cs="Calibri"/>
          <w:lang w:val="es-MX"/>
        </w:rPr>
        <w:t>. E</w:t>
      </w:r>
      <w:r w:rsidR="008327B2" w:rsidRPr="001A01AB">
        <w:rPr>
          <w:rFonts w:ascii="Calibri" w:hAnsi="Calibri" w:cs="Calibri"/>
          <w:lang w:val="es-MX"/>
        </w:rPr>
        <w:t>n algunas partes el agua escasea, la lluvia es cada vez más errática y poco aprovechada, aunándose incidencia de plagas y enfermedades en muchos cultivos.</w:t>
      </w:r>
      <w:r w:rsidR="001E2CDD">
        <w:rPr>
          <w:rFonts w:ascii="Calibri" w:hAnsi="Calibri" w:cs="Calibri"/>
          <w:lang w:val="es-MX"/>
        </w:rPr>
        <w:t xml:space="preserve"> </w:t>
      </w:r>
    </w:p>
    <w:p w:rsidR="008327B2" w:rsidRPr="001A01AB" w:rsidRDefault="008327B2" w:rsidP="008327B2">
      <w:pPr>
        <w:autoSpaceDE w:val="0"/>
        <w:autoSpaceDN w:val="0"/>
        <w:adjustRightInd w:val="0"/>
        <w:jc w:val="both"/>
        <w:rPr>
          <w:rFonts w:ascii="Calibri" w:hAnsi="Calibri" w:cs="Calibri"/>
          <w:lang w:val="es-MX"/>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357" w:name="_Toc340034508"/>
      <w:bookmarkStart w:id="358" w:name="_Toc343098422"/>
      <w:bookmarkStart w:id="359" w:name="_Toc343098530"/>
      <w:bookmarkStart w:id="360" w:name="_Toc347841263"/>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40</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Reservas</w:t>
      </w:r>
      <w:r w:rsidR="001E2CDD" w:rsidRPr="00224B57">
        <w:rPr>
          <w:rFonts w:ascii="Calibri" w:eastAsia="Calibri" w:hAnsi="Calibri" w:cs="Calibri"/>
          <w:b/>
          <w:color w:val="365F91"/>
          <w:sz w:val="22"/>
          <w:szCs w:val="22"/>
          <w:lang w:val="es-GT"/>
        </w:rPr>
        <w:t xml:space="preserve"> de maíz y frijol en la región o</w:t>
      </w:r>
      <w:r w:rsidRPr="00224B57">
        <w:rPr>
          <w:rFonts w:ascii="Calibri" w:eastAsia="Calibri" w:hAnsi="Calibri" w:cs="Calibri"/>
          <w:b/>
          <w:color w:val="365F91"/>
          <w:sz w:val="22"/>
          <w:szCs w:val="22"/>
          <w:lang w:val="es-GT"/>
        </w:rPr>
        <w:t>riente</w:t>
      </w:r>
      <w:r w:rsidR="00CE66A1" w:rsidRPr="00224B57">
        <w:rPr>
          <w:rFonts w:ascii="Calibri" w:eastAsia="Calibri" w:hAnsi="Calibri" w:cs="Calibri"/>
          <w:b/>
          <w:color w:val="365F91"/>
          <w:sz w:val="22"/>
          <w:szCs w:val="22"/>
          <w:lang w:val="es-GT"/>
        </w:rPr>
        <w:t xml:space="preserve">. Periodo </w:t>
      </w:r>
      <w:r w:rsidRPr="00224B57">
        <w:rPr>
          <w:rFonts w:ascii="Calibri" w:eastAsia="Calibri" w:hAnsi="Calibri" w:cs="Calibri"/>
          <w:b/>
          <w:color w:val="365F91"/>
          <w:sz w:val="22"/>
          <w:szCs w:val="22"/>
          <w:lang w:val="es-GT"/>
        </w:rPr>
        <w:t>2008</w:t>
      </w:r>
      <w:r w:rsidR="00CE66A1" w:rsidRPr="00224B57">
        <w:rPr>
          <w:rFonts w:ascii="Calibri" w:eastAsia="Calibri" w:hAnsi="Calibri" w:cs="Calibri"/>
          <w:b/>
          <w:color w:val="365F91"/>
          <w:sz w:val="22"/>
          <w:szCs w:val="22"/>
          <w:lang w:val="es-GT"/>
        </w:rPr>
        <w:t>-</w:t>
      </w:r>
      <w:r w:rsidRPr="00224B57">
        <w:rPr>
          <w:rFonts w:ascii="Calibri" w:eastAsia="Calibri" w:hAnsi="Calibri" w:cs="Calibri"/>
          <w:b/>
          <w:color w:val="365F91"/>
          <w:sz w:val="22"/>
          <w:szCs w:val="22"/>
          <w:lang w:val="es-GT"/>
        </w:rPr>
        <w:t>2010</w:t>
      </w:r>
      <w:bookmarkEnd w:id="357"/>
      <w:bookmarkEnd w:id="358"/>
      <w:bookmarkEnd w:id="359"/>
      <w:bookmarkEnd w:id="360"/>
    </w:p>
    <w:tbl>
      <w:tblPr>
        <w:tblW w:w="0" w:type="auto"/>
        <w:jc w:val="center"/>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2"/>
      </w:tblGrid>
      <w:tr w:rsidR="008327B2" w:rsidRPr="00983ED4" w:rsidTr="008327B2">
        <w:trPr>
          <w:trHeight w:val="3000"/>
          <w:jc w:val="center"/>
        </w:trPr>
        <w:tc>
          <w:tcPr>
            <w:tcW w:w="8812" w:type="dxa"/>
            <w:vAlign w:val="center"/>
          </w:tcPr>
          <w:p w:rsidR="008327B2" w:rsidRPr="001A01AB" w:rsidRDefault="00544A9F" w:rsidP="008327B2">
            <w:pPr>
              <w:autoSpaceDE w:val="0"/>
              <w:autoSpaceDN w:val="0"/>
              <w:adjustRightInd w:val="0"/>
              <w:jc w:val="center"/>
              <w:rPr>
                <w:rFonts w:ascii="Calibri" w:hAnsi="Calibri" w:cs="Calibri"/>
                <w:lang w:val="es-MX"/>
              </w:rPr>
            </w:pPr>
            <w:r>
              <w:rPr>
                <w:rFonts w:ascii="Calibri" w:hAnsi="Calibri" w:cs="Calibri"/>
                <w:noProof/>
                <w:lang w:val="es-GT" w:eastAsia="es-GT"/>
              </w:rPr>
              <w:drawing>
                <wp:inline distT="0" distB="0" distL="0" distR="0">
                  <wp:extent cx="5295900" cy="1876425"/>
                  <wp:effectExtent l="0" t="0" r="0" b="9525"/>
                  <wp:docPr id="2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95900" cy="1876425"/>
                          </a:xfrm>
                          <a:prstGeom prst="rect">
                            <a:avLst/>
                          </a:prstGeom>
                          <a:noFill/>
                          <a:ln>
                            <a:noFill/>
                          </a:ln>
                        </pic:spPr>
                      </pic:pic>
                    </a:graphicData>
                  </a:graphic>
                </wp:inline>
              </w:drawing>
            </w:r>
          </w:p>
        </w:tc>
      </w:tr>
      <w:tr w:rsidR="008327B2" w:rsidRPr="00983ED4" w:rsidTr="008327B2">
        <w:trPr>
          <w:trHeight w:val="2940"/>
          <w:jc w:val="center"/>
        </w:trPr>
        <w:tc>
          <w:tcPr>
            <w:tcW w:w="8812" w:type="dxa"/>
            <w:vAlign w:val="center"/>
          </w:tcPr>
          <w:p w:rsidR="008327B2" w:rsidRPr="001A01AB" w:rsidRDefault="00544A9F" w:rsidP="008327B2">
            <w:pPr>
              <w:autoSpaceDE w:val="0"/>
              <w:autoSpaceDN w:val="0"/>
              <w:adjustRightInd w:val="0"/>
              <w:jc w:val="both"/>
              <w:rPr>
                <w:rFonts w:ascii="Calibri" w:hAnsi="Calibri" w:cs="Calibri"/>
                <w:lang w:val="es-MX"/>
              </w:rPr>
            </w:pPr>
            <w:r>
              <w:rPr>
                <w:rFonts w:ascii="Calibri" w:hAnsi="Calibri" w:cs="Calibri"/>
                <w:noProof/>
                <w:lang w:val="es-GT" w:eastAsia="es-GT"/>
              </w:rPr>
              <w:drawing>
                <wp:inline distT="0" distB="0" distL="0" distR="0">
                  <wp:extent cx="5295900" cy="1828800"/>
                  <wp:effectExtent l="0" t="0" r="0" b="0"/>
                  <wp:docPr id="2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95900" cy="1828800"/>
                          </a:xfrm>
                          <a:prstGeom prst="rect">
                            <a:avLst/>
                          </a:prstGeom>
                          <a:noFill/>
                          <a:ln>
                            <a:noFill/>
                          </a:ln>
                        </pic:spPr>
                      </pic:pic>
                    </a:graphicData>
                  </a:graphic>
                </wp:inline>
              </w:drawing>
            </w:r>
          </w:p>
        </w:tc>
      </w:tr>
    </w:tbl>
    <w:p w:rsidR="008327B2" w:rsidRPr="001A01AB" w:rsidRDefault="008327B2" w:rsidP="008327B2">
      <w:pPr>
        <w:autoSpaceDE w:val="0"/>
        <w:autoSpaceDN w:val="0"/>
        <w:adjustRightInd w:val="0"/>
        <w:ind w:right="571"/>
        <w:jc w:val="right"/>
        <w:rPr>
          <w:rFonts w:ascii="Calibri" w:hAnsi="Calibri" w:cs="Calibri"/>
          <w:sz w:val="20"/>
          <w:lang w:val="es-GT"/>
        </w:rPr>
      </w:pPr>
      <w:r w:rsidRPr="001A01AB">
        <w:rPr>
          <w:rFonts w:ascii="Calibri" w:hAnsi="Calibri" w:cs="Calibri"/>
          <w:sz w:val="20"/>
          <w:lang w:val="es-GT"/>
        </w:rPr>
        <w:t>F</w:t>
      </w:r>
      <w:r w:rsidR="00CE66A1" w:rsidRPr="001A01AB">
        <w:rPr>
          <w:rFonts w:ascii="Calibri" w:hAnsi="Calibri" w:cs="Calibri"/>
          <w:sz w:val="20"/>
          <w:lang w:val="es-GT"/>
        </w:rPr>
        <w:t>uente</w:t>
      </w:r>
      <w:r w:rsidRPr="001A01AB">
        <w:rPr>
          <w:rFonts w:ascii="Calibri" w:hAnsi="Calibri" w:cs="Calibri"/>
          <w:sz w:val="20"/>
          <w:lang w:val="es-GT"/>
        </w:rPr>
        <w:t>: FAO</w:t>
      </w:r>
      <w:r w:rsidR="0073409A">
        <w:rPr>
          <w:rFonts w:ascii="Calibri" w:hAnsi="Calibri" w:cs="Calibri"/>
          <w:sz w:val="20"/>
          <w:lang w:val="es-GT"/>
        </w:rPr>
        <w:t xml:space="preserve"> (</w:t>
      </w:r>
      <w:r w:rsidRPr="001A01AB">
        <w:rPr>
          <w:rFonts w:ascii="Calibri" w:hAnsi="Calibri" w:cs="Calibri"/>
          <w:sz w:val="20"/>
          <w:lang w:val="es-GT"/>
        </w:rPr>
        <w:t>2011</w:t>
      </w:r>
      <w:r w:rsidR="0073409A">
        <w:rPr>
          <w:rFonts w:ascii="Calibri" w:hAnsi="Calibri" w:cs="Calibri"/>
          <w:sz w:val="20"/>
          <w:lang w:val="es-GT"/>
        </w:rPr>
        <w:t>)</w:t>
      </w:r>
      <w:r w:rsidRPr="001A01AB">
        <w:rPr>
          <w:rFonts w:ascii="Calibri" w:hAnsi="Calibri" w:cs="Calibri"/>
          <w:sz w:val="20"/>
          <w:lang w:val="es-GT"/>
        </w:rPr>
        <w:t>.</w:t>
      </w:r>
    </w:p>
    <w:p w:rsidR="008327B2" w:rsidRPr="001A01AB" w:rsidRDefault="008327B2" w:rsidP="00B556CF">
      <w:pPr>
        <w:autoSpaceDE w:val="0"/>
        <w:autoSpaceDN w:val="0"/>
        <w:adjustRightInd w:val="0"/>
        <w:jc w:val="both"/>
        <w:rPr>
          <w:rFonts w:ascii="Calibri" w:hAnsi="Calibri" w:cs="Calibri"/>
          <w:lang w:val="es-GT"/>
        </w:rPr>
      </w:pPr>
    </w:p>
    <w:p w:rsidR="008327B2" w:rsidRPr="001A01AB" w:rsidRDefault="008327B2" w:rsidP="00B556CF">
      <w:pPr>
        <w:autoSpaceDE w:val="0"/>
        <w:autoSpaceDN w:val="0"/>
        <w:adjustRightInd w:val="0"/>
        <w:ind w:left="720"/>
        <w:jc w:val="both"/>
        <w:rPr>
          <w:rFonts w:ascii="Calibri" w:hAnsi="Calibri" w:cs="Calibri"/>
          <w:lang w:val="es-GT"/>
        </w:rPr>
      </w:pPr>
      <w:r w:rsidRPr="001A01AB">
        <w:rPr>
          <w:rFonts w:ascii="Calibri" w:hAnsi="Calibri" w:cs="Calibri"/>
          <w:lang w:val="es-GT"/>
        </w:rPr>
        <w:t xml:space="preserve">En esta región, las reservas de maíz de las familias están relacionadas directamente con la cosecha y venta de mano de obra </w:t>
      </w:r>
      <w:r w:rsidR="00CE66A1">
        <w:rPr>
          <w:rFonts w:ascii="Calibri" w:hAnsi="Calibri" w:cs="Calibri"/>
          <w:lang w:val="es-GT"/>
        </w:rPr>
        <w:t>en</w:t>
      </w:r>
      <w:r w:rsidRPr="001A01AB">
        <w:rPr>
          <w:rFonts w:ascii="Calibri" w:hAnsi="Calibri" w:cs="Calibri"/>
          <w:lang w:val="es-GT"/>
        </w:rPr>
        <w:t xml:space="preserve"> actividades </w:t>
      </w:r>
      <w:r w:rsidR="00CE66A1">
        <w:rPr>
          <w:rFonts w:ascii="Calibri" w:hAnsi="Calibri" w:cs="Calibri"/>
          <w:lang w:val="es-GT"/>
        </w:rPr>
        <w:t>de</w:t>
      </w:r>
      <w:r w:rsidRPr="001A01AB">
        <w:rPr>
          <w:rFonts w:ascii="Calibri" w:hAnsi="Calibri" w:cs="Calibri"/>
          <w:lang w:val="es-GT"/>
        </w:rPr>
        <w:t xml:space="preserve"> corte de caña, café y otros cultivos como el melón. Posterior a una “cosecha normal”, las familias cuentan con reservas para autoalimentarse por un periodo de </w:t>
      </w:r>
      <w:r w:rsidR="00CE66A1">
        <w:rPr>
          <w:rFonts w:ascii="Calibri" w:hAnsi="Calibri" w:cs="Calibri"/>
          <w:lang w:val="es-GT"/>
        </w:rPr>
        <w:t>cuatro</w:t>
      </w:r>
      <w:r w:rsidRPr="001A01AB">
        <w:rPr>
          <w:rFonts w:ascii="Calibri" w:hAnsi="Calibri" w:cs="Calibri"/>
          <w:lang w:val="es-GT"/>
        </w:rPr>
        <w:t xml:space="preserve"> a </w:t>
      </w:r>
      <w:r w:rsidR="00CE66A1">
        <w:rPr>
          <w:rFonts w:ascii="Calibri" w:hAnsi="Calibri" w:cs="Calibri"/>
          <w:lang w:val="es-GT"/>
        </w:rPr>
        <w:t xml:space="preserve">seis </w:t>
      </w:r>
      <w:r w:rsidRPr="001A01AB">
        <w:rPr>
          <w:rFonts w:ascii="Calibri" w:hAnsi="Calibri" w:cs="Calibri"/>
          <w:lang w:val="es-GT"/>
        </w:rPr>
        <w:t xml:space="preserve">meses, </w:t>
      </w:r>
      <w:r w:rsidR="00CE66A1">
        <w:rPr>
          <w:rFonts w:ascii="Calibri" w:hAnsi="Calibri" w:cs="Calibri"/>
          <w:lang w:val="es-GT"/>
        </w:rPr>
        <w:t xml:space="preserve">como </w:t>
      </w:r>
      <w:r w:rsidRPr="001A01AB">
        <w:rPr>
          <w:rFonts w:ascii="Calibri" w:hAnsi="Calibri" w:cs="Calibri"/>
          <w:lang w:val="es-GT"/>
        </w:rPr>
        <w:t xml:space="preserve">sucedió en el año 2008, </w:t>
      </w:r>
      <w:r w:rsidR="00CE66A1">
        <w:rPr>
          <w:rFonts w:ascii="Calibri" w:hAnsi="Calibri" w:cs="Calibri"/>
          <w:lang w:val="es-GT"/>
        </w:rPr>
        <w:t xml:space="preserve">cuando </w:t>
      </w:r>
      <w:r w:rsidRPr="001A01AB">
        <w:rPr>
          <w:rFonts w:ascii="Calibri" w:hAnsi="Calibri" w:cs="Calibri"/>
          <w:lang w:val="es-GT"/>
        </w:rPr>
        <w:t xml:space="preserve">los agricultores obtuvieron una cosecha normal, la cual se agotó en la mayoría de </w:t>
      </w:r>
      <w:r w:rsidR="00CE66A1">
        <w:rPr>
          <w:rFonts w:ascii="Calibri" w:hAnsi="Calibri" w:cs="Calibri"/>
          <w:lang w:val="es-GT"/>
        </w:rPr>
        <w:t>los casos</w:t>
      </w:r>
      <w:r w:rsidRPr="001A01AB">
        <w:rPr>
          <w:rFonts w:ascii="Calibri" w:hAnsi="Calibri" w:cs="Calibri"/>
          <w:lang w:val="es-GT"/>
        </w:rPr>
        <w:t xml:space="preserve"> a partir del mes de junio de 2009 (FAO, 2011).</w:t>
      </w:r>
    </w:p>
    <w:p w:rsidR="008327B2" w:rsidRPr="001A01AB" w:rsidRDefault="008327B2" w:rsidP="00B556CF">
      <w:pPr>
        <w:autoSpaceDE w:val="0"/>
        <w:autoSpaceDN w:val="0"/>
        <w:adjustRightInd w:val="0"/>
        <w:ind w:left="1440"/>
        <w:jc w:val="both"/>
        <w:rPr>
          <w:rFonts w:ascii="Calibri" w:hAnsi="Calibri" w:cs="Calibri"/>
          <w:lang w:val="es-GT"/>
        </w:rPr>
      </w:pPr>
    </w:p>
    <w:p w:rsidR="008327B2" w:rsidRPr="001A01AB" w:rsidRDefault="008327B2" w:rsidP="00B556CF">
      <w:pPr>
        <w:autoSpaceDE w:val="0"/>
        <w:autoSpaceDN w:val="0"/>
        <w:adjustRightInd w:val="0"/>
        <w:ind w:left="720"/>
        <w:jc w:val="both"/>
        <w:rPr>
          <w:rFonts w:ascii="Calibri" w:hAnsi="Calibri" w:cs="Calibri"/>
          <w:lang w:val="es-GT"/>
        </w:rPr>
      </w:pPr>
      <w:r w:rsidRPr="001A01AB">
        <w:rPr>
          <w:rFonts w:ascii="Calibri" w:hAnsi="Calibri" w:cs="Calibri"/>
          <w:lang w:val="es-GT"/>
        </w:rPr>
        <w:t>Para el caso del frijol, las familias contaron con pequeñas reservas durante todo el año 2008, siendo en los meses de enero, febrero y marzo cuando más reserva tuvo</w:t>
      </w:r>
      <w:r w:rsidR="00CE66A1">
        <w:rPr>
          <w:rFonts w:ascii="Calibri" w:hAnsi="Calibri" w:cs="Calibri"/>
          <w:lang w:val="es-GT"/>
        </w:rPr>
        <w:t>, gracias</w:t>
      </w:r>
      <w:r w:rsidRPr="001A01AB">
        <w:rPr>
          <w:rFonts w:ascii="Calibri" w:hAnsi="Calibri" w:cs="Calibri"/>
          <w:lang w:val="es-GT"/>
        </w:rPr>
        <w:t xml:space="preserve"> a la cosecha de segunda realizada en diciembre y enero. En el año 2009</w:t>
      </w:r>
      <w:r w:rsidR="00CE66A1">
        <w:rPr>
          <w:rFonts w:ascii="Calibri" w:hAnsi="Calibri" w:cs="Calibri"/>
          <w:lang w:val="es-GT"/>
        </w:rPr>
        <w:t>,</w:t>
      </w:r>
      <w:r w:rsidRPr="001A01AB">
        <w:rPr>
          <w:rFonts w:ascii="Calibri" w:hAnsi="Calibri" w:cs="Calibri"/>
          <w:lang w:val="es-GT"/>
        </w:rPr>
        <w:t xml:space="preserve"> las reservas se agotaron a partir del mes de junio y desde esa fecha las familias no tuvieron frijo</w:t>
      </w:r>
      <w:r w:rsidR="00CE66A1">
        <w:rPr>
          <w:rFonts w:ascii="Calibri" w:hAnsi="Calibri" w:cs="Calibri"/>
          <w:lang w:val="es-GT"/>
        </w:rPr>
        <w:t>l negro para su consumo;</w:t>
      </w:r>
      <w:r w:rsidRPr="001A01AB">
        <w:rPr>
          <w:rFonts w:ascii="Calibri" w:hAnsi="Calibri" w:cs="Calibri"/>
          <w:lang w:val="es-GT"/>
        </w:rPr>
        <w:t xml:space="preserve"> fue hasta el mes de diciembre que cosecharon el ciclo de cultivo “de relevo”, que las familias incrementaron su reserva</w:t>
      </w:r>
      <w:r w:rsidR="00CE66A1" w:rsidRPr="00CE66A1">
        <w:rPr>
          <w:rFonts w:ascii="Calibri" w:hAnsi="Calibri" w:cs="Calibri"/>
          <w:lang w:val="es-GT"/>
        </w:rPr>
        <w:t xml:space="preserve"> </w:t>
      </w:r>
      <w:r w:rsidR="00CE66A1">
        <w:rPr>
          <w:rFonts w:ascii="Calibri" w:hAnsi="Calibri" w:cs="Calibri"/>
          <w:lang w:val="es-GT"/>
        </w:rPr>
        <w:t>al</w:t>
      </w:r>
      <w:r w:rsidR="00CE66A1" w:rsidRPr="001A01AB">
        <w:rPr>
          <w:rFonts w:ascii="Calibri" w:hAnsi="Calibri" w:cs="Calibri"/>
          <w:lang w:val="es-GT"/>
        </w:rPr>
        <w:t xml:space="preserve"> mínimo</w:t>
      </w:r>
      <w:r w:rsidRPr="001A01AB">
        <w:rPr>
          <w:rFonts w:ascii="Calibri" w:hAnsi="Calibri" w:cs="Calibri"/>
          <w:lang w:val="es-GT"/>
        </w:rPr>
        <w:t>.</w:t>
      </w:r>
    </w:p>
    <w:p w:rsidR="008327B2" w:rsidRPr="001A01AB" w:rsidRDefault="008327B2" w:rsidP="00FD7AE2">
      <w:pPr>
        <w:autoSpaceDE w:val="0"/>
        <w:autoSpaceDN w:val="0"/>
        <w:adjustRightInd w:val="0"/>
        <w:ind w:left="1440"/>
        <w:jc w:val="both"/>
        <w:rPr>
          <w:rFonts w:ascii="Calibri" w:hAnsi="Calibri" w:cs="Calibri"/>
          <w:lang w:val="es-GT"/>
        </w:rPr>
      </w:pPr>
    </w:p>
    <w:p w:rsidR="008327B2" w:rsidRPr="001A01AB" w:rsidRDefault="00CE66A1" w:rsidP="00B556CF">
      <w:pPr>
        <w:autoSpaceDE w:val="0"/>
        <w:autoSpaceDN w:val="0"/>
        <w:adjustRightInd w:val="0"/>
        <w:ind w:left="720"/>
        <w:jc w:val="both"/>
        <w:rPr>
          <w:rFonts w:ascii="Calibri" w:hAnsi="Calibri" w:cs="Calibri"/>
          <w:lang w:val="es-GT"/>
        </w:rPr>
      </w:pPr>
      <w:r>
        <w:rPr>
          <w:rFonts w:ascii="Calibri" w:hAnsi="Calibri" w:cs="Calibri"/>
          <w:lang w:val="es-GT"/>
        </w:rPr>
        <w:t>L</w:t>
      </w:r>
      <w:r w:rsidR="008327B2" w:rsidRPr="001A01AB">
        <w:rPr>
          <w:rFonts w:ascii="Calibri" w:hAnsi="Calibri" w:cs="Calibri"/>
          <w:lang w:val="es-GT"/>
        </w:rPr>
        <w:t>as familias pobr</w:t>
      </w:r>
      <w:r>
        <w:rPr>
          <w:rFonts w:ascii="Calibri" w:hAnsi="Calibri" w:cs="Calibri"/>
          <w:lang w:val="es-GT"/>
        </w:rPr>
        <w:t>es y extremadamente pobres del o</w:t>
      </w:r>
      <w:r w:rsidR="008327B2" w:rsidRPr="001A01AB">
        <w:rPr>
          <w:rFonts w:ascii="Calibri" w:hAnsi="Calibri" w:cs="Calibri"/>
          <w:lang w:val="es-GT"/>
        </w:rPr>
        <w:t>riente del país complementan su requerimiento anual de maíz y frijol comprándolo en sus comunidade</w:t>
      </w:r>
      <w:r w:rsidR="00952012">
        <w:rPr>
          <w:rFonts w:ascii="Calibri" w:hAnsi="Calibri" w:cs="Calibri"/>
          <w:lang w:val="es-GT"/>
        </w:rPr>
        <w:t>s o en los mercados municipales. P</w:t>
      </w:r>
      <w:r w:rsidR="008327B2" w:rsidRPr="001A01AB">
        <w:rPr>
          <w:rFonts w:ascii="Calibri" w:hAnsi="Calibri" w:cs="Calibri"/>
          <w:lang w:val="es-GT"/>
        </w:rPr>
        <w:t xml:space="preserve">ara obtener los recursos financieros venden su mano de obra </w:t>
      </w:r>
      <w:r w:rsidR="00952012" w:rsidRPr="001A01AB">
        <w:rPr>
          <w:rFonts w:ascii="Calibri" w:hAnsi="Calibri" w:cs="Calibri"/>
          <w:lang w:val="es-GT"/>
        </w:rPr>
        <w:t>especialmente</w:t>
      </w:r>
      <w:r w:rsidR="008327B2" w:rsidRPr="001A01AB">
        <w:rPr>
          <w:rFonts w:ascii="Calibri" w:hAnsi="Calibri" w:cs="Calibri"/>
          <w:lang w:val="es-GT"/>
        </w:rPr>
        <w:t xml:space="preserve"> durante los meses de octubre a marzo, para </w:t>
      </w:r>
      <w:r w:rsidR="00952012">
        <w:rPr>
          <w:rFonts w:ascii="Calibri" w:hAnsi="Calibri" w:cs="Calibri"/>
          <w:lang w:val="es-GT"/>
        </w:rPr>
        <w:t>lo cual migran para</w:t>
      </w:r>
      <w:r w:rsidR="008327B2" w:rsidRPr="001A01AB">
        <w:rPr>
          <w:rFonts w:ascii="Calibri" w:hAnsi="Calibri" w:cs="Calibri"/>
          <w:lang w:val="es-GT"/>
        </w:rPr>
        <w:t xml:space="preserve"> trabajar principalmente en el corte de caña de azúcar y de café (FAO, 2011).</w:t>
      </w:r>
    </w:p>
    <w:p w:rsidR="008327B2" w:rsidRPr="001A01AB" w:rsidRDefault="008327B2" w:rsidP="008327B2">
      <w:pPr>
        <w:autoSpaceDE w:val="0"/>
        <w:autoSpaceDN w:val="0"/>
        <w:adjustRightInd w:val="0"/>
        <w:jc w:val="both"/>
        <w:rPr>
          <w:rFonts w:ascii="Calibri" w:hAnsi="Calibri" w:cs="Calibri"/>
          <w:lang w:val="es-GT"/>
        </w:rPr>
      </w:pPr>
    </w:p>
    <w:p w:rsidR="001E2CDD" w:rsidRPr="001E2CDD" w:rsidRDefault="001E2CDD" w:rsidP="00FD7AE2">
      <w:pPr>
        <w:pStyle w:val="Prrafodelista"/>
        <w:numPr>
          <w:ilvl w:val="0"/>
          <w:numId w:val="77"/>
        </w:numPr>
        <w:autoSpaceDE w:val="0"/>
        <w:autoSpaceDN w:val="0"/>
        <w:adjustRightInd w:val="0"/>
        <w:jc w:val="both"/>
        <w:rPr>
          <w:rFonts w:cs="Calibri"/>
          <w:sz w:val="24"/>
          <w:szCs w:val="24"/>
          <w:lang w:val="es-MX"/>
        </w:rPr>
      </w:pPr>
      <w:r w:rsidRPr="001E2CDD">
        <w:rPr>
          <w:rFonts w:cs="Calibri"/>
          <w:sz w:val="24"/>
          <w:szCs w:val="24"/>
          <w:lang w:val="es-MX"/>
        </w:rPr>
        <w:t>Región occidente</w:t>
      </w:r>
    </w:p>
    <w:p w:rsidR="008327B2" w:rsidRPr="001A01AB" w:rsidRDefault="00952012" w:rsidP="001E2CDD">
      <w:pPr>
        <w:autoSpaceDE w:val="0"/>
        <w:autoSpaceDN w:val="0"/>
        <w:adjustRightInd w:val="0"/>
        <w:ind w:left="720"/>
        <w:jc w:val="both"/>
        <w:rPr>
          <w:rFonts w:ascii="Calibri" w:hAnsi="Calibri" w:cs="Calibri"/>
          <w:lang w:val="es-MX"/>
        </w:rPr>
      </w:pPr>
      <w:r>
        <w:rPr>
          <w:rFonts w:ascii="Calibri" w:hAnsi="Calibri" w:cs="Calibri"/>
          <w:lang w:val="es-MX"/>
        </w:rPr>
        <w:t>La región de o</w:t>
      </w:r>
      <w:r w:rsidR="008327B2" w:rsidRPr="001A01AB">
        <w:rPr>
          <w:rFonts w:ascii="Calibri" w:hAnsi="Calibri" w:cs="Calibri"/>
          <w:lang w:val="es-MX"/>
        </w:rPr>
        <w:t xml:space="preserve">ccidente </w:t>
      </w:r>
      <w:r>
        <w:rPr>
          <w:rFonts w:ascii="Calibri" w:hAnsi="Calibri" w:cs="Calibri"/>
          <w:lang w:val="es-MX"/>
        </w:rPr>
        <w:t>está conformada por</w:t>
      </w:r>
      <w:r w:rsidR="008327B2" w:rsidRPr="001A01AB">
        <w:rPr>
          <w:rFonts w:ascii="Calibri" w:hAnsi="Calibri" w:cs="Calibri"/>
          <w:lang w:val="es-MX"/>
        </w:rPr>
        <w:t xml:space="preserve"> los departamentos de Guatemala, Sacatepéquez, Chimaltenango, Sololá, Quiché, Chimaltenango, Totonicapán, Quetzaltenango, San Marcos y Huehuetenango. La mayoría de los sistemas de producción </w:t>
      </w:r>
      <w:r>
        <w:rPr>
          <w:rFonts w:ascii="Calibri" w:hAnsi="Calibri" w:cs="Calibri"/>
          <w:lang w:val="es-MX"/>
        </w:rPr>
        <w:t>corresponde al cultivo de</w:t>
      </w:r>
      <w:r w:rsidR="008327B2" w:rsidRPr="001A01AB">
        <w:rPr>
          <w:rFonts w:ascii="Calibri" w:hAnsi="Calibri" w:cs="Calibri"/>
          <w:lang w:val="es-MX"/>
        </w:rPr>
        <w:t xml:space="preserve"> maíz, </w:t>
      </w:r>
      <w:r>
        <w:rPr>
          <w:rFonts w:ascii="Calibri" w:hAnsi="Calibri" w:cs="Calibri"/>
          <w:lang w:val="es-MX"/>
        </w:rPr>
        <w:t>el cual está relacionado con</w:t>
      </w:r>
      <w:r w:rsidR="008327B2" w:rsidRPr="001A01AB">
        <w:rPr>
          <w:rFonts w:ascii="Calibri" w:hAnsi="Calibri" w:cs="Calibri"/>
          <w:lang w:val="es-MX"/>
        </w:rPr>
        <w:t xml:space="preserve"> </w:t>
      </w:r>
      <w:r>
        <w:rPr>
          <w:rFonts w:ascii="Calibri" w:hAnsi="Calibri" w:cs="Calibri"/>
          <w:lang w:val="es-MX"/>
        </w:rPr>
        <w:t xml:space="preserve">otros cultivos como: </w:t>
      </w:r>
      <w:r w:rsidR="008327B2" w:rsidRPr="001A01AB">
        <w:rPr>
          <w:rFonts w:ascii="Calibri" w:hAnsi="Calibri" w:cs="Calibri"/>
          <w:lang w:val="es-MX"/>
        </w:rPr>
        <w:t xml:space="preserve">frijol, haba y </w:t>
      </w:r>
      <w:r>
        <w:rPr>
          <w:rFonts w:ascii="Calibri" w:hAnsi="Calibri" w:cs="Calibri"/>
          <w:lang w:val="es-MX"/>
        </w:rPr>
        <w:t>otros de</w:t>
      </w:r>
      <w:r w:rsidR="008327B2" w:rsidRPr="001A01AB">
        <w:rPr>
          <w:rFonts w:ascii="Calibri" w:hAnsi="Calibri" w:cs="Calibri"/>
          <w:lang w:val="es-MX"/>
        </w:rPr>
        <w:t xml:space="preserve"> importancia económica para la generación de ingresos, </w:t>
      </w:r>
      <w:r>
        <w:rPr>
          <w:rFonts w:ascii="Calibri" w:hAnsi="Calibri" w:cs="Calibri"/>
          <w:lang w:val="es-MX"/>
        </w:rPr>
        <w:t>como papa, tomate y arveja.</w:t>
      </w:r>
    </w:p>
    <w:p w:rsidR="008327B2" w:rsidRPr="001A01AB" w:rsidRDefault="008327B2" w:rsidP="001E2CDD">
      <w:pPr>
        <w:autoSpaceDE w:val="0"/>
        <w:autoSpaceDN w:val="0"/>
        <w:adjustRightInd w:val="0"/>
        <w:ind w:left="720"/>
        <w:jc w:val="both"/>
        <w:rPr>
          <w:rFonts w:ascii="Calibri" w:hAnsi="Calibri" w:cs="Calibri"/>
          <w:lang w:val="es-MX"/>
        </w:rPr>
      </w:pPr>
    </w:p>
    <w:p w:rsidR="00952012" w:rsidRDefault="008327B2" w:rsidP="001E2CDD">
      <w:pPr>
        <w:autoSpaceDE w:val="0"/>
        <w:autoSpaceDN w:val="0"/>
        <w:adjustRightInd w:val="0"/>
        <w:ind w:left="720"/>
        <w:jc w:val="both"/>
        <w:rPr>
          <w:rFonts w:ascii="Calibri" w:hAnsi="Calibri" w:cs="Calibri"/>
          <w:lang w:val="es-MX"/>
        </w:rPr>
      </w:pPr>
      <w:r w:rsidRPr="001A01AB">
        <w:rPr>
          <w:rFonts w:ascii="Calibri" w:hAnsi="Calibri" w:cs="Calibri"/>
          <w:lang w:val="es-MX"/>
        </w:rPr>
        <w:t xml:space="preserve">En la región se observa un marcado minifundio, producción para el autoconsumo, uso de áreas marginales, agricultores de bajos recursos económicos, altas tasas de migración, </w:t>
      </w:r>
      <w:r w:rsidR="00952012">
        <w:rPr>
          <w:rFonts w:ascii="Calibri" w:hAnsi="Calibri" w:cs="Calibri"/>
          <w:lang w:val="es-MX"/>
        </w:rPr>
        <w:t xml:space="preserve">y </w:t>
      </w:r>
      <w:r w:rsidRPr="001A01AB">
        <w:rPr>
          <w:rFonts w:ascii="Calibri" w:hAnsi="Calibri" w:cs="Calibri"/>
          <w:lang w:val="es-MX"/>
        </w:rPr>
        <w:t>baja producción y product</w:t>
      </w:r>
      <w:r w:rsidR="00952012">
        <w:rPr>
          <w:rFonts w:ascii="Calibri" w:hAnsi="Calibri" w:cs="Calibri"/>
          <w:lang w:val="es-MX"/>
        </w:rPr>
        <w:t>ividad (&lt;1tm/ha). T</w:t>
      </w:r>
      <w:r w:rsidRPr="001A01AB">
        <w:rPr>
          <w:rFonts w:ascii="Calibri" w:hAnsi="Calibri" w:cs="Calibri"/>
          <w:lang w:val="es-MX"/>
        </w:rPr>
        <w:t xml:space="preserve">odos estos factores limitantes tipifican a una agricultura de subsistencia y de frontera agrícola. </w:t>
      </w:r>
    </w:p>
    <w:p w:rsidR="00952012" w:rsidRDefault="00952012" w:rsidP="001E2CDD">
      <w:pPr>
        <w:autoSpaceDE w:val="0"/>
        <w:autoSpaceDN w:val="0"/>
        <w:adjustRightInd w:val="0"/>
        <w:ind w:left="720"/>
        <w:jc w:val="both"/>
        <w:rPr>
          <w:rFonts w:ascii="Calibri" w:hAnsi="Calibri" w:cs="Calibri"/>
          <w:lang w:val="es-MX"/>
        </w:rPr>
      </w:pPr>
    </w:p>
    <w:p w:rsidR="008327B2" w:rsidRPr="001A01AB" w:rsidRDefault="00952012" w:rsidP="001E2CDD">
      <w:pPr>
        <w:autoSpaceDE w:val="0"/>
        <w:autoSpaceDN w:val="0"/>
        <w:adjustRightInd w:val="0"/>
        <w:ind w:left="720"/>
        <w:jc w:val="both"/>
        <w:rPr>
          <w:rFonts w:ascii="Calibri" w:hAnsi="Calibri" w:cs="Calibri"/>
          <w:lang w:val="es-MX"/>
        </w:rPr>
      </w:pPr>
      <w:r>
        <w:rPr>
          <w:rFonts w:ascii="Calibri" w:hAnsi="Calibri" w:cs="Calibri"/>
          <w:lang w:val="es-MX"/>
        </w:rPr>
        <w:t>En su mayoría, l</w:t>
      </w:r>
      <w:r w:rsidR="008327B2" w:rsidRPr="001A01AB">
        <w:rPr>
          <w:rFonts w:ascii="Calibri" w:hAnsi="Calibri" w:cs="Calibri"/>
          <w:lang w:val="es-MX"/>
        </w:rPr>
        <w:t>os agricultores utilizan germoplasma nativo o denominado criollo, el cual es muy diverso en características agronómicas tales como madurez, color</w:t>
      </w:r>
      <w:r>
        <w:rPr>
          <w:rFonts w:ascii="Calibri" w:hAnsi="Calibri" w:cs="Calibri"/>
          <w:lang w:val="es-MX"/>
        </w:rPr>
        <w:t xml:space="preserve"> y</w:t>
      </w:r>
      <w:r w:rsidR="008327B2" w:rsidRPr="001A01AB">
        <w:rPr>
          <w:rFonts w:ascii="Calibri" w:hAnsi="Calibri" w:cs="Calibri"/>
          <w:lang w:val="es-MX"/>
        </w:rPr>
        <w:t xml:space="preserve"> textura</w:t>
      </w:r>
      <w:r>
        <w:rPr>
          <w:rFonts w:ascii="Calibri" w:hAnsi="Calibri" w:cs="Calibri"/>
          <w:lang w:val="es-MX"/>
        </w:rPr>
        <w:t>,</w:t>
      </w:r>
      <w:r w:rsidR="008327B2" w:rsidRPr="001A01AB">
        <w:rPr>
          <w:rFonts w:ascii="Calibri" w:hAnsi="Calibri" w:cs="Calibri"/>
          <w:lang w:val="es-MX"/>
        </w:rPr>
        <w:t xml:space="preserve"> y presentan a la vez</w:t>
      </w:r>
      <w:r>
        <w:rPr>
          <w:rFonts w:ascii="Calibri" w:hAnsi="Calibri" w:cs="Calibri"/>
          <w:lang w:val="es-MX"/>
        </w:rPr>
        <w:t>,</w:t>
      </w:r>
      <w:r w:rsidR="008327B2" w:rsidRPr="001A01AB">
        <w:rPr>
          <w:rFonts w:ascii="Calibri" w:hAnsi="Calibri" w:cs="Calibri"/>
          <w:lang w:val="es-MX"/>
        </w:rPr>
        <w:t xml:space="preserve"> atributos especiales d</w:t>
      </w:r>
      <w:r>
        <w:rPr>
          <w:rFonts w:ascii="Calibri" w:hAnsi="Calibri" w:cs="Calibri"/>
          <w:lang w:val="es-MX"/>
        </w:rPr>
        <w:t>e interés para los agricultores. E</w:t>
      </w:r>
      <w:r w:rsidR="008327B2" w:rsidRPr="001A01AB">
        <w:rPr>
          <w:rFonts w:ascii="Calibri" w:hAnsi="Calibri" w:cs="Calibri"/>
          <w:lang w:val="es-MX"/>
        </w:rPr>
        <w:t>n esta región se obtiene un ciclo de producción de maíz y de frijol por año.</w:t>
      </w:r>
      <w:r w:rsidR="00141A70">
        <w:rPr>
          <w:rFonts w:ascii="Calibri" w:hAnsi="Calibri" w:cs="Calibri"/>
          <w:lang w:val="es-MX"/>
        </w:rPr>
        <w:t xml:space="preserve"> </w:t>
      </w:r>
      <w:r>
        <w:rPr>
          <w:rFonts w:ascii="Calibri" w:hAnsi="Calibri" w:cs="Calibri"/>
          <w:lang w:val="es-MX"/>
        </w:rPr>
        <w:t xml:space="preserve">La Figura 41 </w:t>
      </w:r>
      <w:r w:rsidR="008327B2" w:rsidRPr="001A01AB">
        <w:rPr>
          <w:rFonts w:ascii="Calibri" w:hAnsi="Calibri" w:cs="Calibri"/>
          <w:lang w:val="es-MX"/>
        </w:rPr>
        <w:t xml:space="preserve">presenta las tendencias históricas que han tenido estos cultivos desde el 2008 </w:t>
      </w:r>
      <w:r w:rsidR="008327B2" w:rsidRPr="001A01AB">
        <w:rPr>
          <w:rFonts w:ascii="Calibri" w:hAnsi="Calibri" w:cs="Calibri"/>
          <w:lang w:val="es-GT"/>
        </w:rPr>
        <w:t>(FAO, 2011).</w:t>
      </w:r>
    </w:p>
    <w:p w:rsidR="008327B2" w:rsidRPr="001A01AB" w:rsidRDefault="008327B2" w:rsidP="008327B2">
      <w:pPr>
        <w:autoSpaceDE w:val="0"/>
        <w:autoSpaceDN w:val="0"/>
        <w:adjustRightInd w:val="0"/>
        <w:jc w:val="both"/>
        <w:rPr>
          <w:rFonts w:ascii="Calibri" w:hAnsi="Calibri" w:cs="Calibri"/>
          <w:lang w:val="es-MX"/>
        </w:rPr>
      </w:pPr>
    </w:p>
    <w:p w:rsidR="00B556CF" w:rsidRPr="001A01AB" w:rsidRDefault="00B556CF" w:rsidP="00B556CF">
      <w:pPr>
        <w:autoSpaceDE w:val="0"/>
        <w:autoSpaceDN w:val="0"/>
        <w:adjustRightInd w:val="0"/>
        <w:ind w:left="720"/>
        <w:jc w:val="both"/>
        <w:rPr>
          <w:rFonts w:ascii="Calibri" w:hAnsi="Calibri" w:cs="Calibri"/>
          <w:lang w:val="es-GT"/>
        </w:rPr>
      </w:pPr>
      <w:bookmarkStart w:id="361" w:name="_Toc340034509"/>
      <w:bookmarkStart w:id="362" w:name="_Toc343098423"/>
      <w:bookmarkStart w:id="363" w:name="_Toc343098531"/>
      <w:r>
        <w:rPr>
          <w:rFonts w:ascii="Calibri" w:hAnsi="Calibri" w:cs="Calibri"/>
          <w:lang w:val="es-MX"/>
        </w:rPr>
        <w:t xml:space="preserve">Durante el </w:t>
      </w:r>
      <w:r w:rsidRPr="001A01AB">
        <w:rPr>
          <w:rFonts w:ascii="Calibri" w:hAnsi="Calibri" w:cs="Calibri"/>
          <w:lang w:val="es-MX"/>
        </w:rPr>
        <w:t>2010</w:t>
      </w:r>
      <w:r>
        <w:rPr>
          <w:rFonts w:ascii="Calibri" w:hAnsi="Calibri" w:cs="Calibri"/>
          <w:lang w:val="es-MX"/>
        </w:rPr>
        <w:t>, las familias de la región o</w:t>
      </w:r>
      <w:r w:rsidRPr="001A01AB">
        <w:rPr>
          <w:rFonts w:ascii="Calibri" w:hAnsi="Calibri" w:cs="Calibri"/>
          <w:lang w:val="es-MX"/>
        </w:rPr>
        <w:t xml:space="preserve">ccidente contaron con reservas mínimas de maíz hasta el mes de junio, </w:t>
      </w:r>
      <w:r>
        <w:rPr>
          <w:rFonts w:ascii="Calibri" w:hAnsi="Calibri" w:cs="Calibri"/>
          <w:lang w:val="es-MX"/>
        </w:rPr>
        <w:t xml:space="preserve">agotándose de </w:t>
      </w:r>
      <w:r w:rsidRPr="001A01AB">
        <w:rPr>
          <w:rFonts w:ascii="Calibri" w:hAnsi="Calibri" w:cs="Calibri"/>
          <w:lang w:val="es-MX"/>
        </w:rPr>
        <w:t xml:space="preserve">julio </w:t>
      </w:r>
      <w:r>
        <w:rPr>
          <w:rFonts w:ascii="Calibri" w:hAnsi="Calibri" w:cs="Calibri"/>
          <w:lang w:val="es-MX"/>
        </w:rPr>
        <w:t>a</w:t>
      </w:r>
      <w:r w:rsidRPr="001A01AB">
        <w:rPr>
          <w:rFonts w:ascii="Calibri" w:hAnsi="Calibri" w:cs="Calibri"/>
          <w:lang w:val="es-MX"/>
        </w:rPr>
        <w:t xml:space="preserve"> octubre</w:t>
      </w:r>
      <w:r>
        <w:rPr>
          <w:rFonts w:ascii="Calibri" w:hAnsi="Calibri" w:cs="Calibri"/>
          <w:lang w:val="es-MX"/>
        </w:rPr>
        <w:t xml:space="preserve"> (la misma tendencia se presentó en el año 2009). P</w:t>
      </w:r>
      <w:r w:rsidRPr="001A01AB">
        <w:rPr>
          <w:rFonts w:ascii="Calibri" w:hAnsi="Calibri" w:cs="Calibri"/>
          <w:lang w:val="es-MX"/>
        </w:rPr>
        <w:t xml:space="preserve">ara abastecerse del grano vendieron </w:t>
      </w:r>
      <w:r>
        <w:rPr>
          <w:rFonts w:ascii="Calibri" w:hAnsi="Calibri" w:cs="Calibri"/>
          <w:lang w:val="es-MX"/>
        </w:rPr>
        <w:t xml:space="preserve">su </w:t>
      </w:r>
      <w:r w:rsidRPr="001A01AB">
        <w:rPr>
          <w:rFonts w:ascii="Calibri" w:hAnsi="Calibri" w:cs="Calibri"/>
          <w:lang w:val="es-MX"/>
        </w:rPr>
        <w:t>mano de obra en s</w:t>
      </w:r>
      <w:r>
        <w:rPr>
          <w:rFonts w:ascii="Calibri" w:hAnsi="Calibri" w:cs="Calibri"/>
          <w:lang w:val="es-MX"/>
        </w:rPr>
        <w:t>us comunidades de origen o</w:t>
      </w:r>
      <w:r w:rsidRPr="001A01AB">
        <w:rPr>
          <w:rFonts w:ascii="Calibri" w:hAnsi="Calibri" w:cs="Calibri"/>
          <w:lang w:val="es-MX"/>
        </w:rPr>
        <w:t xml:space="preserve"> </w:t>
      </w:r>
      <w:r>
        <w:rPr>
          <w:rFonts w:ascii="Calibri" w:hAnsi="Calibri" w:cs="Calibri"/>
          <w:lang w:val="es-MX"/>
        </w:rPr>
        <w:t xml:space="preserve">vecinas, </w:t>
      </w:r>
      <w:r w:rsidRPr="001A01AB">
        <w:rPr>
          <w:rFonts w:ascii="Calibri" w:hAnsi="Calibri" w:cs="Calibri"/>
          <w:lang w:val="es-MX"/>
        </w:rPr>
        <w:t xml:space="preserve">o migraron a trabajar a la costa sur, </w:t>
      </w:r>
      <w:r>
        <w:rPr>
          <w:rFonts w:ascii="Calibri" w:hAnsi="Calibri" w:cs="Calibri"/>
          <w:lang w:val="es-MX"/>
        </w:rPr>
        <w:t xml:space="preserve">la </w:t>
      </w:r>
      <w:r w:rsidRPr="001A01AB">
        <w:rPr>
          <w:rFonts w:ascii="Calibri" w:hAnsi="Calibri" w:cs="Calibri"/>
          <w:lang w:val="es-MX"/>
        </w:rPr>
        <w:t xml:space="preserve">ciudad capital, y pueblos fronterizos que pertenecen a México </w:t>
      </w:r>
      <w:r w:rsidRPr="001A01AB">
        <w:rPr>
          <w:rFonts w:ascii="Calibri" w:hAnsi="Calibri" w:cs="Calibri"/>
          <w:lang w:val="es-GT"/>
        </w:rPr>
        <w:t>(FAO, 2011).</w:t>
      </w:r>
    </w:p>
    <w:p w:rsidR="00B556CF" w:rsidRPr="001A01AB" w:rsidRDefault="00B556CF" w:rsidP="00B556CF">
      <w:pPr>
        <w:autoSpaceDE w:val="0"/>
        <w:autoSpaceDN w:val="0"/>
        <w:adjustRightInd w:val="0"/>
        <w:ind w:left="720"/>
        <w:jc w:val="both"/>
        <w:rPr>
          <w:rFonts w:ascii="Calibri" w:hAnsi="Calibri" w:cs="Calibri"/>
          <w:lang w:val="es-MX"/>
        </w:rPr>
      </w:pPr>
    </w:p>
    <w:p w:rsidR="00B556CF" w:rsidRPr="001A01AB" w:rsidRDefault="00B556CF" w:rsidP="00B556CF">
      <w:pPr>
        <w:autoSpaceDE w:val="0"/>
        <w:autoSpaceDN w:val="0"/>
        <w:adjustRightInd w:val="0"/>
        <w:ind w:left="720"/>
        <w:jc w:val="both"/>
        <w:rPr>
          <w:rFonts w:ascii="Calibri" w:hAnsi="Calibri" w:cs="Calibri"/>
          <w:lang w:val="es-GT"/>
        </w:rPr>
      </w:pPr>
      <w:r>
        <w:rPr>
          <w:rFonts w:ascii="Calibri" w:hAnsi="Calibri" w:cs="Calibri"/>
          <w:lang w:val="es-MX"/>
        </w:rPr>
        <w:t>En</w:t>
      </w:r>
      <w:r w:rsidRPr="001A01AB">
        <w:rPr>
          <w:rFonts w:ascii="Calibri" w:hAnsi="Calibri" w:cs="Calibri"/>
          <w:lang w:val="es-MX"/>
        </w:rPr>
        <w:t xml:space="preserve"> el caso del frijol la situación fue casi la misma, </w:t>
      </w:r>
      <w:r>
        <w:rPr>
          <w:rFonts w:ascii="Calibri" w:hAnsi="Calibri" w:cs="Calibri"/>
          <w:lang w:val="es-MX"/>
        </w:rPr>
        <w:t xml:space="preserve">pues </w:t>
      </w:r>
      <w:r w:rsidRPr="001A01AB">
        <w:rPr>
          <w:rFonts w:ascii="Calibri" w:hAnsi="Calibri" w:cs="Calibri"/>
          <w:lang w:val="es-MX"/>
        </w:rPr>
        <w:t>par</w:t>
      </w:r>
      <w:r>
        <w:rPr>
          <w:rFonts w:ascii="Calibri" w:hAnsi="Calibri" w:cs="Calibri"/>
          <w:lang w:val="es-MX"/>
        </w:rPr>
        <w:t>a el 2008 las familias del o</w:t>
      </w:r>
      <w:r w:rsidRPr="001A01AB">
        <w:rPr>
          <w:rFonts w:ascii="Calibri" w:hAnsi="Calibri" w:cs="Calibri"/>
          <w:lang w:val="es-MX"/>
        </w:rPr>
        <w:t xml:space="preserve">ccidente del país contaron con reservas mínimas de frijol, lo cual les permitió contar con este grano para el consumo durante todo el año. </w:t>
      </w:r>
      <w:r>
        <w:rPr>
          <w:rFonts w:ascii="Calibri" w:hAnsi="Calibri" w:cs="Calibri"/>
          <w:lang w:val="es-MX"/>
        </w:rPr>
        <w:t>Sin embargo, en</w:t>
      </w:r>
      <w:r w:rsidRPr="001A01AB">
        <w:rPr>
          <w:rFonts w:ascii="Calibri" w:hAnsi="Calibri" w:cs="Calibri"/>
          <w:lang w:val="es-MX"/>
        </w:rPr>
        <w:t xml:space="preserve"> el 2009 la situación fue diferente, las familias se quedaron sin reservas a partir del mes de junio, llegando a contar nuevamente con este grano</w:t>
      </w:r>
      <w:r>
        <w:rPr>
          <w:rFonts w:ascii="Calibri" w:hAnsi="Calibri" w:cs="Calibri"/>
          <w:lang w:val="es-MX"/>
        </w:rPr>
        <w:t xml:space="preserve"> a finales del mes de diciembre;</w:t>
      </w:r>
      <w:r w:rsidRPr="001A01AB">
        <w:rPr>
          <w:rFonts w:ascii="Calibri" w:hAnsi="Calibri" w:cs="Calibri"/>
          <w:lang w:val="es-MX"/>
        </w:rPr>
        <w:t xml:space="preserve"> esto debido a que iniciaron la cosecha en sus parcelas, sin embargo esta reserva fue mínima</w:t>
      </w:r>
      <w:r>
        <w:rPr>
          <w:rFonts w:ascii="Calibri" w:hAnsi="Calibri" w:cs="Calibri"/>
          <w:lang w:val="es-MX"/>
        </w:rPr>
        <w:t>,</w:t>
      </w:r>
      <w:r w:rsidRPr="001A01AB">
        <w:rPr>
          <w:rFonts w:ascii="Calibri" w:hAnsi="Calibri" w:cs="Calibri"/>
          <w:lang w:val="es-MX"/>
        </w:rPr>
        <w:t xml:space="preserve"> ya que solo les alcanzó para el mes de enero del 2010 </w:t>
      </w:r>
      <w:r w:rsidRPr="001A01AB">
        <w:rPr>
          <w:rFonts w:ascii="Calibri" w:hAnsi="Calibri" w:cs="Calibri"/>
          <w:lang w:val="es-GT"/>
        </w:rPr>
        <w:t>(FAO, 2011).</w:t>
      </w:r>
    </w:p>
    <w:p w:rsidR="00B556CF" w:rsidRDefault="00B556CF" w:rsidP="008327B2">
      <w:pPr>
        <w:spacing w:after="120"/>
        <w:jc w:val="center"/>
        <w:rPr>
          <w:rFonts w:ascii="Calibri" w:eastAsia="Calibri" w:hAnsi="Calibri" w:cs="Calibri"/>
          <w:b/>
          <w:color w:val="365F91"/>
          <w:sz w:val="22"/>
          <w:szCs w:val="22"/>
          <w:lang w:val="es-GT"/>
        </w:rPr>
      </w:pPr>
    </w:p>
    <w:p w:rsidR="00B556CF" w:rsidRDefault="00B556CF" w:rsidP="008327B2">
      <w:pPr>
        <w:spacing w:after="120"/>
        <w:jc w:val="center"/>
        <w:rPr>
          <w:rFonts w:ascii="Calibri" w:eastAsia="Calibri" w:hAnsi="Calibri" w:cs="Calibri"/>
          <w:b/>
          <w:color w:val="365F91"/>
          <w:sz w:val="22"/>
          <w:szCs w:val="22"/>
          <w:lang w:val="es-GT"/>
        </w:rPr>
      </w:pPr>
    </w:p>
    <w:p w:rsidR="00B556CF" w:rsidRDefault="00B556CF" w:rsidP="008327B2">
      <w:pPr>
        <w:spacing w:after="120"/>
        <w:jc w:val="center"/>
        <w:rPr>
          <w:rFonts w:ascii="Calibri" w:eastAsia="Calibri" w:hAnsi="Calibri" w:cs="Calibri"/>
          <w:b/>
          <w:color w:val="365F91"/>
          <w:sz w:val="22"/>
          <w:szCs w:val="22"/>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364" w:name="_Toc347841264"/>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41</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Reservas</w:t>
      </w:r>
      <w:r w:rsidR="00CE66A1" w:rsidRPr="00224B57">
        <w:rPr>
          <w:rFonts w:ascii="Calibri" w:eastAsia="Calibri" w:hAnsi="Calibri" w:cs="Calibri"/>
          <w:b/>
          <w:color w:val="365F91"/>
          <w:sz w:val="22"/>
          <w:szCs w:val="22"/>
          <w:lang w:val="es-GT"/>
        </w:rPr>
        <w:t xml:space="preserve"> de maíz y frijol en la región o</w:t>
      </w:r>
      <w:r w:rsidRPr="00224B57">
        <w:rPr>
          <w:rFonts w:ascii="Calibri" w:eastAsia="Calibri" w:hAnsi="Calibri" w:cs="Calibri"/>
          <w:b/>
          <w:color w:val="365F91"/>
          <w:sz w:val="22"/>
          <w:szCs w:val="22"/>
          <w:lang w:val="es-GT"/>
        </w:rPr>
        <w:t>ccidente</w:t>
      </w:r>
      <w:r w:rsidR="00952012" w:rsidRPr="00224B57">
        <w:rPr>
          <w:rFonts w:ascii="Calibri" w:eastAsia="Calibri" w:hAnsi="Calibri" w:cs="Calibri"/>
          <w:b/>
          <w:color w:val="365F91"/>
          <w:sz w:val="22"/>
          <w:szCs w:val="22"/>
          <w:lang w:val="es-GT"/>
        </w:rPr>
        <w:t>. Periodo 2008-</w:t>
      </w:r>
      <w:r w:rsidRPr="00224B57">
        <w:rPr>
          <w:rFonts w:ascii="Calibri" w:eastAsia="Calibri" w:hAnsi="Calibri" w:cs="Calibri"/>
          <w:b/>
          <w:color w:val="365F91"/>
          <w:sz w:val="22"/>
          <w:szCs w:val="22"/>
          <w:lang w:val="es-GT"/>
        </w:rPr>
        <w:t>2010</w:t>
      </w:r>
      <w:bookmarkEnd w:id="361"/>
      <w:bookmarkEnd w:id="362"/>
      <w:bookmarkEnd w:id="363"/>
      <w:bookmarkEnd w:id="364"/>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6"/>
      </w:tblGrid>
      <w:tr w:rsidR="008327B2" w:rsidRPr="00983ED4" w:rsidTr="008327B2">
        <w:tc>
          <w:tcPr>
            <w:tcW w:w="8616" w:type="dxa"/>
            <w:vAlign w:val="center"/>
          </w:tcPr>
          <w:p w:rsidR="008327B2" w:rsidRPr="001A01AB" w:rsidRDefault="00544A9F" w:rsidP="008327B2">
            <w:pPr>
              <w:autoSpaceDE w:val="0"/>
              <w:autoSpaceDN w:val="0"/>
              <w:adjustRightInd w:val="0"/>
              <w:jc w:val="both"/>
              <w:rPr>
                <w:rFonts w:ascii="Calibri" w:hAnsi="Calibri" w:cs="Calibri"/>
                <w:lang w:val="es-MX"/>
              </w:rPr>
            </w:pPr>
            <w:r>
              <w:rPr>
                <w:rFonts w:ascii="Calibri" w:hAnsi="Calibri" w:cs="Calibri"/>
                <w:noProof/>
                <w:lang w:val="es-GT" w:eastAsia="es-GT"/>
              </w:rPr>
              <w:drawing>
                <wp:inline distT="0" distB="0" distL="0" distR="0" wp14:anchorId="6F015FCE" wp14:editId="22C544E5">
                  <wp:extent cx="5305425" cy="1666875"/>
                  <wp:effectExtent l="0" t="0" r="9525" b="9525"/>
                  <wp:docPr id="2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t="7068"/>
                          <a:stretch>
                            <a:fillRect/>
                          </a:stretch>
                        </pic:blipFill>
                        <pic:spPr bwMode="auto">
                          <a:xfrm>
                            <a:off x="0" y="0"/>
                            <a:ext cx="5305425" cy="1666875"/>
                          </a:xfrm>
                          <a:prstGeom prst="rect">
                            <a:avLst/>
                          </a:prstGeom>
                          <a:noFill/>
                          <a:ln>
                            <a:noFill/>
                          </a:ln>
                        </pic:spPr>
                      </pic:pic>
                    </a:graphicData>
                  </a:graphic>
                </wp:inline>
              </w:drawing>
            </w:r>
          </w:p>
        </w:tc>
      </w:tr>
      <w:tr w:rsidR="008327B2" w:rsidRPr="00983ED4" w:rsidTr="008327B2">
        <w:tc>
          <w:tcPr>
            <w:tcW w:w="8616" w:type="dxa"/>
            <w:vAlign w:val="center"/>
          </w:tcPr>
          <w:p w:rsidR="008327B2" w:rsidRPr="001A01AB" w:rsidRDefault="00544A9F" w:rsidP="008327B2">
            <w:pPr>
              <w:autoSpaceDE w:val="0"/>
              <w:autoSpaceDN w:val="0"/>
              <w:adjustRightInd w:val="0"/>
              <w:jc w:val="both"/>
              <w:rPr>
                <w:rFonts w:ascii="Calibri" w:hAnsi="Calibri" w:cs="Calibri"/>
                <w:lang w:val="es-MX"/>
              </w:rPr>
            </w:pPr>
            <w:r>
              <w:rPr>
                <w:rFonts w:ascii="Calibri" w:hAnsi="Calibri" w:cs="Calibri"/>
                <w:noProof/>
                <w:lang w:val="es-GT" w:eastAsia="es-GT"/>
              </w:rPr>
              <w:drawing>
                <wp:inline distT="0" distB="0" distL="0" distR="0" wp14:anchorId="04F0BD9E" wp14:editId="22A70142">
                  <wp:extent cx="5305425" cy="1676400"/>
                  <wp:effectExtent l="0" t="0" r="9525" b="0"/>
                  <wp:docPr id="2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05425" cy="1676400"/>
                          </a:xfrm>
                          <a:prstGeom prst="rect">
                            <a:avLst/>
                          </a:prstGeom>
                          <a:noFill/>
                          <a:ln>
                            <a:noFill/>
                          </a:ln>
                        </pic:spPr>
                      </pic:pic>
                    </a:graphicData>
                  </a:graphic>
                </wp:inline>
              </w:drawing>
            </w:r>
          </w:p>
        </w:tc>
      </w:tr>
    </w:tbl>
    <w:p w:rsidR="008327B2" w:rsidRPr="001A01AB" w:rsidRDefault="008327B2" w:rsidP="008327B2">
      <w:pPr>
        <w:autoSpaceDE w:val="0"/>
        <w:autoSpaceDN w:val="0"/>
        <w:adjustRightInd w:val="0"/>
        <w:ind w:right="571"/>
        <w:jc w:val="right"/>
        <w:rPr>
          <w:rFonts w:ascii="Calibri" w:hAnsi="Calibri" w:cs="Calibri"/>
          <w:sz w:val="20"/>
          <w:lang w:val="es-GT"/>
        </w:rPr>
      </w:pPr>
      <w:r w:rsidRPr="001A01AB">
        <w:rPr>
          <w:rFonts w:ascii="Calibri" w:hAnsi="Calibri" w:cs="Calibri"/>
          <w:sz w:val="20"/>
          <w:lang w:val="es-GT"/>
        </w:rPr>
        <w:t>F</w:t>
      </w:r>
      <w:r w:rsidR="00952012" w:rsidRPr="001A01AB">
        <w:rPr>
          <w:rFonts w:ascii="Calibri" w:hAnsi="Calibri" w:cs="Calibri"/>
          <w:sz w:val="20"/>
          <w:lang w:val="es-GT"/>
        </w:rPr>
        <w:t>uente</w:t>
      </w:r>
      <w:r w:rsidRPr="001A01AB">
        <w:rPr>
          <w:rFonts w:ascii="Calibri" w:hAnsi="Calibri" w:cs="Calibri"/>
          <w:sz w:val="20"/>
          <w:lang w:val="es-GT"/>
        </w:rPr>
        <w:t>: FAO</w:t>
      </w:r>
      <w:r w:rsidR="0073409A">
        <w:rPr>
          <w:rFonts w:ascii="Calibri" w:hAnsi="Calibri" w:cs="Calibri"/>
          <w:sz w:val="20"/>
          <w:lang w:val="es-GT"/>
        </w:rPr>
        <w:t xml:space="preserve"> (</w:t>
      </w:r>
      <w:r w:rsidRPr="001A01AB">
        <w:rPr>
          <w:rFonts w:ascii="Calibri" w:hAnsi="Calibri" w:cs="Calibri"/>
          <w:sz w:val="20"/>
          <w:lang w:val="es-GT"/>
        </w:rPr>
        <w:t>2011</w:t>
      </w:r>
      <w:r w:rsidR="0073409A">
        <w:rPr>
          <w:rFonts w:ascii="Calibri" w:hAnsi="Calibri" w:cs="Calibri"/>
          <w:sz w:val="20"/>
          <w:lang w:val="es-GT"/>
        </w:rPr>
        <w:t>)</w:t>
      </w:r>
      <w:r w:rsidRPr="001A01AB">
        <w:rPr>
          <w:rFonts w:ascii="Calibri" w:hAnsi="Calibri" w:cs="Calibri"/>
          <w:sz w:val="20"/>
          <w:lang w:val="es-GT"/>
        </w:rPr>
        <w:t>.</w:t>
      </w:r>
    </w:p>
    <w:p w:rsidR="0017736D" w:rsidRDefault="0017736D"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MX"/>
        </w:rPr>
      </w:pPr>
    </w:p>
    <w:p w:rsidR="001E2CDD" w:rsidRPr="001E2CDD" w:rsidRDefault="001E2CDD" w:rsidP="001E2CDD">
      <w:pPr>
        <w:pStyle w:val="Prrafodelista"/>
        <w:numPr>
          <w:ilvl w:val="0"/>
          <w:numId w:val="77"/>
        </w:numPr>
        <w:autoSpaceDE w:val="0"/>
        <w:autoSpaceDN w:val="0"/>
        <w:adjustRightInd w:val="0"/>
        <w:jc w:val="both"/>
        <w:rPr>
          <w:rFonts w:cs="Calibri"/>
          <w:sz w:val="24"/>
          <w:szCs w:val="24"/>
          <w:lang w:val="es-MX"/>
        </w:rPr>
      </w:pPr>
      <w:r w:rsidRPr="001E2CDD">
        <w:rPr>
          <w:rFonts w:cs="Calibri"/>
          <w:sz w:val="24"/>
          <w:szCs w:val="24"/>
          <w:lang w:val="es-MX"/>
        </w:rPr>
        <w:t>Región norte y sur</w:t>
      </w:r>
    </w:p>
    <w:p w:rsidR="008327B2" w:rsidRPr="001A01AB" w:rsidRDefault="008327B2" w:rsidP="001E2CDD">
      <w:pPr>
        <w:autoSpaceDE w:val="0"/>
        <w:autoSpaceDN w:val="0"/>
        <w:adjustRightInd w:val="0"/>
        <w:ind w:left="720"/>
        <w:jc w:val="both"/>
        <w:rPr>
          <w:rFonts w:ascii="Calibri" w:hAnsi="Calibri" w:cs="Calibri"/>
          <w:lang w:val="es-GT"/>
        </w:rPr>
      </w:pPr>
      <w:r w:rsidRPr="001A01AB">
        <w:rPr>
          <w:rFonts w:ascii="Calibri" w:hAnsi="Calibri" w:cs="Calibri"/>
          <w:lang w:val="es-MX"/>
        </w:rPr>
        <w:t xml:space="preserve">Para </w:t>
      </w:r>
      <w:r w:rsidR="001E2CDD">
        <w:rPr>
          <w:rFonts w:ascii="Calibri" w:hAnsi="Calibri" w:cs="Calibri"/>
          <w:lang w:val="es-MX"/>
        </w:rPr>
        <w:t>esta</w:t>
      </w:r>
      <w:r w:rsidRPr="001A01AB">
        <w:rPr>
          <w:rFonts w:ascii="Calibri" w:hAnsi="Calibri" w:cs="Calibri"/>
          <w:lang w:val="es-MX"/>
        </w:rPr>
        <w:t xml:space="preserve"> región, en el año 2010 las familias mantuvieron reservas de maíz, esto se debe a que la mayoría cuenta con área para la producción y cultivan dos ciclos de cultivo por año.</w:t>
      </w:r>
      <w:r w:rsidR="00141A70">
        <w:rPr>
          <w:rFonts w:ascii="Calibri" w:hAnsi="Calibri" w:cs="Calibri"/>
          <w:lang w:val="es-MX"/>
        </w:rPr>
        <w:t xml:space="preserve"> </w:t>
      </w:r>
      <w:r w:rsidRPr="001A01AB">
        <w:rPr>
          <w:rFonts w:ascii="Calibri" w:hAnsi="Calibri" w:cs="Calibri"/>
          <w:lang w:val="es-MX"/>
        </w:rPr>
        <w:t xml:space="preserve">Excepcionalmente, las familias en la </w:t>
      </w:r>
      <w:r w:rsidR="00292DAC" w:rsidRPr="001A01AB">
        <w:rPr>
          <w:rFonts w:ascii="Calibri" w:hAnsi="Calibri" w:cs="Calibri"/>
          <w:lang w:val="es-MX"/>
        </w:rPr>
        <w:t xml:space="preserve">región sur </w:t>
      </w:r>
      <w:r w:rsidRPr="001A01AB">
        <w:rPr>
          <w:rFonts w:ascii="Calibri" w:hAnsi="Calibri" w:cs="Calibri"/>
          <w:lang w:val="es-MX"/>
        </w:rPr>
        <w:t xml:space="preserve">no contaron con reservas durante todo el año, esto debido a que </w:t>
      </w:r>
      <w:r w:rsidR="00292DAC" w:rsidRPr="00292DAC">
        <w:rPr>
          <w:rFonts w:ascii="Calibri" w:hAnsi="Calibri" w:cs="Calibri"/>
          <w:highlight w:val="yellow"/>
          <w:lang w:val="es-MX"/>
        </w:rPr>
        <w:t>no siembran este cultivo en la r</w:t>
      </w:r>
      <w:r w:rsidRPr="00292DAC">
        <w:rPr>
          <w:rFonts w:ascii="Calibri" w:hAnsi="Calibri" w:cs="Calibri"/>
          <w:highlight w:val="yellow"/>
          <w:lang w:val="es-MX"/>
        </w:rPr>
        <w:t>egión, el medio de vida es principalmente la producción de maíz</w:t>
      </w:r>
      <w:r w:rsidRPr="001A01AB">
        <w:rPr>
          <w:rFonts w:ascii="Calibri" w:hAnsi="Calibri" w:cs="Calibri"/>
          <w:lang w:val="es-MX"/>
        </w:rPr>
        <w:t xml:space="preserve"> </w:t>
      </w:r>
      <w:r w:rsidRPr="001A01AB">
        <w:rPr>
          <w:rFonts w:ascii="Calibri" w:hAnsi="Calibri" w:cs="Calibri"/>
          <w:lang w:val="es-GT"/>
        </w:rPr>
        <w:t>(FAO, 2011).</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B556CF">
      <w:pPr>
        <w:autoSpaceDE w:val="0"/>
        <w:autoSpaceDN w:val="0"/>
        <w:adjustRightInd w:val="0"/>
        <w:ind w:left="720"/>
        <w:jc w:val="both"/>
        <w:rPr>
          <w:rFonts w:ascii="Calibri" w:hAnsi="Calibri" w:cs="Calibri"/>
          <w:lang w:val="es-GT"/>
        </w:rPr>
      </w:pPr>
      <w:r w:rsidRPr="001A01AB">
        <w:rPr>
          <w:rFonts w:ascii="Calibri" w:hAnsi="Calibri" w:cs="Calibri"/>
          <w:lang w:val="es-GT"/>
        </w:rPr>
        <w:t xml:space="preserve">Con base a lo anterior, es imposible dejar de insistir en la importancia que tienen los granos básicos para la economía nacional, para la sobrevivencia económica de la mayor parte de productores y para la satisfacción de las necesidades nutricionales de toda la población. Sin embargo, en la </w:t>
      </w:r>
      <w:r w:rsidR="00292DAC">
        <w:rPr>
          <w:rFonts w:ascii="Calibri" w:hAnsi="Calibri" w:cs="Calibri"/>
          <w:lang w:val="es-GT"/>
        </w:rPr>
        <w:t>Figura 42</w:t>
      </w:r>
      <w:r w:rsidRPr="001A01AB">
        <w:rPr>
          <w:rFonts w:ascii="Calibri" w:hAnsi="Calibri" w:cs="Calibri"/>
          <w:lang w:val="es-GT"/>
        </w:rPr>
        <w:t xml:space="preserve"> se ilustra el aumento de las importaciones como estrategia para completar el suministro de alimentos básicos en el país</w:t>
      </w:r>
      <w:r w:rsidR="00292DAC">
        <w:rPr>
          <w:rFonts w:ascii="Calibri" w:hAnsi="Calibri" w:cs="Calibri"/>
          <w:lang w:val="es-GT"/>
        </w:rPr>
        <w:t>,</w:t>
      </w:r>
      <w:r w:rsidRPr="001A01AB">
        <w:rPr>
          <w:rFonts w:ascii="Calibri" w:hAnsi="Calibri" w:cs="Calibri"/>
          <w:lang w:val="es-GT"/>
        </w:rPr>
        <w:t xml:space="preserve"> so</w:t>
      </w:r>
      <w:r w:rsidR="00292DAC">
        <w:rPr>
          <w:rFonts w:ascii="Calibri" w:hAnsi="Calibri" w:cs="Calibri"/>
          <w:lang w:val="es-GT"/>
        </w:rPr>
        <w:t xml:space="preserve">bre todo en el caso del maíz y </w:t>
      </w:r>
      <w:r w:rsidRPr="001A01AB">
        <w:rPr>
          <w:rFonts w:ascii="Calibri" w:hAnsi="Calibri" w:cs="Calibri"/>
          <w:lang w:val="es-GT"/>
        </w:rPr>
        <w:t>el arroz (Sistema de Información Regional en Segur</w:t>
      </w:r>
      <w:r w:rsidR="00292DAC">
        <w:rPr>
          <w:rFonts w:ascii="Calibri" w:hAnsi="Calibri" w:cs="Calibri"/>
          <w:lang w:val="es-GT"/>
        </w:rPr>
        <w:t>idad Alimentaria y Nutricional –</w:t>
      </w:r>
      <w:r w:rsidRPr="001A01AB">
        <w:rPr>
          <w:rFonts w:ascii="Calibri" w:hAnsi="Calibri" w:cs="Calibri"/>
          <w:lang w:val="es-GT"/>
        </w:rPr>
        <w:t>SIRSAN</w:t>
      </w:r>
      <w:r w:rsidR="00292DAC">
        <w:rPr>
          <w:rFonts w:ascii="Calibri" w:hAnsi="Calibri" w:cs="Calibri"/>
          <w:lang w:val="es-GT"/>
        </w:rPr>
        <w:t>-</w:t>
      </w:r>
      <w:r w:rsidRPr="001A01AB">
        <w:rPr>
          <w:rFonts w:ascii="Calibri" w:hAnsi="Calibri" w:cs="Calibri"/>
          <w:lang w:val="es-GT"/>
        </w:rPr>
        <w:t xml:space="preserve"> y Programa Regional de Seguridad Alimentaria y Nutricional para Centroamérica</w:t>
      </w:r>
      <w:r w:rsidR="00292DAC">
        <w:rPr>
          <w:rFonts w:ascii="Calibri" w:hAnsi="Calibri" w:cs="Calibri"/>
          <w:lang w:val="es-GT"/>
        </w:rPr>
        <w:t xml:space="preserve"> –</w:t>
      </w:r>
      <w:r w:rsidRPr="001A01AB">
        <w:rPr>
          <w:rFonts w:ascii="Calibri" w:hAnsi="Calibri" w:cs="Calibri"/>
          <w:lang w:val="es-GT"/>
        </w:rPr>
        <w:t>PRESANCA</w:t>
      </w:r>
      <w:r w:rsidR="00292DAC">
        <w:rPr>
          <w:rFonts w:ascii="Calibri" w:hAnsi="Calibri" w:cs="Calibri"/>
          <w:lang w:val="es-GT"/>
        </w:rPr>
        <w:t>-</w:t>
      </w:r>
      <w:r w:rsidRPr="001A01AB">
        <w:rPr>
          <w:rFonts w:ascii="Calibri" w:hAnsi="Calibri" w:cs="Calibri"/>
          <w:lang w:val="es-GT"/>
        </w:rPr>
        <w:t>, 2010, citado por Palmieri y Delgado, 2011</w:t>
      </w:r>
      <w:r w:rsidR="00292DAC">
        <w:rPr>
          <w:rFonts w:ascii="Calibri" w:hAnsi="Calibri" w:cs="Calibri"/>
          <w:lang w:val="es-GT"/>
        </w:rPr>
        <w:t>)</w:t>
      </w:r>
      <w:r w:rsidRPr="001A01AB">
        <w:rPr>
          <w:rFonts w:ascii="Calibri" w:hAnsi="Calibri" w:cs="Calibri"/>
          <w:lang w:val="es-GT"/>
        </w:rPr>
        <w:t>.</w:t>
      </w:r>
    </w:p>
    <w:p w:rsidR="008327B2" w:rsidRDefault="008327B2" w:rsidP="008327B2">
      <w:pPr>
        <w:autoSpaceDE w:val="0"/>
        <w:autoSpaceDN w:val="0"/>
        <w:adjustRightInd w:val="0"/>
        <w:jc w:val="both"/>
        <w:rPr>
          <w:rFonts w:ascii="Calibri" w:hAnsi="Calibri" w:cs="Calibri"/>
          <w:lang w:val="es-GT"/>
        </w:rPr>
      </w:pPr>
    </w:p>
    <w:p w:rsidR="00B556CF" w:rsidRDefault="00B556CF" w:rsidP="008327B2">
      <w:pPr>
        <w:autoSpaceDE w:val="0"/>
        <w:autoSpaceDN w:val="0"/>
        <w:adjustRightInd w:val="0"/>
        <w:jc w:val="both"/>
        <w:rPr>
          <w:rFonts w:ascii="Calibri" w:hAnsi="Calibri" w:cs="Calibri"/>
          <w:lang w:val="es-GT"/>
        </w:rPr>
      </w:pPr>
    </w:p>
    <w:p w:rsidR="00B556CF" w:rsidRDefault="00B556CF" w:rsidP="008327B2">
      <w:pPr>
        <w:autoSpaceDE w:val="0"/>
        <w:autoSpaceDN w:val="0"/>
        <w:adjustRightInd w:val="0"/>
        <w:jc w:val="both"/>
        <w:rPr>
          <w:rFonts w:ascii="Calibri" w:hAnsi="Calibri" w:cs="Calibri"/>
          <w:lang w:val="es-GT"/>
        </w:rPr>
      </w:pPr>
    </w:p>
    <w:p w:rsidR="00B556CF" w:rsidRDefault="00B556CF" w:rsidP="008327B2">
      <w:pPr>
        <w:autoSpaceDE w:val="0"/>
        <w:autoSpaceDN w:val="0"/>
        <w:adjustRightInd w:val="0"/>
        <w:jc w:val="both"/>
        <w:rPr>
          <w:rFonts w:ascii="Calibri" w:hAnsi="Calibri" w:cs="Calibri"/>
          <w:lang w:val="es-GT"/>
        </w:rPr>
      </w:pPr>
    </w:p>
    <w:p w:rsidR="00B556CF" w:rsidRDefault="00B556CF" w:rsidP="008327B2">
      <w:pPr>
        <w:autoSpaceDE w:val="0"/>
        <w:autoSpaceDN w:val="0"/>
        <w:adjustRightInd w:val="0"/>
        <w:jc w:val="both"/>
        <w:rPr>
          <w:rFonts w:ascii="Calibri" w:hAnsi="Calibri" w:cs="Calibri"/>
          <w:lang w:val="es-GT"/>
        </w:rPr>
      </w:pPr>
    </w:p>
    <w:p w:rsidR="00B556CF" w:rsidRPr="001A01AB" w:rsidRDefault="00B556CF" w:rsidP="008327B2">
      <w:pPr>
        <w:autoSpaceDE w:val="0"/>
        <w:autoSpaceDN w:val="0"/>
        <w:adjustRightInd w:val="0"/>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365" w:name="_Toc340034510"/>
      <w:bookmarkStart w:id="366" w:name="_Toc343098424"/>
      <w:bookmarkStart w:id="367" w:name="_Toc343098532"/>
      <w:bookmarkStart w:id="368" w:name="_Toc347841265"/>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42</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Grado de dependencia de arroz, frijol y maíz </w:t>
      </w:r>
      <w:r w:rsidR="00292DAC" w:rsidRPr="00224B57">
        <w:rPr>
          <w:rFonts w:ascii="Calibri" w:eastAsia="Calibri" w:hAnsi="Calibri" w:cs="Calibri"/>
          <w:b/>
          <w:color w:val="365F91"/>
          <w:sz w:val="22"/>
          <w:szCs w:val="22"/>
          <w:lang w:val="es-GT"/>
        </w:rPr>
        <w:t>en Guatemala. Peri</w:t>
      </w:r>
      <w:r w:rsidRPr="00224B57">
        <w:rPr>
          <w:rFonts w:ascii="Calibri" w:eastAsia="Calibri" w:hAnsi="Calibri" w:cs="Calibri"/>
          <w:b/>
          <w:color w:val="365F91"/>
          <w:sz w:val="22"/>
          <w:szCs w:val="22"/>
          <w:lang w:val="es-GT"/>
        </w:rPr>
        <w:t>odo del 1980-2008</w:t>
      </w:r>
      <w:bookmarkEnd w:id="365"/>
      <w:bookmarkEnd w:id="366"/>
      <w:bookmarkEnd w:id="367"/>
      <w:bookmarkEnd w:id="368"/>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400675" cy="3619500"/>
            <wp:effectExtent l="0" t="0" r="9525" b="0"/>
            <wp:docPr id="2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t="5392" b="-877"/>
                    <a:stretch>
                      <a:fillRect/>
                    </a:stretch>
                  </pic:blipFill>
                  <pic:spPr bwMode="auto">
                    <a:xfrm>
                      <a:off x="0" y="0"/>
                      <a:ext cx="5400675" cy="3619500"/>
                    </a:xfrm>
                    <a:prstGeom prst="rect">
                      <a:avLst/>
                    </a:prstGeom>
                    <a:noFill/>
                    <a:ln>
                      <a:noFill/>
                    </a:ln>
                  </pic:spPr>
                </pic:pic>
              </a:graphicData>
            </a:graphic>
          </wp:inline>
        </w:drawing>
      </w:r>
    </w:p>
    <w:p w:rsidR="008327B2" w:rsidRPr="001A01AB" w:rsidRDefault="0073409A" w:rsidP="008327B2">
      <w:pPr>
        <w:autoSpaceDE w:val="0"/>
        <w:autoSpaceDN w:val="0"/>
        <w:adjustRightInd w:val="0"/>
        <w:ind w:right="429"/>
        <w:jc w:val="right"/>
        <w:rPr>
          <w:rFonts w:ascii="Calibri" w:hAnsi="Calibri" w:cs="Calibri"/>
          <w:sz w:val="20"/>
          <w:szCs w:val="20"/>
          <w:lang w:val="es-GT"/>
        </w:rPr>
      </w:pPr>
      <w:r w:rsidRPr="0073409A">
        <w:rPr>
          <w:rFonts w:ascii="Calibri" w:hAnsi="Calibri" w:cs="Calibri"/>
          <w:sz w:val="20"/>
          <w:szCs w:val="20"/>
          <w:lang w:val="es-GT"/>
        </w:rPr>
        <w:t>Fuente</w:t>
      </w:r>
      <w:r w:rsidR="008327B2" w:rsidRPr="001A01AB">
        <w:rPr>
          <w:rFonts w:ascii="Calibri" w:hAnsi="Calibri" w:cs="Calibri"/>
          <w:sz w:val="20"/>
          <w:szCs w:val="20"/>
          <w:lang w:val="es-GT"/>
        </w:rPr>
        <w:t xml:space="preserve">: </w:t>
      </w:r>
      <w:r w:rsidR="008327B2" w:rsidRPr="002E3735">
        <w:rPr>
          <w:rFonts w:ascii="Calibri" w:hAnsi="Calibri" w:cs="Calibri"/>
          <w:sz w:val="20"/>
          <w:szCs w:val="20"/>
          <w:lang w:val="es-GT"/>
        </w:rPr>
        <w:t xml:space="preserve">SIRSAN, </w:t>
      </w:r>
      <w:hyperlink r:id="rId92" w:history="1">
        <w:r w:rsidR="008327B2" w:rsidRPr="002E3735">
          <w:rPr>
            <w:rStyle w:val="Hipervnculo"/>
            <w:rFonts w:ascii="Calibri" w:hAnsi="Calibri" w:cs="Calibri"/>
            <w:sz w:val="20"/>
            <w:szCs w:val="20"/>
            <w:lang w:val="es-GT"/>
          </w:rPr>
          <w:t>http:///www.sica.int/sirsan</w:t>
        </w:r>
      </w:hyperlink>
      <w:r w:rsidR="002E3735" w:rsidRPr="002E3735">
        <w:rPr>
          <w:rFonts w:ascii="Calibri" w:hAnsi="Calibri" w:cs="Calibri"/>
          <w:sz w:val="20"/>
          <w:szCs w:val="20"/>
          <w:lang w:val="es-GT"/>
        </w:rPr>
        <w:t xml:space="preserve">, </w:t>
      </w:r>
      <w:r w:rsidR="008327B2" w:rsidRPr="002E3735">
        <w:rPr>
          <w:rFonts w:ascii="Calibri" w:hAnsi="Calibri" w:cs="Calibri"/>
          <w:sz w:val="20"/>
          <w:szCs w:val="20"/>
          <w:lang w:val="es-GT"/>
        </w:rPr>
        <w:t>cit</w:t>
      </w:r>
      <w:r w:rsidR="002E3735" w:rsidRPr="002E3735">
        <w:rPr>
          <w:rFonts w:ascii="Calibri" w:hAnsi="Calibri" w:cs="Calibri"/>
          <w:sz w:val="20"/>
          <w:szCs w:val="20"/>
          <w:lang w:val="es-GT"/>
        </w:rPr>
        <w:t>ado por Palmieri, y Delgado (</w:t>
      </w:r>
      <w:r w:rsidR="008327B2" w:rsidRPr="002E3735">
        <w:rPr>
          <w:rFonts w:ascii="Calibri" w:hAnsi="Calibri" w:cs="Calibri"/>
          <w:sz w:val="20"/>
          <w:szCs w:val="20"/>
          <w:lang w:val="es-GT"/>
        </w:rPr>
        <w:t>2011</w:t>
      </w:r>
      <w:r w:rsidR="002E3735" w:rsidRPr="002E3735">
        <w:rPr>
          <w:rFonts w:ascii="Calibri" w:hAnsi="Calibri" w:cs="Calibri"/>
          <w:sz w:val="20"/>
          <w:szCs w:val="20"/>
          <w:lang w:val="es-GT"/>
        </w:rPr>
        <w:t>)</w:t>
      </w:r>
      <w:r w:rsidR="008327B2" w:rsidRPr="002E3735">
        <w:rPr>
          <w:rFonts w:ascii="Calibri" w:hAnsi="Calibri" w:cs="Calibri"/>
          <w:sz w:val="20"/>
          <w:szCs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292DAC"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En los últimos veinte años se han dado procesos muy significativos en el área rural, que afectan las posibilidades de producción y disponibilidad nacional de alimentos. </w:t>
      </w:r>
      <w:r w:rsidR="00292DAC">
        <w:rPr>
          <w:rFonts w:ascii="Calibri" w:hAnsi="Calibri" w:cs="Calibri"/>
          <w:lang w:val="es-GT"/>
        </w:rPr>
        <w:t>Esto está relacionado</w:t>
      </w:r>
      <w:r w:rsidRPr="001A01AB">
        <w:rPr>
          <w:rFonts w:ascii="Calibri" w:hAnsi="Calibri" w:cs="Calibri"/>
          <w:lang w:val="es-GT"/>
        </w:rPr>
        <w:t xml:space="preserve"> con la disminución de la superficie agrícola </w:t>
      </w:r>
      <w:r w:rsidR="00292DAC" w:rsidRPr="001A01AB">
        <w:rPr>
          <w:rFonts w:ascii="Calibri" w:hAnsi="Calibri" w:cs="Calibri"/>
          <w:lang w:val="es-GT"/>
        </w:rPr>
        <w:t xml:space="preserve">global </w:t>
      </w:r>
      <w:r w:rsidRPr="001A01AB">
        <w:rPr>
          <w:rFonts w:ascii="Calibri" w:hAnsi="Calibri" w:cs="Calibri"/>
          <w:lang w:val="es-GT"/>
        </w:rPr>
        <w:t>cosechada, por un lado, y con incrementos en la cantidad de tierra agrícola dedicada a la explotación de nuevos productos, tales como los no tradicionales y otros cultivos intensivos para el mercado internacional.</w:t>
      </w:r>
      <w:r w:rsidR="00141A70">
        <w:rPr>
          <w:rFonts w:ascii="Calibri" w:hAnsi="Calibri" w:cs="Calibri"/>
          <w:lang w:val="es-GT"/>
        </w:rPr>
        <w:t xml:space="preserve"> </w:t>
      </w:r>
    </w:p>
    <w:p w:rsidR="00292DAC" w:rsidRDefault="00292DAC"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En la </w:t>
      </w:r>
      <w:r w:rsidR="00292DAC">
        <w:rPr>
          <w:rFonts w:ascii="Calibri" w:hAnsi="Calibri" w:cs="Calibri"/>
          <w:lang w:val="es-GT"/>
        </w:rPr>
        <w:t>Figura 43</w:t>
      </w:r>
      <w:r w:rsidRPr="001A01AB">
        <w:rPr>
          <w:rFonts w:ascii="Calibri" w:hAnsi="Calibri" w:cs="Calibri"/>
          <w:lang w:val="es-GT"/>
        </w:rPr>
        <w:t xml:space="preserve"> se registra una disminución en la superficie dedicada a cultivos de consumo interno</w:t>
      </w:r>
      <w:r w:rsidR="00292DAC">
        <w:rPr>
          <w:rFonts w:ascii="Calibri" w:hAnsi="Calibri" w:cs="Calibri"/>
          <w:lang w:val="es-GT"/>
        </w:rPr>
        <w:t>,</w:t>
      </w:r>
      <w:r w:rsidRPr="001A01AB">
        <w:rPr>
          <w:rFonts w:ascii="Calibri" w:hAnsi="Calibri" w:cs="Calibri"/>
          <w:lang w:val="es-GT"/>
        </w:rPr>
        <w:t xml:space="preserve"> que incluye gra</w:t>
      </w:r>
      <w:r w:rsidR="00292DAC">
        <w:rPr>
          <w:rFonts w:ascii="Calibri" w:hAnsi="Calibri" w:cs="Calibri"/>
          <w:lang w:val="es-GT"/>
        </w:rPr>
        <w:t>nos básicos como maíz, frijol, a</w:t>
      </w:r>
      <w:r w:rsidRPr="001A01AB">
        <w:rPr>
          <w:rFonts w:ascii="Calibri" w:hAnsi="Calibri" w:cs="Calibri"/>
          <w:lang w:val="es-GT"/>
        </w:rPr>
        <w:t xml:space="preserve">rroz y sorgo; y un incremento </w:t>
      </w:r>
      <w:r w:rsidR="00292DAC">
        <w:rPr>
          <w:rFonts w:ascii="Calibri" w:hAnsi="Calibri" w:cs="Calibri"/>
          <w:lang w:val="es-GT"/>
        </w:rPr>
        <w:t>de</w:t>
      </w:r>
      <w:r w:rsidRPr="001A01AB">
        <w:rPr>
          <w:rFonts w:ascii="Calibri" w:hAnsi="Calibri" w:cs="Calibri"/>
          <w:lang w:val="es-GT"/>
        </w:rPr>
        <w:t xml:space="preserve"> cultivos no tradicionales para exp</w:t>
      </w:r>
      <w:r w:rsidR="00292DAC">
        <w:rPr>
          <w:rFonts w:ascii="Calibri" w:hAnsi="Calibri" w:cs="Calibri"/>
          <w:lang w:val="es-GT"/>
        </w:rPr>
        <w:t>ortación.</w:t>
      </w:r>
      <w:r w:rsidRPr="001A01AB">
        <w:rPr>
          <w:rFonts w:ascii="Calibri" w:hAnsi="Calibri" w:cs="Calibri"/>
          <w:lang w:val="es-GT"/>
        </w:rPr>
        <w:t xml:space="preserve"> </w:t>
      </w:r>
      <w:r w:rsidR="00292DAC">
        <w:rPr>
          <w:rFonts w:ascii="Calibri" w:hAnsi="Calibri" w:cs="Calibri"/>
          <w:lang w:val="es-GT"/>
        </w:rPr>
        <w:t>L</w:t>
      </w:r>
      <w:r w:rsidRPr="001A01AB">
        <w:rPr>
          <w:rFonts w:ascii="Calibri" w:hAnsi="Calibri" w:cs="Calibri"/>
          <w:lang w:val="es-GT"/>
        </w:rPr>
        <w:t xml:space="preserve">a proporción de superficie con cultivos de exportación tradicional se ha mantenido </w:t>
      </w:r>
      <w:r w:rsidRPr="00292DAC">
        <w:rPr>
          <w:rFonts w:ascii="Calibri" w:hAnsi="Calibri" w:cs="Calibri"/>
          <w:highlight w:val="yellow"/>
          <w:lang w:val="es-GT"/>
        </w:rPr>
        <w:t>constante segura</w:t>
      </w:r>
      <w:r w:rsidRPr="001A01AB">
        <w:rPr>
          <w:rFonts w:ascii="Calibri" w:hAnsi="Calibri" w:cs="Calibri"/>
          <w:lang w:val="es-GT"/>
        </w:rPr>
        <w:t xml:space="preserve"> (Palmieri y Delgado, 2011).</w:t>
      </w:r>
      <w:r w:rsidR="00292DAC">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Default="008327B2" w:rsidP="008327B2">
      <w:pPr>
        <w:autoSpaceDE w:val="0"/>
        <w:autoSpaceDN w:val="0"/>
        <w:adjustRightInd w:val="0"/>
        <w:jc w:val="both"/>
        <w:rPr>
          <w:rFonts w:ascii="Calibri" w:hAnsi="Calibri" w:cs="Calibri"/>
          <w:lang w:val="es-GT"/>
        </w:rPr>
      </w:pPr>
    </w:p>
    <w:p w:rsidR="00292DAC" w:rsidRPr="001A01AB" w:rsidRDefault="00292DAC"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369" w:name="_Toc340034511"/>
      <w:bookmarkStart w:id="370" w:name="_Toc343098425"/>
      <w:bookmarkStart w:id="371" w:name="_Toc343098533"/>
      <w:bookmarkStart w:id="372" w:name="_Toc347841266"/>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43</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Superficie cosechada de los principales cultivos</w:t>
      </w:r>
      <w:r w:rsidR="00292DAC" w:rsidRPr="00224B57">
        <w:rPr>
          <w:rFonts w:ascii="Calibri" w:eastAsia="Calibri" w:hAnsi="Calibri" w:cs="Calibri"/>
          <w:b/>
          <w:color w:val="365F91"/>
          <w:sz w:val="22"/>
          <w:szCs w:val="22"/>
          <w:lang w:val="es-GT"/>
        </w:rPr>
        <w:t xml:space="preserve"> en Guatemala. Periodo</w:t>
      </w:r>
      <w:r w:rsidRPr="00224B57">
        <w:rPr>
          <w:rFonts w:ascii="Calibri" w:eastAsia="Calibri" w:hAnsi="Calibri" w:cs="Calibri"/>
          <w:b/>
          <w:color w:val="365F91"/>
          <w:sz w:val="22"/>
          <w:szCs w:val="22"/>
          <w:lang w:val="es-GT"/>
        </w:rPr>
        <w:t xml:space="preserve"> 1980-2008</w:t>
      </w:r>
      <w:bookmarkEnd w:id="369"/>
      <w:bookmarkEnd w:id="370"/>
      <w:bookmarkEnd w:id="371"/>
      <w:bookmarkEnd w:id="372"/>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400675" cy="4076700"/>
            <wp:effectExtent l="0" t="0" r="9525" b="0"/>
            <wp:docPr id="2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t="12340" b="9253"/>
                    <a:stretch>
                      <a:fillRect/>
                    </a:stretch>
                  </pic:blipFill>
                  <pic:spPr bwMode="auto">
                    <a:xfrm>
                      <a:off x="0" y="0"/>
                      <a:ext cx="5400675" cy="4076700"/>
                    </a:xfrm>
                    <a:prstGeom prst="rect">
                      <a:avLst/>
                    </a:prstGeom>
                    <a:noFill/>
                    <a:ln>
                      <a:noFill/>
                    </a:ln>
                  </pic:spPr>
                </pic:pic>
              </a:graphicData>
            </a:graphic>
          </wp:inline>
        </w:drawing>
      </w:r>
    </w:p>
    <w:p w:rsidR="008327B2" w:rsidRPr="001A01AB" w:rsidRDefault="008327B2" w:rsidP="008327B2">
      <w:pPr>
        <w:autoSpaceDE w:val="0"/>
        <w:autoSpaceDN w:val="0"/>
        <w:adjustRightInd w:val="0"/>
        <w:ind w:left="1276" w:right="571"/>
        <w:jc w:val="right"/>
        <w:rPr>
          <w:rFonts w:ascii="Calibri" w:hAnsi="Calibri" w:cs="Calibri"/>
          <w:sz w:val="20"/>
          <w:lang w:val="es-GT"/>
        </w:rPr>
      </w:pPr>
      <w:r w:rsidRPr="001A01AB">
        <w:rPr>
          <w:rFonts w:ascii="Calibri" w:hAnsi="Calibri" w:cs="Calibri"/>
          <w:sz w:val="20"/>
          <w:lang w:val="es-GT"/>
        </w:rPr>
        <w:t xml:space="preserve">FUENTE: </w:t>
      </w:r>
      <w:r w:rsidRPr="002E3735">
        <w:rPr>
          <w:rFonts w:ascii="Calibri" w:hAnsi="Calibri" w:cs="Calibri"/>
          <w:sz w:val="20"/>
          <w:lang w:val="es-GT"/>
        </w:rPr>
        <w:t>CEPAL, información del Sector Agropecuario, las tendencias alimenticias 1980 al 2008, citado en Palmieri y Delgado</w:t>
      </w:r>
      <w:r w:rsidR="002E3735" w:rsidRPr="002E3735">
        <w:rPr>
          <w:rFonts w:ascii="Calibri" w:hAnsi="Calibri" w:cs="Calibri"/>
          <w:sz w:val="20"/>
          <w:lang w:val="es-GT"/>
        </w:rPr>
        <w:t xml:space="preserve"> (</w:t>
      </w:r>
      <w:r w:rsidRPr="002E3735">
        <w:rPr>
          <w:rFonts w:ascii="Calibri" w:hAnsi="Calibri" w:cs="Calibri"/>
          <w:sz w:val="20"/>
          <w:lang w:val="es-GT"/>
        </w:rPr>
        <w:t>2011</w:t>
      </w:r>
      <w:r w:rsidR="002E3735" w:rsidRPr="002E3735">
        <w:rPr>
          <w:rFonts w:ascii="Calibri" w:hAnsi="Calibri" w:cs="Calibri"/>
          <w:sz w:val="20"/>
          <w:lang w:val="es-GT"/>
        </w:rPr>
        <w:t>)</w:t>
      </w:r>
      <w:r w:rsidRPr="002E3735">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 pesar de ello, es el Ministerio</w:t>
      </w:r>
      <w:r w:rsidR="00292DAC">
        <w:rPr>
          <w:rFonts w:ascii="Calibri" w:hAnsi="Calibri" w:cs="Calibri"/>
          <w:lang w:val="es-GT"/>
        </w:rPr>
        <w:t xml:space="preserve"> de Agricultura y Alimentación (</w:t>
      </w:r>
      <w:r w:rsidRPr="001A01AB">
        <w:rPr>
          <w:rFonts w:ascii="Calibri" w:hAnsi="Calibri" w:cs="Calibri"/>
          <w:lang w:val="es-GT"/>
        </w:rPr>
        <w:t>MAGA</w:t>
      </w:r>
      <w:r w:rsidR="00292DAC">
        <w:rPr>
          <w:rFonts w:ascii="Calibri" w:hAnsi="Calibri" w:cs="Calibri"/>
          <w:lang w:val="es-GT"/>
        </w:rPr>
        <w:t>)</w:t>
      </w:r>
      <w:r w:rsidRPr="001A01AB">
        <w:rPr>
          <w:rFonts w:ascii="Calibri" w:hAnsi="Calibri" w:cs="Calibri"/>
          <w:lang w:val="es-GT"/>
        </w:rPr>
        <w:t xml:space="preserve"> quien tradicionalmente ha dedicado mayor atención al tema de la disponibilidad de alimentos.</w:t>
      </w:r>
      <w:r w:rsidR="00141A70">
        <w:rPr>
          <w:rFonts w:ascii="Calibri" w:hAnsi="Calibri" w:cs="Calibri"/>
          <w:lang w:val="es-GT"/>
        </w:rPr>
        <w:t xml:space="preserve"> </w:t>
      </w:r>
      <w:r w:rsidR="00292DAC">
        <w:rPr>
          <w:rFonts w:ascii="Calibri" w:hAnsi="Calibri" w:cs="Calibri"/>
          <w:lang w:val="es-GT"/>
        </w:rPr>
        <w:t>Los</w:t>
      </w:r>
      <w:r w:rsidRPr="001A01AB">
        <w:rPr>
          <w:rFonts w:ascii="Calibri" w:hAnsi="Calibri" w:cs="Calibri"/>
          <w:lang w:val="es-GT"/>
        </w:rPr>
        <w:t xml:space="preserve"> principales programas </w:t>
      </w:r>
      <w:r w:rsidR="00365AEF">
        <w:rPr>
          <w:rFonts w:ascii="Calibri" w:hAnsi="Calibri" w:cs="Calibri"/>
          <w:lang w:val="es-GT"/>
        </w:rPr>
        <w:t>a través de los cuales</w:t>
      </w:r>
      <w:r w:rsidR="00292DAC">
        <w:rPr>
          <w:rFonts w:ascii="Calibri" w:hAnsi="Calibri" w:cs="Calibri"/>
          <w:lang w:val="es-GT"/>
        </w:rPr>
        <w:t xml:space="preserve"> atiende</w:t>
      </w:r>
      <w:r w:rsidRPr="001A01AB">
        <w:rPr>
          <w:rFonts w:ascii="Calibri" w:hAnsi="Calibri" w:cs="Calibri"/>
          <w:lang w:val="es-GT"/>
        </w:rPr>
        <w:t xml:space="preserve"> a campesinos y agricultores de escasos recursos, con altos niveles de pobreza, inseguridad alimentaria y nutricional, y además, vulnerabilidad ambiental</w:t>
      </w:r>
      <w:r w:rsidR="00292DAC">
        <w:rPr>
          <w:rFonts w:ascii="Calibri" w:hAnsi="Calibri" w:cs="Calibri"/>
          <w:lang w:val="es-GT"/>
        </w:rPr>
        <w:t xml:space="preserve">, son: </w:t>
      </w:r>
    </w:p>
    <w:p w:rsidR="00292DAC" w:rsidRPr="001A01AB" w:rsidRDefault="00292DAC"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Insumos básicos</w:t>
      </w:r>
      <w:r w:rsidR="00365AEF">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Granos básicos y postcosecha</w:t>
      </w:r>
      <w:r w:rsidR="00365AEF">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Promoción del desarrollo productivo y comercial de la agricultura</w:t>
      </w:r>
      <w:r w:rsidR="00365AEF">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Con éste énfasis, </w:t>
      </w:r>
      <w:r w:rsidR="00365AEF" w:rsidRPr="001A01AB">
        <w:rPr>
          <w:rFonts w:ascii="Calibri" w:hAnsi="Calibri" w:cs="Calibri"/>
          <w:lang w:val="es-GT"/>
        </w:rPr>
        <w:t>durante la administración 2000-2004</w:t>
      </w:r>
      <w:r w:rsidR="00365AEF">
        <w:rPr>
          <w:rFonts w:ascii="Calibri" w:hAnsi="Calibri" w:cs="Calibri"/>
          <w:lang w:val="es-GT"/>
        </w:rPr>
        <w:t xml:space="preserve"> </w:t>
      </w:r>
      <w:r w:rsidRPr="001A01AB">
        <w:rPr>
          <w:rFonts w:ascii="Calibri" w:hAnsi="Calibri" w:cs="Calibri"/>
          <w:lang w:val="es-GT"/>
        </w:rPr>
        <w:t>se creó el Viceministerio de Segur</w:t>
      </w:r>
      <w:r w:rsidR="00365AEF">
        <w:rPr>
          <w:rFonts w:ascii="Calibri" w:hAnsi="Calibri" w:cs="Calibri"/>
          <w:lang w:val="es-GT"/>
        </w:rPr>
        <w:t>idad Alimentaria y Nutricional (VISAN)</w:t>
      </w:r>
      <w:r w:rsidRPr="001A01AB">
        <w:rPr>
          <w:rFonts w:ascii="Calibri" w:hAnsi="Calibri" w:cs="Calibri"/>
          <w:lang w:val="es-GT"/>
        </w:rPr>
        <w:t xml:space="preserve">, con el propósito de </w:t>
      </w:r>
      <w:r w:rsidR="00365AEF">
        <w:rPr>
          <w:rFonts w:ascii="Calibri" w:hAnsi="Calibri" w:cs="Calibri"/>
          <w:lang w:val="es-GT"/>
        </w:rPr>
        <w:t>promocionar</w:t>
      </w:r>
      <w:r w:rsidRPr="001A01AB">
        <w:rPr>
          <w:rFonts w:ascii="Calibri" w:hAnsi="Calibri" w:cs="Calibri"/>
          <w:lang w:val="es-GT"/>
        </w:rPr>
        <w:t xml:space="preserve"> una agricultura competitiva, a través del incremento de la inversión e innovación tecnológica </w:t>
      </w:r>
      <w:r w:rsidR="00365AEF">
        <w:rPr>
          <w:rFonts w:ascii="Calibri" w:hAnsi="Calibri" w:cs="Calibri"/>
          <w:lang w:val="es-GT"/>
        </w:rPr>
        <w:t>de</w:t>
      </w:r>
      <w:r w:rsidRPr="001A01AB">
        <w:rPr>
          <w:rFonts w:ascii="Calibri" w:hAnsi="Calibri" w:cs="Calibri"/>
          <w:lang w:val="es-GT"/>
        </w:rPr>
        <w:t xml:space="preserve"> cade</w:t>
      </w:r>
      <w:r w:rsidR="00365AEF">
        <w:rPr>
          <w:rFonts w:ascii="Calibri" w:hAnsi="Calibri" w:cs="Calibri"/>
          <w:lang w:val="es-GT"/>
        </w:rPr>
        <w:t>nas agroproductivas comerciales;</w:t>
      </w:r>
      <w:r w:rsidRPr="001A01AB">
        <w:rPr>
          <w:rFonts w:ascii="Calibri" w:hAnsi="Calibri" w:cs="Calibri"/>
          <w:lang w:val="es-GT"/>
        </w:rPr>
        <w:t xml:space="preserve"> </w:t>
      </w:r>
      <w:r w:rsidR="00365AEF">
        <w:rPr>
          <w:rFonts w:ascii="Calibri" w:hAnsi="Calibri" w:cs="Calibri"/>
          <w:lang w:val="es-GT"/>
        </w:rPr>
        <w:t>desarrollar</w:t>
      </w:r>
      <w:r w:rsidRPr="001A01AB">
        <w:rPr>
          <w:rFonts w:ascii="Calibri" w:hAnsi="Calibri" w:cs="Calibri"/>
          <w:lang w:val="es-GT"/>
        </w:rPr>
        <w:t xml:space="preserve"> la agricultura campesina, con énfasis en la agricultura de su</w:t>
      </w:r>
      <w:r w:rsidR="00365AEF">
        <w:rPr>
          <w:rFonts w:ascii="Calibri" w:hAnsi="Calibri" w:cs="Calibri"/>
          <w:lang w:val="es-GT"/>
        </w:rPr>
        <w:t>bsistencia e infra-subsistencia; proteger</w:t>
      </w:r>
      <w:r w:rsidRPr="001A01AB">
        <w:rPr>
          <w:rFonts w:ascii="Calibri" w:hAnsi="Calibri" w:cs="Calibri"/>
          <w:lang w:val="es-GT"/>
        </w:rPr>
        <w:t xml:space="preserve"> los recursos naturales</w:t>
      </w:r>
      <w:r w:rsidR="00365AEF">
        <w:rPr>
          <w:rFonts w:ascii="Calibri" w:hAnsi="Calibri" w:cs="Calibri"/>
          <w:lang w:val="es-GT"/>
        </w:rPr>
        <w:t>;</w:t>
      </w:r>
      <w:r w:rsidRPr="001A01AB">
        <w:rPr>
          <w:rFonts w:ascii="Calibri" w:hAnsi="Calibri" w:cs="Calibri"/>
          <w:lang w:val="es-GT"/>
        </w:rPr>
        <w:t xml:space="preserve"> y </w:t>
      </w:r>
      <w:r w:rsidR="00365AEF">
        <w:rPr>
          <w:rFonts w:ascii="Calibri" w:hAnsi="Calibri" w:cs="Calibri"/>
          <w:lang w:val="es-GT"/>
        </w:rPr>
        <w:t>fortalecer la</w:t>
      </w:r>
      <w:r w:rsidRPr="001A01AB">
        <w:rPr>
          <w:rFonts w:ascii="Calibri" w:hAnsi="Calibri" w:cs="Calibri"/>
          <w:lang w:val="es-GT"/>
        </w:rPr>
        <w:t xml:space="preserve"> institucional</w:t>
      </w:r>
      <w:r w:rsidR="00365AEF">
        <w:rPr>
          <w:rFonts w:ascii="Calibri" w:hAnsi="Calibri" w:cs="Calibri"/>
          <w:lang w:val="es-GT"/>
        </w:rPr>
        <w:t>idad pública y privada</w:t>
      </w:r>
      <w:r w:rsidRPr="001A01AB">
        <w:rPr>
          <w:rFonts w:ascii="Calibri" w:hAnsi="Calibri" w:cs="Calibri"/>
          <w:lang w:val="es-GT"/>
        </w:rPr>
        <w:t xml:space="preserve"> del sector agrícola. Complementario a ello, con el propósito de fortalecer, aún más, la asistencia a familias postergadas del área rural, a través de proyectos productivos de maíz, </w:t>
      </w:r>
      <w:r w:rsidRPr="001A01AB">
        <w:rPr>
          <w:rFonts w:ascii="Calibri" w:hAnsi="Calibri" w:cs="Calibri"/>
          <w:lang w:val="es-GT"/>
        </w:rPr>
        <w:lastRenderedPageBreak/>
        <w:t>artesanías, café, turismo, hortalizas, energía y pecuario</w:t>
      </w:r>
      <w:r w:rsidR="00365AEF">
        <w:rPr>
          <w:rFonts w:ascii="Calibri" w:hAnsi="Calibri" w:cs="Calibri"/>
          <w:lang w:val="es-GT"/>
        </w:rPr>
        <w:t>;</w:t>
      </w:r>
      <w:r w:rsidRPr="001A01AB">
        <w:rPr>
          <w:rFonts w:ascii="Calibri" w:hAnsi="Calibri" w:cs="Calibri"/>
          <w:lang w:val="es-GT"/>
        </w:rPr>
        <w:t xml:space="preserve"> se estableció el Programa Nacional de Desarrollo Rural </w:t>
      </w:r>
      <w:r w:rsidR="00365AEF">
        <w:rPr>
          <w:rFonts w:ascii="Calibri" w:hAnsi="Calibri" w:cs="Calibri"/>
          <w:lang w:val="es-GT"/>
        </w:rPr>
        <w:t>(</w:t>
      </w:r>
      <w:r w:rsidRPr="001A01AB">
        <w:rPr>
          <w:rFonts w:ascii="Calibri" w:hAnsi="Calibri" w:cs="Calibri"/>
          <w:lang w:val="es-GT"/>
        </w:rPr>
        <w:t>Prorural</w:t>
      </w:r>
      <w:r w:rsidR="00365AEF">
        <w:rPr>
          <w:rFonts w:ascii="Calibri" w:hAnsi="Calibri" w:cs="Calibri"/>
          <w:lang w:val="es-GT"/>
        </w:rPr>
        <w:t>)</w:t>
      </w:r>
      <w:r w:rsidRPr="001A01AB">
        <w:rPr>
          <w:rFonts w:ascii="Calibri" w:hAnsi="Calibri" w:cs="Calibri"/>
          <w:lang w:val="es-GT"/>
        </w:rPr>
        <w:t xml:space="preserve">, que inicialmente cubrió 45 municipios.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365AEF" w:rsidP="008327B2">
      <w:pPr>
        <w:autoSpaceDE w:val="0"/>
        <w:autoSpaceDN w:val="0"/>
        <w:adjustRightInd w:val="0"/>
        <w:jc w:val="both"/>
        <w:rPr>
          <w:rFonts w:ascii="Calibri" w:hAnsi="Calibri" w:cs="Calibri"/>
          <w:lang w:val="es-GT"/>
        </w:rPr>
      </w:pPr>
      <w:r>
        <w:rPr>
          <w:rFonts w:ascii="Calibri" w:hAnsi="Calibri" w:cs="Calibri"/>
          <w:lang w:val="es-GT"/>
        </w:rPr>
        <w:t>Al analizar</w:t>
      </w:r>
      <w:r w:rsidR="008327B2" w:rsidRPr="001A01AB">
        <w:rPr>
          <w:rFonts w:ascii="Calibri" w:hAnsi="Calibri" w:cs="Calibri"/>
          <w:lang w:val="es-GT"/>
        </w:rPr>
        <w:t xml:space="preserve"> los perfiles de medio de vida para Guatemala</w:t>
      </w:r>
      <w:r>
        <w:rPr>
          <w:rFonts w:ascii="Calibri" w:hAnsi="Calibri" w:cs="Calibri"/>
          <w:lang w:val="es-GT"/>
        </w:rPr>
        <w:t>, la Figura 44</w:t>
      </w:r>
      <w:r w:rsidR="008327B2" w:rsidRPr="001A01AB">
        <w:rPr>
          <w:rFonts w:ascii="Calibri" w:hAnsi="Calibri" w:cs="Calibri"/>
          <w:lang w:val="es-GT"/>
        </w:rPr>
        <w:t xml:space="preserve"> muestra las fuentes de granos básicos para los </w:t>
      </w:r>
      <w:r w:rsidR="0073409A">
        <w:rPr>
          <w:rFonts w:ascii="Calibri" w:hAnsi="Calibri" w:cs="Calibri"/>
          <w:lang w:val="es-GT"/>
        </w:rPr>
        <w:t>dos</w:t>
      </w:r>
      <w:r w:rsidR="008327B2" w:rsidRPr="001A01AB">
        <w:rPr>
          <w:rFonts w:ascii="Calibri" w:hAnsi="Calibri" w:cs="Calibri"/>
          <w:lang w:val="es-GT"/>
        </w:rPr>
        <w:t xml:space="preserve"> grupos socioeconómicos más pobres.</w:t>
      </w:r>
      <w:r w:rsidR="00141A70">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373" w:name="_Toc340034512"/>
      <w:bookmarkStart w:id="374" w:name="_Toc343098426"/>
      <w:bookmarkStart w:id="375" w:name="_Toc343098534"/>
      <w:bookmarkStart w:id="376" w:name="_Toc347841267"/>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44</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w:t>
      </w:r>
      <w:r w:rsidR="00365AEF" w:rsidRPr="00224B57">
        <w:rPr>
          <w:rFonts w:ascii="Calibri" w:eastAsia="Calibri" w:hAnsi="Calibri" w:cs="Calibri"/>
          <w:b/>
          <w:color w:val="365F91"/>
          <w:sz w:val="22"/>
          <w:szCs w:val="22"/>
          <w:lang w:val="es-GT"/>
        </w:rPr>
        <w:t>Perfiles de medios de vida</w:t>
      </w:r>
      <w:r w:rsidRPr="00224B57">
        <w:rPr>
          <w:rFonts w:ascii="Calibri" w:eastAsia="Calibri" w:hAnsi="Calibri" w:cs="Calibri"/>
          <w:b/>
          <w:color w:val="365F91"/>
          <w:sz w:val="22"/>
          <w:szCs w:val="22"/>
          <w:lang w:val="es-GT"/>
        </w:rPr>
        <w:t xml:space="preserve"> y fuen</w:t>
      </w:r>
      <w:r w:rsidR="00365AEF" w:rsidRPr="00224B57">
        <w:rPr>
          <w:rFonts w:ascii="Calibri" w:eastAsia="Calibri" w:hAnsi="Calibri" w:cs="Calibri"/>
          <w:b/>
          <w:color w:val="365F91"/>
          <w:sz w:val="22"/>
          <w:szCs w:val="22"/>
          <w:lang w:val="es-GT"/>
        </w:rPr>
        <w:t>tes de granos básicos para los dos</w:t>
      </w:r>
      <w:r w:rsidRPr="00224B57">
        <w:rPr>
          <w:rFonts w:ascii="Calibri" w:eastAsia="Calibri" w:hAnsi="Calibri" w:cs="Calibri"/>
          <w:b/>
          <w:color w:val="365F91"/>
          <w:sz w:val="22"/>
          <w:szCs w:val="22"/>
          <w:lang w:val="es-GT"/>
        </w:rPr>
        <w:t xml:space="preserve"> grupos socioeconómicos más pobres de Guatemala</w:t>
      </w:r>
      <w:bookmarkEnd w:id="373"/>
      <w:bookmarkEnd w:id="374"/>
      <w:bookmarkEnd w:id="375"/>
      <w:bookmarkEnd w:id="376"/>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391150" cy="3724275"/>
            <wp:effectExtent l="0" t="0" r="0" b="9525"/>
            <wp:docPr id="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l="17146" t="19943" r="24840" b="8820"/>
                    <a:stretch>
                      <a:fillRect/>
                    </a:stretch>
                  </pic:blipFill>
                  <pic:spPr bwMode="auto">
                    <a:xfrm>
                      <a:off x="0" y="0"/>
                      <a:ext cx="5391150" cy="3724275"/>
                    </a:xfrm>
                    <a:prstGeom prst="rect">
                      <a:avLst/>
                    </a:prstGeom>
                    <a:noFill/>
                    <a:ln>
                      <a:noFill/>
                    </a:ln>
                  </pic:spPr>
                </pic:pic>
              </a:graphicData>
            </a:graphic>
          </wp:inline>
        </w:drawing>
      </w:r>
    </w:p>
    <w:p w:rsidR="008327B2" w:rsidRPr="001A01AB" w:rsidRDefault="008327B2" w:rsidP="008327B2">
      <w:pPr>
        <w:autoSpaceDE w:val="0"/>
        <w:autoSpaceDN w:val="0"/>
        <w:adjustRightInd w:val="0"/>
        <w:ind w:right="571"/>
        <w:jc w:val="right"/>
        <w:rPr>
          <w:rFonts w:ascii="Calibri" w:hAnsi="Calibri" w:cs="Calibri"/>
          <w:sz w:val="20"/>
          <w:lang w:val="es-GT"/>
        </w:rPr>
      </w:pPr>
      <w:r w:rsidRPr="001A01AB">
        <w:rPr>
          <w:rFonts w:ascii="Calibri" w:hAnsi="Calibri" w:cs="Calibri"/>
          <w:sz w:val="20"/>
          <w:lang w:val="es-GT"/>
        </w:rPr>
        <w:t xml:space="preserve">Fuente: </w:t>
      </w:r>
      <w:r w:rsidRPr="002E3735">
        <w:rPr>
          <w:rFonts w:ascii="Calibri" w:hAnsi="Calibri" w:cs="Calibri"/>
          <w:sz w:val="20"/>
          <w:highlight w:val="magenta"/>
          <w:lang w:val="es-GT"/>
        </w:rPr>
        <w:t>Perfiles de Medios de Vida, 2007</w:t>
      </w:r>
    </w:p>
    <w:p w:rsidR="008327B2" w:rsidRPr="001A01AB" w:rsidRDefault="008327B2" w:rsidP="008327B2">
      <w:pPr>
        <w:autoSpaceDE w:val="0"/>
        <w:autoSpaceDN w:val="0"/>
        <w:adjustRightInd w:val="0"/>
        <w:jc w:val="both"/>
        <w:rPr>
          <w:rFonts w:ascii="Calibri" w:hAnsi="Calibri" w:cs="Calibri"/>
          <w:lang w:val="es-GT"/>
        </w:rPr>
      </w:pPr>
    </w:p>
    <w:p w:rsidR="008327B2"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Aunque es evidente la dependencia de la compra para ambos productos y grupos, es importante notar algunas tendencias.</w:t>
      </w:r>
      <w:r w:rsidR="00141A70">
        <w:rPr>
          <w:rFonts w:ascii="Calibri" w:hAnsi="Calibri" w:cs="Calibri"/>
          <w:lang w:val="es-GT"/>
        </w:rPr>
        <w:t xml:space="preserve"> </w:t>
      </w:r>
      <w:r w:rsidRPr="001A01AB">
        <w:rPr>
          <w:rFonts w:ascii="Calibri" w:hAnsi="Calibri" w:cs="Calibri"/>
          <w:lang w:val="es-GT"/>
        </w:rPr>
        <w:t>La dependencia de la compra para la obtención del frijol es mayor que en el caso del maíz.</w:t>
      </w:r>
      <w:r w:rsidR="00141A70">
        <w:rPr>
          <w:rFonts w:ascii="Calibri" w:hAnsi="Calibri" w:cs="Calibri"/>
          <w:lang w:val="es-GT"/>
        </w:rPr>
        <w:t xml:space="preserve"> </w:t>
      </w:r>
      <w:r w:rsidRPr="001A01AB">
        <w:rPr>
          <w:rFonts w:ascii="Calibri" w:hAnsi="Calibri" w:cs="Calibri"/>
          <w:lang w:val="es-GT"/>
        </w:rPr>
        <w:t>Sin embargo, los pobres tienden a tener una mayor producción que los extremadamente pobres, y lo hacen predominantemente en tierra propia.</w:t>
      </w:r>
      <w:r w:rsidR="00141A70">
        <w:rPr>
          <w:rFonts w:ascii="Calibri" w:hAnsi="Calibri" w:cs="Calibri"/>
          <w:lang w:val="es-GT"/>
        </w:rPr>
        <w:t xml:space="preserve"> </w:t>
      </w:r>
      <w:r w:rsidRPr="001A01AB">
        <w:rPr>
          <w:rFonts w:ascii="Calibri" w:hAnsi="Calibri" w:cs="Calibri"/>
          <w:lang w:val="es-GT"/>
        </w:rPr>
        <w:t>Para el caso del maíz, la producción de los extremadamente pobres se realiza más frecuentemente en tierra arrendada, pues este grupo tiene menos acceso a tierra propia.</w:t>
      </w:r>
      <w:r w:rsidR="00141A70">
        <w:rPr>
          <w:rFonts w:ascii="Calibri" w:hAnsi="Calibri" w:cs="Calibri"/>
          <w:lang w:val="es-GT"/>
        </w:rPr>
        <w:t xml:space="preserve"> </w:t>
      </w:r>
      <w:r w:rsidRPr="001A01AB">
        <w:rPr>
          <w:rFonts w:ascii="Calibri" w:hAnsi="Calibri" w:cs="Calibri"/>
          <w:lang w:val="es-GT"/>
        </w:rPr>
        <w:t>Los pobres de todas las zonas producen parte del maíz que consumen, especialmente en tierra propia, aunque hay algunas excepciones según cada zona.</w:t>
      </w:r>
      <w:r w:rsidR="00141A70">
        <w:rPr>
          <w:rFonts w:ascii="Calibri" w:hAnsi="Calibri" w:cs="Calibri"/>
          <w:lang w:val="es-GT"/>
        </w:rPr>
        <w:t xml:space="preserve"> </w:t>
      </w:r>
      <w:r w:rsidRPr="001A01AB">
        <w:rPr>
          <w:rFonts w:ascii="Calibri" w:hAnsi="Calibri" w:cs="Calibri"/>
          <w:lang w:val="es-GT"/>
        </w:rPr>
        <w:t xml:space="preserve">Esta alta dependencia a la compra, evidencia la importancia de los precios de </w:t>
      </w:r>
      <w:r w:rsidR="00365AEF">
        <w:rPr>
          <w:rFonts w:ascii="Calibri" w:hAnsi="Calibri" w:cs="Calibri"/>
          <w:lang w:val="es-GT"/>
        </w:rPr>
        <w:t xml:space="preserve">los </w:t>
      </w:r>
      <w:r w:rsidRPr="001A01AB">
        <w:rPr>
          <w:rFonts w:ascii="Calibri" w:hAnsi="Calibri" w:cs="Calibri"/>
          <w:lang w:val="es-GT"/>
        </w:rPr>
        <w:t>granos básicos en el mercado, ya que aunque generalmente se considera que el agricultor produce sus cereales, se ve que para el más pobre no es así.</w:t>
      </w:r>
    </w:p>
    <w:p w:rsidR="00B556CF" w:rsidRPr="001A01AB" w:rsidRDefault="00B556CF"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b/>
          <w:color w:val="365F91"/>
          <w:sz w:val="28"/>
          <w:lang w:val="es-GT"/>
        </w:rPr>
        <w:lastRenderedPageBreak/>
        <w:t>3.2</w:t>
      </w:r>
      <w:r w:rsidRPr="001A01AB">
        <w:rPr>
          <w:rFonts w:ascii="Calibri" w:hAnsi="Calibri" w:cs="Calibri"/>
          <w:b/>
          <w:color w:val="365F91"/>
          <w:sz w:val="28"/>
          <w:lang w:val="es-GT"/>
        </w:rPr>
        <w:tab/>
        <w:t>Criterio de evaluación: P</w:t>
      </w:r>
      <w:r w:rsidR="0073409A" w:rsidRPr="001A01AB">
        <w:rPr>
          <w:rFonts w:ascii="Calibri" w:hAnsi="Calibri" w:cs="Calibri"/>
          <w:b/>
          <w:color w:val="365F91"/>
          <w:sz w:val="28"/>
          <w:lang w:val="es-GT"/>
        </w:rPr>
        <w:t>obreza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3.2.1.</w:t>
      </w:r>
      <w:r w:rsidRPr="001A01AB">
        <w:rPr>
          <w:rFonts w:ascii="Calibri" w:hAnsi="Calibri" w:cs="Calibri"/>
          <w:b/>
          <w:color w:val="365F91"/>
          <w:lang w:val="es-GT"/>
        </w:rPr>
        <w:tab/>
        <w:t>Indicador: P</w:t>
      </w:r>
      <w:r w:rsidR="0073409A" w:rsidRPr="001A01AB">
        <w:rPr>
          <w:rFonts w:ascii="Calibri" w:hAnsi="Calibri" w:cs="Calibri"/>
          <w:b/>
          <w:color w:val="365F91"/>
          <w:lang w:val="es-GT"/>
        </w:rPr>
        <w:t>obreza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La erradicación de la pobreza continúa siendo el mayor desafío para los </w:t>
      </w:r>
      <w:r w:rsidR="00B60B6B">
        <w:rPr>
          <w:rFonts w:ascii="Calibri" w:hAnsi="Calibri" w:cs="Calibri"/>
          <w:lang w:val="es-GT"/>
        </w:rPr>
        <w:t>tomadores de decisión</w:t>
      </w:r>
      <w:r w:rsidRPr="001A01AB">
        <w:rPr>
          <w:rFonts w:ascii="Calibri" w:hAnsi="Calibri" w:cs="Calibri"/>
          <w:lang w:val="es-GT"/>
        </w:rPr>
        <w:t xml:space="preserve">. Además, la medición del nivel de pobreza provee un punto de vista que simultáneamente toma en cuenta otros indicadores de desarrollo, </w:t>
      </w:r>
      <w:r w:rsidR="00B55DB8">
        <w:rPr>
          <w:rFonts w:ascii="Calibri" w:hAnsi="Calibri" w:cs="Calibri"/>
          <w:lang w:val="es-GT"/>
        </w:rPr>
        <w:t xml:space="preserve">el </w:t>
      </w:r>
      <w:r w:rsidRPr="001A01AB">
        <w:rPr>
          <w:rFonts w:ascii="Calibri" w:hAnsi="Calibri" w:cs="Calibri"/>
          <w:lang w:val="es-GT"/>
        </w:rPr>
        <w:t>uso de bienes nat</w:t>
      </w:r>
      <w:r w:rsidR="0073409A">
        <w:rPr>
          <w:rFonts w:ascii="Calibri" w:hAnsi="Calibri" w:cs="Calibri"/>
          <w:lang w:val="es-GT"/>
        </w:rPr>
        <w:t xml:space="preserve">urales y </w:t>
      </w:r>
      <w:r w:rsidR="00B55DB8">
        <w:rPr>
          <w:rFonts w:ascii="Calibri" w:hAnsi="Calibri" w:cs="Calibri"/>
          <w:lang w:val="es-GT"/>
        </w:rPr>
        <w:t xml:space="preserve">la </w:t>
      </w:r>
      <w:r w:rsidR="0073409A">
        <w:rPr>
          <w:rFonts w:ascii="Calibri" w:hAnsi="Calibri" w:cs="Calibri"/>
          <w:lang w:val="es-GT"/>
        </w:rPr>
        <w:t>calidad ambiental (</w:t>
      </w:r>
      <w:r w:rsidRPr="001A01AB">
        <w:rPr>
          <w:rFonts w:ascii="Calibri" w:hAnsi="Calibri" w:cs="Calibri"/>
          <w:lang w:val="es-GT"/>
        </w:rPr>
        <w:t>IARNA</w:t>
      </w:r>
      <w:r w:rsidR="0073409A">
        <w:rPr>
          <w:rFonts w:ascii="Calibri" w:hAnsi="Calibri" w:cs="Calibri"/>
          <w:lang w:val="es-GT"/>
        </w:rPr>
        <w:t>-URL y</w:t>
      </w:r>
      <w:r w:rsidRPr="001A01AB">
        <w:rPr>
          <w:rFonts w:ascii="Calibri" w:hAnsi="Calibri" w:cs="Calibri"/>
          <w:lang w:val="es-GT"/>
        </w:rPr>
        <w:t xml:space="preserve"> SEGEPLAN, 2009).</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La Encuesta </w:t>
      </w:r>
      <w:r w:rsidR="00B55DB8">
        <w:rPr>
          <w:rFonts w:ascii="Calibri" w:hAnsi="Calibri" w:cs="Calibri"/>
          <w:lang w:val="es-GT"/>
        </w:rPr>
        <w:t>Nacional de Condiciones de V</w:t>
      </w:r>
      <w:r w:rsidRPr="001A01AB">
        <w:rPr>
          <w:rFonts w:ascii="Calibri" w:hAnsi="Calibri" w:cs="Calibri"/>
          <w:lang w:val="es-GT"/>
        </w:rPr>
        <w:t xml:space="preserve">ida </w:t>
      </w:r>
      <w:r w:rsidR="00B55DB8">
        <w:rPr>
          <w:rFonts w:ascii="Calibri" w:hAnsi="Calibri" w:cs="Calibri"/>
          <w:lang w:val="es-GT"/>
        </w:rPr>
        <w:t>(</w:t>
      </w:r>
      <w:r w:rsidRPr="001A01AB">
        <w:rPr>
          <w:rFonts w:ascii="Calibri" w:hAnsi="Calibri" w:cs="Calibri"/>
          <w:lang w:val="es-GT"/>
        </w:rPr>
        <w:t>ENCOVI</w:t>
      </w:r>
      <w:r w:rsidR="00B55DB8">
        <w:rPr>
          <w:rFonts w:ascii="Calibri" w:hAnsi="Calibri" w:cs="Calibri"/>
          <w:lang w:val="es-GT"/>
        </w:rPr>
        <w:t>)</w:t>
      </w:r>
      <w:r w:rsidRPr="001A01AB">
        <w:rPr>
          <w:rFonts w:ascii="Calibri" w:hAnsi="Calibri" w:cs="Calibri"/>
          <w:lang w:val="es-GT"/>
        </w:rPr>
        <w:t xml:space="preserve"> tiene como objetivo fundamental calcular la pobreza en Guatemala, a través del establecimiento de las líneas de pobreza extrema y pobreza general, y la comparación del gasto per cápita anual con esas líneas de pobreza.</w:t>
      </w:r>
      <w:r w:rsidR="00141A70">
        <w:rPr>
          <w:rFonts w:ascii="Calibri" w:hAnsi="Calibri" w:cs="Calibri"/>
          <w:lang w:val="es-GT"/>
        </w:rPr>
        <w:t xml:space="preserve"> </w:t>
      </w:r>
      <w:r w:rsidRPr="001A01AB">
        <w:rPr>
          <w:rFonts w:ascii="Calibri" w:hAnsi="Calibri" w:cs="Calibri"/>
          <w:lang w:val="es-GT"/>
        </w:rPr>
        <w:t xml:space="preserve">Se estableció como línea de pobreza extrema un gasto total en alimentos de Q.4,380.00 per cápita por año para el nivel nacional. Así mismo, una línea de pobreza general con un gasto total de Q.9,030.93 per cápita por año para el nivel nacional </w:t>
      </w:r>
      <w:r w:rsidRPr="002E3735">
        <w:rPr>
          <w:rFonts w:ascii="Calibri" w:hAnsi="Calibri" w:cs="Calibri"/>
          <w:highlight w:val="magenta"/>
          <w:lang w:val="es-GT"/>
        </w:rPr>
        <w:t>(ENCOVI, 2011).</w:t>
      </w:r>
    </w:p>
    <w:p w:rsidR="008327B2" w:rsidRPr="001A01AB" w:rsidRDefault="008327B2" w:rsidP="008327B2">
      <w:pPr>
        <w:jc w:val="both"/>
        <w:rPr>
          <w:rFonts w:ascii="Calibri" w:hAnsi="Calibri" w:cs="Calibri"/>
          <w:lang w:val="es-GT"/>
        </w:rPr>
      </w:pPr>
    </w:p>
    <w:p w:rsidR="008327B2" w:rsidRPr="001A01AB" w:rsidRDefault="00B55DB8" w:rsidP="008327B2">
      <w:pPr>
        <w:jc w:val="both"/>
        <w:rPr>
          <w:rFonts w:ascii="Calibri" w:hAnsi="Calibri" w:cs="Calibri"/>
          <w:lang w:val="es-GT"/>
        </w:rPr>
      </w:pPr>
      <w:r>
        <w:rPr>
          <w:rFonts w:ascii="Calibri" w:hAnsi="Calibri" w:cs="Calibri"/>
          <w:lang w:val="es-GT"/>
        </w:rPr>
        <w:t>La ENCOVI</w:t>
      </w:r>
      <w:r w:rsidR="008327B2" w:rsidRPr="001A01AB">
        <w:rPr>
          <w:rFonts w:ascii="Calibri" w:hAnsi="Calibri" w:cs="Calibri"/>
          <w:lang w:val="es-GT"/>
        </w:rPr>
        <w:t xml:space="preserve"> 2011, define </w:t>
      </w:r>
      <w:r>
        <w:rPr>
          <w:rFonts w:ascii="Calibri" w:hAnsi="Calibri" w:cs="Calibri"/>
          <w:lang w:val="es-GT"/>
        </w:rPr>
        <w:t xml:space="preserve">a </w:t>
      </w:r>
      <w:r w:rsidR="008327B2" w:rsidRPr="001A01AB">
        <w:rPr>
          <w:rFonts w:ascii="Calibri" w:hAnsi="Calibri" w:cs="Calibri"/>
          <w:lang w:val="es-GT"/>
        </w:rPr>
        <w:t xml:space="preserve">la pobreza extrema como la </w:t>
      </w:r>
      <w:r w:rsidR="008327B2" w:rsidRPr="00B55DB8">
        <w:rPr>
          <w:rFonts w:ascii="Calibri" w:hAnsi="Calibri" w:cs="Calibri"/>
          <w:i/>
          <w:lang w:val="es-GT"/>
        </w:rPr>
        <w:t>relación porcentual entre la población que no alcanza el nivel de consumo de la línea de pobreza extrema y la población total</w:t>
      </w:r>
      <w:r w:rsidR="008327B2" w:rsidRPr="001A01AB">
        <w:rPr>
          <w:rFonts w:ascii="Calibri" w:hAnsi="Calibri" w:cs="Calibri"/>
          <w:lang w:val="es-GT"/>
        </w:rPr>
        <w:t xml:space="preserve">; </w:t>
      </w:r>
      <w:r>
        <w:rPr>
          <w:rFonts w:ascii="Calibri" w:hAnsi="Calibri" w:cs="Calibri"/>
          <w:lang w:val="es-GT"/>
        </w:rPr>
        <w:t xml:space="preserve">a </w:t>
      </w:r>
      <w:r w:rsidR="008327B2" w:rsidRPr="001A01AB">
        <w:rPr>
          <w:rFonts w:ascii="Calibri" w:hAnsi="Calibri" w:cs="Calibri"/>
          <w:lang w:val="es-GT"/>
        </w:rPr>
        <w:t xml:space="preserve">la pobreza no extrema </w:t>
      </w:r>
      <w:r>
        <w:rPr>
          <w:rFonts w:ascii="Calibri" w:hAnsi="Calibri" w:cs="Calibri"/>
          <w:lang w:val="es-GT"/>
        </w:rPr>
        <w:t>como</w:t>
      </w:r>
      <w:r w:rsidR="008327B2" w:rsidRPr="001A01AB">
        <w:rPr>
          <w:rFonts w:ascii="Calibri" w:hAnsi="Calibri" w:cs="Calibri"/>
          <w:lang w:val="es-GT"/>
        </w:rPr>
        <w:t xml:space="preserve"> </w:t>
      </w:r>
      <w:r w:rsidR="008327B2" w:rsidRPr="00B55DB8">
        <w:rPr>
          <w:rFonts w:ascii="Calibri" w:hAnsi="Calibri" w:cs="Calibri"/>
          <w:i/>
          <w:lang w:val="es-GT"/>
        </w:rPr>
        <w:t>la relación porcentual entre la población que supera la línea de pobreza extrema pero no alcanza la línea de pobreza general y la población total</w:t>
      </w:r>
      <w:r w:rsidR="008327B2" w:rsidRPr="001A01AB">
        <w:rPr>
          <w:rFonts w:ascii="Calibri" w:hAnsi="Calibri" w:cs="Calibri"/>
          <w:lang w:val="es-GT"/>
        </w:rPr>
        <w:t xml:space="preserve">; </w:t>
      </w:r>
      <w:r>
        <w:rPr>
          <w:rFonts w:ascii="Calibri" w:hAnsi="Calibri" w:cs="Calibri"/>
          <w:lang w:val="es-GT"/>
        </w:rPr>
        <w:t xml:space="preserve">y </w:t>
      </w:r>
      <w:r w:rsidR="008327B2" w:rsidRPr="001A01AB">
        <w:rPr>
          <w:rFonts w:ascii="Calibri" w:hAnsi="Calibri" w:cs="Calibri"/>
          <w:lang w:val="es-GT"/>
        </w:rPr>
        <w:t xml:space="preserve">la no pobreza </w:t>
      </w:r>
      <w:r>
        <w:rPr>
          <w:rFonts w:ascii="Calibri" w:hAnsi="Calibri" w:cs="Calibri"/>
          <w:lang w:val="es-GT"/>
        </w:rPr>
        <w:t>como</w:t>
      </w:r>
      <w:r w:rsidR="008327B2" w:rsidRPr="001A01AB">
        <w:rPr>
          <w:rFonts w:ascii="Calibri" w:hAnsi="Calibri" w:cs="Calibri"/>
          <w:lang w:val="es-GT"/>
        </w:rPr>
        <w:t xml:space="preserve"> </w:t>
      </w:r>
      <w:r w:rsidR="008327B2" w:rsidRPr="00B55DB8">
        <w:rPr>
          <w:rFonts w:ascii="Calibri" w:hAnsi="Calibri" w:cs="Calibri"/>
          <w:i/>
          <w:lang w:val="es-GT"/>
        </w:rPr>
        <w:t>la relación porcentual entre la población que supera la línea de pobreza general y la población total</w:t>
      </w:r>
      <w:r w:rsidR="008327B2" w:rsidRPr="001A01AB">
        <w:rPr>
          <w:rFonts w:ascii="Calibri" w:hAnsi="Calibri" w:cs="Calibri"/>
          <w:lang w:val="es-GT"/>
        </w:rPr>
        <w:t>. La pobreza general es la suma de la pobreza extrema y la pobreza no extrema.</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Como se aprecia en el </w:t>
      </w:r>
      <w:r w:rsidR="00B55DB8">
        <w:rPr>
          <w:rFonts w:ascii="Calibri" w:hAnsi="Calibri" w:cs="Calibri"/>
          <w:lang w:val="es-GT"/>
        </w:rPr>
        <w:t xml:space="preserve">Cuadro </w:t>
      </w:r>
      <w:r w:rsidR="004C77F8">
        <w:rPr>
          <w:rFonts w:ascii="Calibri" w:hAnsi="Calibri" w:cs="Calibri"/>
          <w:lang w:val="es-GT"/>
        </w:rPr>
        <w:t>31</w:t>
      </w:r>
      <w:r w:rsidR="00B55DB8">
        <w:rPr>
          <w:rFonts w:ascii="Calibri" w:hAnsi="Calibri" w:cs="Calibri"/>
          <w:lang w:val="es-GT"/>
        </w:rPr>
        <w:t>,</w:t>
      </w:r>
      <w:r w:rsidRPr="001A01AB">
        <w:rPr>
          <w:rFonts w:ascii="Calibri" w:hAnsi="Calibri" w:cs="Calibri"/>
          <w:lang w:val="es-GT"/>
        </w:rPr>
        <w:t xml:space="preserve"> los departamentos de Guatemala, El Progreso y Escuintla reportan los niveles más altos de no pobreza y</w:t>
      </w:r>
      <w:r w:rsidR="00B55DB8">
        <w:rPr>
          <w:rFonts w:ascii="Calibri" w:hAnsi="Calibri" w:cs="Calibri"/>
          <w:lang w:val="es-GT"/>
        </w:rPr>
        <w:t>,</w:t>
      </w:r>
      <w:r w:rsidRPr="001A01AB">
        <w:rPr>
          <w:rFonts w:ascii="Calibri" w:hAnsi="Calibri" w:cs="Calibri"/>
          <w:lang w:val="es-GT"/>
        </w:rPr>
        <w:t xml:space="preserve"> consecuentemente</w:t>
      </w:r>
      <w:r w:rsidR="00B55DB8">
        <w:rPr>
          <w:rFonts w:ascii="Calibri" w:hAnsi="Calibri" w:cs="Calibri"/>
          <w:lang w:val="es-GT"/>
        </w:rPr>
        <w:t>,</w:t>
      </w:r>
      <w:r w:rsidRPr="001A01AB">
        <w:rPr>
          <w:rFonts w:ascii="Calibri" w:hAnsi="Calibri" w:cs="Calibri"/>
          <w:lang w:val="es-GT"/>
        </w:rPr>
        <w:t xml:space="preserve"> los valores más bajos en pobreza extrema. Los departamentos de Sololá, Alta Verapaz y Totonicapán reportan los valores más bajos de no pobreza y</w:t>
      </w:r>
      <w:r w:rsidR="00B55DB8">
        <w:rPr>
          <w:rFonts w:ascii="Calibri" w:hAnsi="Calibri" w:cs="Calibri"/>
          <w:lang w:val="es-GT"/>
        </w:rPr>
        <w:t>,</w:t>
      </w:r>
      <w:r w:rsidRPr="001A01AB">
        <w:rPr>
          <w:rFonts w:ascii="Calibri" w:hAnsi="Calibri" w:cs="Calibri"/>
          <w:lang w:val="es-GT"/>
        </w:rPr>
        <w:t xml:space="preserve"> lógicamente, los valores más altos en pobreza extrema. Alta Verapaz</w:t>
      </w:r>
      <w:r w:rsidR="00B55DB8">
        <w:rPr>
          <w:rFonts w:ascii="Calibri" w:hAnsi="Calibri" w:cs="Calibri"/>
          <w:lang w:val="es-GT"/>
        </w:rPr>
        <w:t>,</w:t>
      </w:r>
      <w:r w:rsidRPr="001A01AB">
        <w:rPr>
          <w:rFonts w:ascii="Calibri" w:hAnsi="Calibri" w:cs="Calibri"/>
          <w:lang w:val="es-GT"/>
        </w:rPr>
        <w:t xml:space="preserve"> con indicador de pobreza general del 77%</w:t>
      </w:r>
      <w:r w:rsidR="00B55DB8">
        <w:rPr>
          <w:rFonts w:ascii="Calibri" w:hAnsi="Calibri" w:cs="Calibri"/>
          <w:lang w:val="es-GT"/>
        </w:rPr>
        <w:t>,</w:t>
      </w:r>
      <w:r w:rsidRPr="001A01AB">
        <w:rPr>
          <w:rFonts w:ascii="Calibri" w:hAnsi="Calibri" w:cs="Calibri"/>
          <w:lang w:val="es-GT"/>
        </w:rPr>
        <w:t xml:space="preserve"> reporta el 30% de pobreza extrema.</w:t>
      </w:r>
    </w:p>
    <w:p w:rsidR="008327B2" w:rsidRPr="001A01AB" w:rsidRDefault="008327B2" w:rsidP="008327B2">
      <w:pPr>
        <w:jc w:val="both"/>
        <w:rPr>
          <w:rFonts w:ascii="Calibri" w:hAnsi="Calibri" w:cs="Calibri"/>
          <w:lang w:val="es-GT"/>
        </w:rPr>
      </w:pPr>
    </w:p>
    <w:p w:rsidR="008327B2" w:rsidRDefault="00C54ACC" w:rsidP="007033AE">
      <w:pPr>
        <w:pStyle w:val="Epgrafe"/>
        <w:jc w:val="center"/>
        <w:rPr>
          <w:rFonts w:asciiTheme="minorHAnsi" w:hAnsiTheme="minorHAnsi" w:cstheme="minorHAnsi"/>
          <w:color w:val="365F91" w:themeColor="accent1" w:themeShade="BF"/>
          <w:sz w:val="22"/>
          <w:szCs w:val="22"/>
          <w:lang w:val="es-GT"/>
        </w:rPr>
      </w:pPr>
      <w:bookmarkStart w:id="377" w:name="_Toc340032175"/>
      <w:bookmarkStart w:id="378" w:name="_Toc340034452"/>
      <w:bookmarkStart w:id="379" w:name="_Toc343164659"/>
      <w:bookmarkStart w:id="380" w:name="_Toc347841213"/>
      <w:r w:rsidRPr="007033AE">
        <w:rPr>
          <w:rFonts w:asciiTheme="minorHAnsi" w:hAnsiTheme="minorHAnsi" w:cstheme="minorHAnsi"/>
          <w:color w:val="365F91" w:themeColor="accent1" w:themeShade="BF"/>
          <w:sz w:val="22"/>
          <w:szCs w:val="22"/>
          <w:lang w:val="es-GT"/>
        </w:rPr>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31</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6329F" w:rsidRPr="007033AE">
        <w:rPr>
          <w:rFonts w:asciiTheme="minorHAnsi" w:hAnsiTheme="minorHAnsi" w:cstheme="minorHAnsi"/>
          <w:color w:val="365F91" w:themeColor="accent1" w:themeShade="BF"/>
          <w:sz w:val="22"/>
          <w:szCs w:val="22"/>
          <w:lang w:val="es-GT"/>
        </w:rPr>
        <w:t>Matriz de p</w:t>
      </w:r>
      <w:r w:rsidR="008327B2" w:rsidRPr="007033AE">
        <w:rPr>
          <w:rFonts w:asciiTheme="minorHAnsi" w:hAnsiTheme="minorHAnsi" w:cstheme="minorHAnsi"/>
          <w:color w:val="365F91" w:themeColor="accent1" w:themeShade="BF"/>
          <w:sz w:val="22"/>
          <w:szCs w:val="22"/>
          <w:lang w:val="es-GT"/>
        </w:rPr>
        <w:t>obreza</w:t>
      </w:r>
      <w:r w:rsidR="00B55DB8" w:rsidRPr="007033AE">
        <w:rPr>
          <w:rFonts w:asciiTheme="minorHAnsi" w:hAnsiTheme="minorHAnsi" w:cstheme="minorHAnsi"/>
          <w:color w:val="365F91" w:themeColor="accent1" w:themeShade="BF"/>
          <w:sz w:val="22"/>
          <w:szCs w:val="22"/>
          <w:lang w:val="es-GT"/>
        </w:rPr>
        <w:t xml:space="preserve"> en Guatemala por departamento. Año </w:t>
      </w:r>
      <w:r w:rsidR="008327B2" w:rsidRPr="007033AE">
        <w:rPr>
          <w:rFonts w:asciiTheme="minorHAnsi" w:hAnsiTheme="minorHAnsi" w:cstheme="minorHAnsi"/>
          <w:color w:val="365F91" w:themeColor="accent1" w:themeShade="BF"/>
          <w:sz w:val="22"/>
          <w:szCs w:val="22"/>
          <w:lang w:val="es-GT"/>
        </w:rPr>
        <w:t>2011</w:t>
      </w:r>
      <w:bookmarkEnd w:id="377"/>
      <w:bookmarkEnd w:id="378"/>
      <w:bookmarkEnd w:id="379"/>
      <w:bookmarkEnd w:id="380"/>
    </w:p>
    <w:p w:rsidR="007033AE" w:rsidRPr="007033AE" w:rsidRDefault="007033AE" w:rsidP="007033AE">
      <w:pPr>
        <w:rPr>
          <w:lang w:val="es-GT"/>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795"/>
        <w:gridCol w:w="1796"/>
        <w:gridCol w:w="1654"/>
        <w:gridCol w:w="1559"/>
      </w:tblGrid>
      <w:tr w:rsidR="004C77F8" w:rsidRPr="004C77F8" w:rsidTr="004C77F8">
        <w:trPr>
          <w:tblHeader/>
          <w:jc w:val="center"/>
        </w:trPr>
        <w:tc>
          <w:tcPr>
            <w:tcW w:w="2376" w:type="dxa"/>
            <w:tcBorders>
              <w:bottom w:val="single" w:sz="4" w:space="0" w:color="auto"/>
            </w:tcBorders>
            <w:shd w:val="clear" w:color="auto" w:fill="244061" w:themeFill="accent1" w:themeFillShade="80"/>
            <w:vAlign w:val="center"/>
          </w:tcPr>
          <w:p w:rsidR="008327B2" w:rsidRPr="004C77F8" w:rsidRDefault="008327B2" w:rsidP="001A01AB">
            <w:pPr>
              <w:autoSpaceDE w:val="0"/>
              <w:autoSpaceDN w:val="0"/>
              <w:adjustRightInd w:val="0"/>
              <w:spacing w:before="40" w:after="40"/>
              <w:jc w:val="center"/>
              <w:rPr>
                <w:rFonts w:ascii="Calibri" w:hAnsi="Calibri" w:cs="Calibri"/>
                <w:b/>
                <w:color w:val="FFFFFF" w:themeColor="background1"/>
                <w:sz w:val="22"/>
                <w:szCs w:val="22"/>
                <w:lang w:val="es-GT"/>
              </w:rPr>
            </w:pPr>
            <w:r w:rsidRPr="004C77F8">
              <w:rPr>
                <w:rFonts w:ascii="Calibri" w:hAnsi="Calibri" w:cs="Calibri"/>
                <w:b/>
                <w:color w:val="FFFFFF" w:themeColor="background1"/>
                <w:sz w:val="22"/>
                <w:szCs w:val="22"/>
                <w:lang w:val="es-GT"/>
              </w:rPr>
              <w:t>Departamento</w:t>
            </w:r>
          </w:p>
        </w:tc>
        <w:tc>
          <w:tcPr>
            <w:tcW w:w="1795" w:type="dxa"/>
            <w:tcBorders>
              <w:bottom w:val="single" w:sz="4" w:space="0" w:color="auto"/>
            </w:tcBorders>
            <w:shd w:val="clear" w:color="auto" w:fill="244061" w:themeFill="accent1" w:themeFillShade="80"/>
            <w:vAlign w:val="center"/>
          </w:tcPr>
          <w:p w:rsidR="008327B2" w:rsidRPr="004C77F8" w:rsidRDefault="008327B2" w:rsidP="0017736D">
            <w:pPr>
              <w:autoSpaceDE w:val="0"/>
              <w:autoSpaceDN w:val="0"/>
              <w:adjustRightInd w:val="0"/>
              <w:spacing w:before="40" w:after="40"/>
              <w:jc w:val="center"/>
              <w:rPr>
                <w:rFonts w:ascii="Calibri" w:hAnsi="Calibri" w:cs="Calibri"/>
                <w:b/>
                <w:color w:val="FFFFFF" w:themeColor="background1"/>
                <w:sz w:val="22"/>
                <w:szCs w:val="22"/>
                <w:lang w:val="es-GT"/>
              </w:rPr>
            </w:pPr>
            <w:r w:rsidRPr="004C77F8">
              <w:rPr>
                <w:rFonts w:ascii="Calibri" w:hAnsi="Calibri" w:cs="Calibri"/>
                <w:b/>
                <w:color w:val="FFFFFF" w:themeColor="background1"/>
                <w:sz w:val="22"/>
                <w:szCs w:val="22"/>
                <w:lang w:val="es-GT"/>
              </w:rPr>
              <w:t xml:space="preserve">Pobreza </w:t>
            </w:r>
            <w:r w:rsidR="0017736D" w:rsidRPr="004C77F8">
              <w:rPr>
                <w:rFonts w:ascii="Calibri" w:hAnsi="Calibri" w:cs="Calibri"/>
                <w:b/>
                <w:color w:val="FFFFFF" w:themeColor="background1"/>
                <w:sz w:val="22"/>
                <w:szCs w:val="22"/>
                <w:lang w:val="es-GT"/>
              </w:rPr>
              <w:t>e</w:t>
            </w:r>
            <w:r w:rsidRPr="004C77F8">
              <w:rPr>
                <w:rFonts w:ascii="Calibri" w:hAnsi="Calibri" w:cs="Calibri"/>
                <w:b/>
                <w:color w:val="FFFFFF" w:themeColor="background1"/>
                <w:sz w:val="22"/>
                <w:szCs w:val="22"/>
                <w:lang w:val="es-GT"/>
              </w:rPr>
              <w:t>xtrema</w:t>
            </w:r>
          </w:p>
        </w:tc>
        <w:tc>
          <w:tcPr>
            <w:tcW w:w="1796" w:type="dxa"/>
            <w:tcBorders>
              <w:bottom w:val="single" w:sz="4" w:space="0" w:color="auto"/>
            </w:tcBorders>
            <w:shd w:val="clear" w:color="auto" w:fill="244061" w:themeFill="accent1" w:themeFillShade="80"/>
            <w:vAlign w:val="center"/>
          </w:tcPr>
          <w:p w:rsidR="008327B2" w:rsidRPr="004C77F8" w:rsidRDefault="008327B2" w:rsidP="001A01AB">
            <w:pPr>
              <w:autoSpaceDE w:val="0"/>
              <w:autoSpaceDN w:val="0"/>
              <w:adjustRightInd w:val="0"/>
              <w:spacing w:before="40" w:after="40"/>
              <w:jc w:val="center"/>
              <w:rPr>
                <w:rFonts w:ascii="Calibri" w:hAnsi="Calibri" w:cs="Calibri"/>
                <w:b/>
                <w:color w:val="FFFFFF" w:themeColor="background1"/>
                <w:sz w:val="22"/>
                <w:szCs w:val="22"/>
                <w:lang w:val="es-GT"/>
              </w:rPr>
            </w:pPr>
            <w:r w:rsidRPr="004C77F8">
              <w:rPr>
                <w:rFonts w:ascii="Calibri" w:hAnsi="Calibri" w:cs="Calibri"/>
                <w:b/>
                <w:color w:val="FFFFFF" w:themeColor="background1"/>
                <w:sz w:val="22"/>
                <w:szCs w:val="22"/>
                <w:lang w:val="es-GT"/>
              </w:rPr>
              <w:t xml:space="preserve">Pobreza </w:t>
            </w:r>
            <w:r w:rsidR="0017736D" w:rsidRPr="004C77F8">
              <w:rPr>
                <w:rFonts w:ascii="Calibri" w:hAnsi="Calibri" w:cs="Calibri"/>
                <w:b/>
                <w:color w:val="FFFFFF" w:themeColor="background1"/>
                <w:sz w:val="22"/>
                <w:szCs w:val="22"/>
                <w:lang w:val="es-GT"/>
              </w:rPr>
              <w:t>no extrema</w:t>
            </w:r>
          </w:p>
        </w:tc>
        <w:tc>
          <w:tcPr>
            <w:tcW w:w="1654" w:type="dxa"/>
            <w:tcBorders>
              <w:bottom w:val="single" w:sz="4" w:space="0" w:color="auto"/>
            </w:tcBorders>
            <w:shd w:val="clear" w:color="auto" w:fill="244061" w:themeFill="accent1" w:themeFillShade="80"/>
            <w:vAlign w:val="center"/>
          </w:tcPr>
          <w:p w:rsidR="008327B2" w:rsidRPr="004C77F8" w:rsidRDefault="0017736D" w:rsidP="001A01AB">
            <w:pPr>
              <w:autoSpaceDE w:val="0"/>
              <w:autoSpaceDN w:val="0"/>
              <w:adjustRightInd w:val="0"/>
              <w:spacing w:before="40" w:after="40"/>
              <w:jc w:val="center"/>
              <w:rPr>
                <w:rFonts w:ascii="Calibri" w:hAnsi="Calibri" w:cs="Calibri"/>
                <w:b/>
                <w:color w:val="FFFFFF" w:themeColor="background1"/>
                <w:sz w:val="22"/>
                <w:szCs w:val="22"/>
                <w:lang w:val="es-GT"/>
              </w:rPr>
            </w:pPr>
            <w:r w:rsidRPr="004C77F8">
              <w:rPr>
                <w:rFonts w:ascii="Calibri" w:hAnsi="Calibri" w:cs="Calibri"/>
                <w:b/>
                <w:color w:val="FFFFFF" w:themeColor="background1"/>
                <w:sz w:val="22"/>
                <w:szCs w:val="22"/>
                <w:lang w:val="es-GT"/>
              </w:rPr>
              <w:t>Pobreza t</w:t>
            </w:r>
            <w:r w:rsidR="008327B2" w:rsidRPr="004C77F8">
              <w:rPr>
                <w:rFonts w:ascii="Calibri" w:hAnsi="Calibri" w:cs="Calibri"/>
                <w:b/>
                <w:color w:val="FFFFFF" w:themeColor="background1"/>
                <w:sz w:val="22"/>
                <w:szCs w:val="22"/>
                <w:lang w:val="es-GT"/>
              </w:rPr>
              <w:t>otal</w:t>
            </w:r>
          </w:p>
        </w:tc>
        <w:tc>
          <w:tcPr>
            <w:tcW w:w="1559" w:type="dxa"/>
            <w:tcBorders>
              <w:bottom w:val="single" w:sz="4" w:space="0" w:color="auto"/>
            </w:tcBorders>
            <w:shd w:val="clear" w:color="auto" w:fill="244061" w:themeFill="accent1" w:themeFillShade="80"/>
            <w:vAlign w:val="center"/>
          </w:tcPr>
          <w:p w:rsidR="008327B2" w:rsidRPr="004C77F8" w:rsidRDefault="0017736D" w:rsidP="001A01AB">
            <w:pPr>
              <w:autoSpaceDE w:val="0"/>
              <w:autoSpaceDN w:val="0"/>
              <w:adjustRightInd w:val="0"/>
              <w:spacing w:before="40" w:after="40"/>
              <w:jc w:val="center"/>
              <w:rPr>
                <w:rFonts w:ascii="Calibri" w:hAnsi="Calibri" w:cs="Calibri"/>
                <w:b/>
                <w:color w:val="FFFFFF" w:themeColor="background1"/>
                <w:sz w:val="22"/>
                <w:szCs w:val="22"/>
                <w:lang w:val="es-GT"/>
              </w:rPr>
            </w:pPr>
            <w:r w:rsidRPr="004C77F8">
              <w:rPr>
                <w:rFonts w:ascii="Calibri" w:hAnsi="Calibri" w:cs="Calibri"/>
                <w:b/>
                <w:color w:val="FFFFFF" w:themeColor="background1"/>
                <w:sz w:val="22"/>
                <w:szCs w:val="22"/>
                <w:lang w:val="es-GT"/>
              </w:rPr>
              <w:t>No p</w:t>
            </w:r>
            <w:r w:rsidR="008327B2" w:rsidRPr="004C77F8">
              <w:rPr>
                <w:rFonts w:ascii="Calibri" w:hAnsi="Calibri" w:cs="Calibri"/>
                <w:b/>
                <w:color w:val="FFFFFF" w:themeColor="background1"/>
                <w:sz w:val="22"/>
                <w:szCs w:val="22"/>
                <w:lang w:val="es-GT"/>
              </w:rPr>
              <w:t>obreza</w:t>
            </w:r>
          </w:p>
        </w:tc>
      </w:tr>
      <w:tr w:rsidR="008327B2" w:rsidRPr="004C77F8" w:rsidTr="001A01AB">
        <w:trPr>
          <w:jc w:val="center"/>
        </w:trPr>
        <w:tc>
          <w:tcPr>
            <w:tcW w:w="2376" w:type="dxa"/>
            <w:tcBorders>
              <w:bottom w:val="dotted" w:sz="4" w:space="0" w:color="auto"/>
            </w:tcBorders>
            <w:shd w:val="clear" w:color="auto" w:fill="auto"/>
          </w:tcPr>
          <w:p w:rsidR="008327B2" w:rsidRPr="004C77F8" w:rsidRDefault="008327B2" w:rsidP="001A01AB">
            <w:pPr>
              <w:autoSpaceDE w:val="0"/>
              <w:autoSpaceDN w:val="0"/>
              <w:adjustRightInd w:val="0"/>
              <w:spacing w:before="40" w:after="40"/>
              <w:jc w:val="both"/>
              <w:rPr>
                <w:rFonts w:ascii="Calibri" w:hAnsi="Calibri" w:cs="Calibri"/>
                <w:sz w:val="22"/>
                <w:szCs w:val="22"/>
                <w:lang w:val="es-GT"/>
              </w:rPr>
            </w:pPr>
            <w:r w:rsidRPr="004C77F8">
              <w:rPr>
                <w:rFonts w:ascii="Calibri" w:hAnsi="Calibri" w:cs="Calibri"/>
                <w:sz w:val="22"/>
                <w:szCs w:val="22"/>
                <w:lang w:val="es-GT"/>
              </w:rPr>
              <w:t xml:space="preserve">Guatemala </w:t>
            </w:r>
          </w:p>
        </w:tc>
        <w:tc>
          <w:tcPr>
            <w:tcW w:w="1795" w:type="dxa"/>
            <w:tcBorders>
              <w:bottom w:val="dotted" w:sz="4" w:space="0" w:color="auto"/>
            </w:tcBorders>
            <w:shd w:val="clear" w:color="auto" w:fill="auto"/>
            <w:vAlign w:val="center"/>
          </w:tcPr>
          <w:p w:rsidR="008327B2" w:rsidRPr="004C77F8" w:rsidRDefault="008327B2" w:rsidP="001A01AB">
            <w:pPr>
              <w:autoSpaceDE w:val="0"/>
              <w:autoSpaceDN w:val="0"/>
              <w:adjustRightInd w:val="0"/>
              <w:spacing w:before="40" w:after="40"/>
              <w:jc w:val="center"/>
              <w:rPr>
                <w:rFonts w:ascii="Calibri" w:hAnsi="Calibri" w:cs="Calibri"/>
                <w:sz w:val="22"/>
                <w:szCs w:val="22"/>
                <w:lang w:val="es-GT"/>
              </w:rPr>
            </w:pPr>
            <w:r w:rsidRPr="004C77F8">
              <w:rPr>
                <w:rFonts w:ascii="Calibri" w:hAnsi="Calibri" w:cs="Calibri"/>
                <w:sz w:val="22"/>
                <w:szCs w:val="22"/>
                <w:lang w:val="es-GT"/>
              </w:rPr>
              <w:t>0.69</w:t>
            </w:r>
          </w:p>
        </w:tc>
        <w:tc>
          <w:tcPr>
            <w:tcW w:w="1796" w:type="dxa"/>
            <w:tcBorders>
              <w:bottom w:val="dotted" w:sz="4" w:space="0" w:color="auto"/>
            </w:tcBorders>
            <w:shd w:val="clear" w:color="auto" w:fill="auto"/>
            <w:vAlign w:val="center"/>
          </w:tcPr>
          <w:p w:rsidR="008327B2" w:rsidRPr="004C77F8" w:rsidRDefault="008327B2" w:rsidP="001A01AB">
            <w:pPr>
              <w:autoSpaceDE w:val="0"/>
              <w:autoSpaceDN w:val="0"/>
              <w:adjustRightInd w:val="0"/>
              <w:spacing w:before="40" w:after="40"/>
              <w:jc w:val="center"/>
              <w:rPr>
                <w:rFonts w:ascii="Calibri" w:hAnsi="Calibri" w:cs="Calibri"/>
                <w:sz w:val="22"/>
                <w:szCs w:val="22"/>
                <w:lang w:val="es-GT"/>
              </w:rPr>
            </w:pPr>
            <w:r w:rsidRPr="004C77F8">
              <w:rPr>
                <w:rFonts w:ascii="Calibri" w:hAnsi="Calibri" w:cs="Calibri"/>
                <w:sz w:val="22"/>
                <w:szCs w:val="22"/>
                <w:lang w:val="es-GT"/>
              </w:rPr>
              <w:t>17.95</w:t>
            </w:r>
          </w:p>
        </w:tc>
        <w:tc>
          <w:tcPr>
            <w:tcW w:w="1654" w:type="dxa"/>
            <w:tcBorders>
              <w:bottom w:val="dotted" w:sz="4" w:space="0" w:color="auto"/>
            </w:tcBorders>
            <w:shd w:val="clear" w:color="auto" w:fill="auto"/>
            <w:vAlign w:val="center"/>
          </w:tcPr>
          <w:p w:rsidR="008327B2" w:rsidRPr="004C77F8" w:rsidRDefault="008327B2" w:rsidP="001A01AB">
            <w:pPr>
              <w:autoSpaceDE w:val="0"/>
              <w:autoSpaceDN w:val="0"/>
              <w:adjustRightInd w:val="0"/>
              <w:spacing w:before="40" w:after="40"/>
              <w:jc w:val="center"/>
              <w:rPr>
                <w:rFonts w:ascii="Calibri" w:hAnsi="Calibri" w:cs="Calibri"/>
                <w:sz w:val="22"/>
                <w:szCs w:val="22"/>
                <w:lang w:val="es-GT"/>
              </w:rPr>
            </w:pPr>
            <w:r w:rsidRPr="004C77F8">
              <w:rPr>
                <w:rFonts w:ascii="Calibri" w:hAnsi="Calibri" w:cs="Calibri"/>
                <w:sz w:val="22"/>
                <w:szCs w:val="22"/>
                <w:lang w:val="es-GT"/>
              </w:rPr>
              <w:t>18.64</w:t>
            </w:r>
          </w:p>
        </w:tc>
        <w:tc>
          <w:tcPr>
            <w:tcW w:w="1559" w:type="dxa"/>
            <w:tcBorders>
              <w:bottom w:val="dotted" w:sz="4" w:space="0" w:color="auto"/>
            </w:tcBorders>
            <w:shd w:val="clear" w:color="auto" w:fill="auto"/>
            <w:vAlign w:val="center"/>
          </w:tcPr>
          <w:p w:rsidR="008327B2" w:rsidRPr="004C77F8" w:rsidRDefault="008327B2" w:rsidP="001A01AB">
            <w:pPr>
              <w:autoSpaceDE w:val="0"/>
              <w:autoSpaceDN w:val="0"/>
              <w:adjustRightInd w:val="0"/>
              <w:spacing w:before="40" w:after="40"/>
              <w:jc w:val="center"/>
              <w:rPr>
                <w:rFonts w:ascii="Calibri" w:hAnsi="Calibri" w:cs="Calibri"/>
                <w:sz w:val="22"/>
                <w:szCs w:val="22"/>
                <w:lang w:val="es-GT"/>
              </w:rPr>
            </w:pPr>
            <w:r w:rsidRPr="004C77F8">
              <w:rPr>
                <w:rFonts w:ascii="Calibri" w:hAnsi="Calibri" w:cs="Calibri"/>
                <w:sz w:val="22"/>
                <w:szCs w:val="22"/>
                <w:lang w:val="es-GT"/>
              </w:rPr>
              <w:t>81.36</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4C77F8" w:rsidRDefault="008327B2" w:rsidP="001A01AB">
            <w:pPr>
              <w:autoSpaceDE w:val="0"/>
              <w:autoSpaceDN w:val="0"/>
              <w:adjustRightInd w:val="0"/>
              <w:spacing w:before="40" w:after="40"/>
              <w:jc w:val="both"/>
              <w:rPr>
                <w:rFonts w:ascii="Calibri" w:hAnsi="Calibri" w:cs="Calibri"/>
                <w:sz w:val="22"/>
                <w:szCs w:val="22"/>
                <w:lang w:val="es-GT"/>
              </w:rPr>
            </w:pPr>
            <w:r w:rsidRPr="004C77F8">
              <w:rPr>
                <w:rFonts w:ascii="Calibri" w:hAnsi="Calibri" w:cs="Calibri"/>
                <w:sz w:val="22"/>
                <w:szCs w:val="22"/>
                <w:lang w:val="es-GT"/>
              </w:rPr>
              <w:t xml:space="preserve">El Progreso </w:t>
            </w:r>
          </w:p>
        </w:tc>
        <w:tc>
          <w:tcPr>
            <w:tcW w:w="1795" w:type="dxa"/>
            <w:tcBorders>
              <w:top w:val="dotted" w:sz="4" w:space="0" w:color="auto"/>
              <w:bottom w:val="dotted" w:sz="4" w:space="0" w:color="auto"/>
            </w:tcBorders>
            <w:shd w:val="clear" w:color="auto" w:fill="auto"/>
            <w:vAlign w:val="center"/>
          </w:tcPr>
          <w:p w:rsidR="008327B2" w:rsidRPr="004C77F8" w:rsidRDefault="008327B2" w:rsidP="001A01AB">
            <w:pPr>
              <w:autoSpaceDE w:val="0"/>
              <w:autoSpaceDN w:val="0"/>
              <w:adjustRightInd w:val="0"/>
              <w:spacing w:before="40" w:after="40"/>
              <w:jc w:val="center"/>
              <w:rPr>
                <w:rFonts w:ascii="Calibri" w:hAnsi="Calibri" w:cs="Calibri"/>
                <w:sz w:val="22"/>
                <w:szCs w:val="22"/>
                <w:lang w:val="es-GT"/>
              </w:rPr>
            </w:pPr>
            <w:r w:rsidRPr="004C77F8">
              <w:rPr>
                <w:rFonts w:ascii="Calibri" w:hAnsi="Calibri" w:cs="Calibri"/>
                <w:sz w:val="22"/>
                <w:szCs w:val="22"/>
                <w:lang w:val="es-GT"/>
              </w:rPr>
              <w:t>4.07</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36.98</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41.05</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58.95</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Sacatepéquez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3.88</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37.39</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41.27</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58.73</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Chimaltenango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13.33</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52.24</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65.57</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34.43</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Escuintla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2.28</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37.37</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39.64</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60.36</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Santa Rosa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11.15</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46.61</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57.77</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42.23</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Sololá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17.97</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59.51</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77.47</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22.53</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Totonicapán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20.99</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52.30</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73.29</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26.71</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Quetzaltenango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10.44</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43.28</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53.73</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46.27</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lastRenderedPageBreak/>
              <w:t xml:space="preserve">Suchitepéquez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22.58</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48.07</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70.65</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29.35</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Retalhuleu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12.67</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46.57</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59.24</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40.76</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San Marcos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15.19</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53.35</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68.54</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31.46</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Huehuetenango</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9.59</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50.91</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60.50</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39.50</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Quiché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16.83</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55.02</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71.85</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28.15</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Baja Verapaz</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23.55</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40.46</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64.01</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35.99</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Alta Verapaz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37.72</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40.52</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78.24</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21.76</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Petén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16.25</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49.42</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65.67</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34.33</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Izabal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19.92</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38.74</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58.66</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41.34</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Zacapa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24.96</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30.05</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55.00</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45.00</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Chiquimula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28.28</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34.41</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62.68</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37.32</w:t>
            </w:r>
          </w:p>
        </w:tc>
      </w:tr>
      <w:tr w:rsidR="008327B2" w:rsidRPr="007903AE" w:rsidTr="001A01AB">
        <w:trPr>
          <w:jc w:val="center"/>
        </w:trPr>
        <w:tc>
          <w:tcPr>
            <w:tcW w:w="2376" w:type="dxa"/>
            <w:tcBorders>
              <w:top w:val="dotted" w:sz="4" w:space="0" w:color="auto"/>
              <w:bottom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Jalapa </w:t>
            </w:r>
          </w:p>
        </w:tc>
        <w:tc>
          <w:tcPr>
            <w:tcW w:w="1795"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18.35</w:t>
            </w:r>
          </w:p>
        </w:tc>
        <w:tc>
          <w:tcPr>
            <w:tcW w:w="1796"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51.58</w:t>
            </w:r>
          </w:p>
        </w:tc>
        <w:tc>
          <w:tcPr>
            <w:tcW w:w="1654"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69.93</w:t>
            </w:r>
          </w:p>
        </w:tc>
        <w:tc>
          <w:tcPr>
            <w:tcW w:w="1559" w:type="dxa"/>
            <w:tcBorders>
              <w:top w:val="dotted" w:sz="4" w:space="0" w:color="auto"/>
              <w:bottom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30.07</w:t>
            </w:r>
          </w:p>
        </w:tc>
      </w:tr>
      <w:tr w:rsidR="008327B2" w:rsidRPr="007903AE" w:rsidTr="001A01AB">
        <w:trPr>
          <w:jc w:val="center"/>
        </w:trPr>
        <w:tc>
          <w:tcPr>
            <w:tcW w:w="2376" w:type="dxa"/>
            <w:tcBorders>
              <w:top w:val="dotted" w:sz="4" w:space="0" w:color="auto"/>
            </w:tcBorders>
            <w:shd w:val="clear" w:color="auto" w:fill="auto"/>
          </w:tcPr>
          <w:p w:rsidR="008327B2" w:rsidRPr="001A01AB" w:rsidRDefault="008327B2" w:rsidP="001A01AB">
            <w:pPr>
              <w:autoSpaceDE w:val="0"/>
              <w:autoSpaceDN w:val="0"/>
              <w:adjustRightInd w:val="0"/>
              <w:spacing w:before="40" w:after="40"/>
              <w:jc w:val="both"/>
              <w:rPr>
                <w:rFonts w:ascii="Calibri" w:hAnsi="Calibri" w:cs="Calibri"/>
                <w:sz w:val="22"/>
                <w:szCs w:val="22"/>
              </w:rPr>
            </w:pPr>
            <w:r w:rsidRPr="001A01AB">
              <w:rPr>
                <w:rFonts w:ascii="Calibri" w:hAnsi="Calibri" w:cs="Calibri"/>
                <w:sz w:val="22"/>
                <w:szCs w:val="22"/>
              </w:rPr>
              <w:t xml:space="preserve">Jutiapa </w:t>
            </w:r>
          </w:p>
        </w:tc>
        <w:tc>
          <w:tcPr>
            <w:tcW w:w="1795" w:type="dxa"/>
            <w:tcBorders>
              <w:top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13.02</w:t>
            </w:r>
          </w:p>
        </w:tc>
        <w:tc>
          <w:tcPr>
            <w:tcW w:w="1796" w:type="dxa"/>
            <w:tcBorders>
              <w:top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38.52</w:t>
            </w:r>
          </w:p>
        </w:tc>
        <w:tc>
          <w:tcPr>
            <w:tcW w:w="1654" w:type="dxa"/>
            <w:tcBorders>
              <w:top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51.54</w:t>
            </w:r>
          </w:p>
        </w:tc>
        <w:tc>
          <w:tcPr>
            <w:tcW w:w="1559" w:type="dxa"/>
            <w:tcBorders>
              <w:top w:val="dotted" w:sz="4" w:space="0" w:color="auto"/>
            </w:tcBorders>
            <w:shd w:val="clear" w:color="auto" w:fill="auto"/>
            <w:vAlign w:val="center"/>
          </w:tcPr>
          <w:p w:rsidR="008327B2" w:rsidRPr="001A01AB" w:rsidRDefault="008327B2" w:rsidP="001A01AB">
            <w:pPr>
              <w:autoSpaceDE w:val="0"/>
              <w:autoSpaceDN w:val="0"/>
              <w:adjustRightInd w:val="0"/>
              <w:spacing w:before="40" w:after="40"/>
              <w:jc w:val="center"/>
              <w:rPr>
                <w:rFonts w:ascii="Calibri" w:hAnsi="Calibri" w:cs="Calibri"/>
                <w:sz w:val="22"/>
                <w:szCs w:val="22"/>
              </w:rPr>
            </w:pPr>
            <w:r w:rsidRPr="001A01AB">
              <w:rPr>
                <w:rFonts w:ascii="Calibri" w:hAnsi="Calibri" w:cs="Calibri"/>
                <w:sz w:val="22"/>
                <w:szCs w:val="22"/>
              </w:rPr>
              <w:t>48.46</w:t>
            </w:r>
          </w:p>
        </w:tc>
      </w:tr>
      <w:tr w:rsidR="008327B2" w:rsidRPr="007903AE" w:rsidTr="004C77F8">
        <w:trPr>
          <w:jc w:val="center"/>
        </w:trPr>
        <w:tc>
          <w:tcPr>
            <w:tcW w:w="2376" w:type="dxa"/>
            <w:shd w:val="clear" w:color="auto" w:fill="DBE5F1" w:themeFill="accent1" w:themeFillTint="33"/>
            <w:vAlign w:val="center"/>
          </w:tcPr>
          <w:p w:rsidR="008327B2" w:rsidRPr="001A01AB" w:rsidRDefault="0017736D" w:rsidP="001A01AB">
            <w:pPr>
              <w:autoSpaceDE w:val="0"/>
              <w:autoSpaceDN w:val="0"/>
              <w:adjustRightInd w:val="0"/>
              <w:spacing w:before="40" w:after="40"/>
              <w:jc w:val="center"/>
              <w:rPr>
                <w:rFonts w:ascii="Calibri" w:hAnsi="Calibri" w:cs="Calibri"/>
                <w:b/>
                <w:sz w:val="22"/>
                <w:szCs w:val="22"/>
              </w:rPr>
            </w:pPr>
            <w:r>
              <w:rPr>
                <w:rFonts w:ascii="Calibri" w:hAnsi="Calibri" w:cs="Calibri"/>
                <w:b/>
                <w:sz w:val="22"/>
                <w:szCs w:val="22"/>
              </w:rPr>
              <w:t>Total n</w:t>
            </w:r>
            <w:r w:rsidR="008327B2" w:rsidRPr="001A01AB">
              <w:rPr>
                <w:rFonts w:ascii="Calibri" w:hAnsi="Calibri" w:cs="Calibri"/>
                <w:b/>
                <w:sz w:val="22"/>
                <w:szCs w:val="22"/>
              </w:rPr>
              <w:t>acional</w:t>
            </w:r>
          </w:p>
        </w:tc>
        <w:tc>
          <w:tcPr>
            <w:tcW w:w="1795" w:type="dxa"/>
            <w:shd w:val="clear" w:color="auto" w:fill="DBE5F1" w:themeFill="accent1" w:themeFillTint="33"/>
            <w:vAlign w:val="center"/>
          </w:tcPr>
          <w:p w:rsidR="008327B2" w:rsidRPr="001A01AB" w:rsidRDefault="008327B2" w:rsidP="001A01AB">
            <w:pPr>
              <w:autoSpaceDE w:val="0"/>
              <w:autoSpaceDN w:val="0"/>
              <w:adjustRightInd w:val="0"/>
              <w:spacing w:before="40" w:after="40"/>
              <w:jc w:val="center"/>
              <w:rPr>
                <w:rFonts w:ascii="Calibri" w:hAnsi="Calibri" w:cs="Calibri"/>
                <w:b/>
                <w:sz w:val="22"/>
                <w:szCs w:val="22"/>
              </w:rPr>
            </w:pPr>
            <w:r w:rsidRPr="001A01AB">
              <w:rPr>
                <w:rFonts w:ascii="Calibri" w:hAnsi="Calibri" w:cs="Calibri"/>
                <w:b/>
                <w:sz w:val="22"/>
                <w:szCs w:val="22"/>
              </w:rPr>
              <w:t>13.33</w:t>
            </w:r>
          </w:p>
        </w:tc>
        <w:tc>
          <w:tcPr>
            <w:tcW w:w="1796" w:type="dxa"/>
            <w:shd w:val="clear" w:color="auto" w:fill="DBE5F1" w:themeFill="accent1" w:themeFillTint="33"/>
            <w:vAlign w:val="center"/>
          </w:tcPr>
          <w:p w:rsidR="008327B2" w:rsidRPr="001A01AB" w:rsidRDefault="008327B2" w:rsidP="001A01AB">
            <w:pPr>
              <w:autoSpaceDE w:val="0"/>
              <w:autoSpaceDN w:val="0"/>
              <w:adjustRightInd w:val="0"/>
              <w:spacing w:before="40" w:after="40"/>
              <w:jc w:val="center"/>
              <w:rPr>
                <w:rFonts w:ascii="Calibri" w:hAnsi="Calibri" w:cs="Calibri"/>
                <w:b/>
                <w:sz w:val="22"/>
                <w:szCs w:val="22"/>
              </w:rPr>
            </w:pPr>
            <w:r w:rsidRPr="001A01AB">
              <w:rPr>
                <w:rFonts w:ascii="Calibri" w:hAnsi="Calibri" w:cs="Calibri"/>
                <w:b/>
                <w:sz w:val="22"/>
                <w:szCs w:val="22"/>
              </w:rPr>
              <w:t>40.38</w:t>
            </w:r>
          </w:p>
        </w:tc>
        <w:tc>
          <w:tcPr>
            <w:tcW w:w="1654" w:type="dxa"/>
            <w:shd w:val="clear" w:color="auto" w:fill="DBE5F1" w:themeFill="accent1" w:themeFillTint="33"/>
            <w:vAlign w:val="center"/>
          </w:tcPr>
          <w:p w:rsidR="008327B2" w:rsidRPr="001A01AB" w:rsidRDefault="008327B2" w:rsidP="001A01AB">
            <w:pPr>
              <w:autoSpaceDE w:val="0"/>
              <w:autoSpaceDN w:val="0"/>
              <w:adjustRightInd w:val="0"/>
              <w:spacing w:before="40" w:after="40"/>
              <w:jc w:val="center"/>
              <w:rPr>
                <w:rFonts w:ascii="Calibri" w:hAnsi="Calibri" w:cs="Calibri"/>
                <w:b/>
                <w:sz w:val="22"/>
                <w:szCs w:val="22"/>
              </w:rPr>
            </w:pPr>
            <w:r w:rsidRPr="001A01AB">
              <w:rPr>
                <w:rFonts w:ascii="Calibri" w:hAnsi="Calibri" w:cs="Calibri"/>
                <w:b/>
                <w:sz w:val="22"/>
                <w:szCs w:val="22"/>
              </w:rPr>
              <w:t>53.71</w:t>
            </w:r>
          </w:p>
        </w:tc>
        <w:tc>
          <w:tcPr>
            <w:tcW w:w="1559" w:type="dxa"/>
            <w:shd w:val="clear" w:color="auto" w:fill="DBE5F1" w:themeFill="accent1" w:themeFillTint="33"/>
            <w:vAlign w:val="center"/>
          </w:tcPr>
          <w:p w:rsidR="008327B2" w:rsidRPr="001A01AB" w:rsidRDefault="008327B2" w:rsidP="001A01AB">
            <w:pPr>
              <w:autoSpaceDE w:val="0"/>
              <w:autoSpaceDN w:val="0"/>
              <w:adjustRightInd w:val="0"/>
              <w:spacing w:before="40" w:after="40"/>
              <w:jc w:val="center"/>
              <w:rPr>
                <w:rFonts w:ascii="Calibri" w:hAnsi="Calibri" w:cs="Calibri"/>
                <w:b/>
                <w:sz w:val="22"/>
                <w:szCs w:val="22"/>
              </w:rPr>
            </w:pPr>
            <w:r w:rsidRPr="001A01AB">
              <w:rPr>
                <w:rFonts w:ascii="Calibri" w:hAnsi="Calibri" w:cs="Calibri"/>
                <w:b/>
                <w:sz w:val="22"/>
                <w:szCs w:val="22"/>
              </w:rPr>
              <w:t>46.29</w:t>
            </w:r>
          </w:p>
        </w:tc>
      </w:tr>
    </w:tbl>
    <w:p w:rsidR="008327B2" w:rsidRPr="001A01AB" w:rsidRDefault="008327B2" w:rsidP="008327B2">
      <w:pPr>
        <w:autoSpaceDE w:val="0"/>
        <w:autoSpaceDN w:val="0"/>
        <w:adjustRightInd w:val="0"/>
        <w:ind w:right="146"/>
        <w:jc w:val="right"/>
        <w:rPr>
          <w:rFonts w:ascii="Calibri" w:hAnsi="Calibri" w:cs="Calibri"/>
          <w:sz w:val="20"/>
        </w:rPr>
      </w:pPr>
      <w:r w:rsidRPr="002E3735">
        <w:rPr>
          <w:rFonts w:ascii="Calibri" w:hAnsi="Calibri" w:cs="Calibri"/>
          <w:sz w:val="20"/>
          <w:highlight w:val="magenta"/>
        </w:rPr>
        <w:t>Fuente: Encovi 2001</w:t>
      </w:r>
    </w:p>
    <w:p w:rsidR="008327B2" w:rsidRPr="001A01AB" w:rsidRDefault="008327B2" w:rsidP="008327B2">
      <w:pPr>
        <w:jc w:val="both"/>
        <w:rPr>
          <w:rFonts w:ascii="Calibri" w:hAnsi="Calibri" w:cs="Calibri"/>
        </w:rPr>
      </w:pPr>
    </w:p>
    <w:p w:rsidR="008327B2" w:rsidRPr="001A01AB" w:rsidRDefault="008327B2" w:rsidP="008327B2">
      <w:pPr>
        <w:jc w:val="both"/>
        <w:rPr>
          <w:rFonts w:ascii="Calibri" w:hAnsi="Calibri" w:cs="Calibri"/>
          <w:lang w:val="es-GT"/>
        </w:rPr>
      </w:pPr>
      <w:r w:rsidRPr="001A01AB">
        <w:rPr>
          <w:rFonts w:ascii="Calibri" w:hAnsi="Calibri" w:cs="Calibri"/>
          <w:lang w:val="es-GT"/>
        </w:rPr>
        <w:t>De acuerdo con el Instituto Nacional de Estadística (INE), el porcentaje de la población que vive bajo la línea de pobreza en Guatemala se ubicó en 51% para el año 2006, reflejando una reducción de 5.18 puntos porcentuales desde el 2000, cuando dicho valor se ubicó en 56.2%.</w:t>
      </w:r>
      <w:r w:rsidR="00141A70">
        <w:rPr>
          <w:rFonts w:ascii="Calibri" w:hAnsi="Calibri" w:cs="Calibri"/>
          <w:lang w:val="es-GT"/>
        </w:rPr>
        <w:t xml:space="preserve"> </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De igual manera</w:t>
      </w:r>
      <w:r w:rsidR="00B55DB8">
        <w:rPr>
          <w:rFonts w:ascii="Calibri" w:hAnsi="Calibri" w:cs="Calibri"/>
          <w:lang w:val="es-GT"/>
        </w:rPr>
        <w:t>,</w:t>
      </w:r>
      <w:r w:rsidRPr="001A01AB">
        <w:rPr>
          <w:rFonts w:ascii="Calibri" w:hAnsi="Calibri" w:cs="Calibri"/>
          <w:lang w:val="es-GT"/>
        </w:rPr>
        <w:t xml:space="preserve"> el informe GEO 2009 menciona en términos generales</w:t>
      </w:r>
      <w:r w:rsidR="00B55DB8">
        <w:rPr>
          <w:rFonts w:ascii="Calibri" w:hAnsi="Calibri" w:cs="Calibri"/>
          <w:lang w:val="es-GT"/>
        </w:rPr>
        <w:t>, que la proporción</w:t>
      </w:r>
      <w:r w:rsidRPr="001A01AB">
        <w:rPr>
          <w:rFonts w:ascii="Calibri" w:hAnsi="Calibri" w:cs="Calibri"/>
          <w:lang w:val="es-GT"/>
        </w:rPr>
        <w:t xml:space="preserve"> de población guatemalt</w:t>
      </w:r>
      <w:r w:rsidR="00B55DB8">
        <w:rPr>
          <w:rFonts w:ascii="Calibri" w:hAnsi="Calibri" w:cs="Calibri"/>
          <w:lang w:val="es-GT"/>
        </w:rPr>
        <w:t>eca pobre (que vive con US$ 1-</w:t>
      </w:r>
      <w:r w:rsidRPr="001A01AB">
        <w:rPr>
          <w:rFonts w:ascii="Calibri" w:hAnsi="Calibri" w:cs="Calibri"/>
          <w:lang w:val="es-GT"/>
        </w:rPr>
        <w:t>2 al día, según la definición del Banco Mundial) disminuyó significativamente de 56.1% en el 2000 a 50.9% en 2006. La proporción d</w:t>
      </w:r>
      <w:r w:rsidR="00B55DB8">
        <w:rPr>
          <w:rFonts w:ascii="Calibri" w:hAnsi="Calibri" w:cs="Calibri"/>
          <w:lang w:val="es-GT"/>
        </w:rPr>
        <w:t>e población muy pobre (que vive</w:t>
      </w:r>
      <w:r w:rsidRPr="001A01AB">
        <w:rPr>
          <w:rFonts w:ascii="Calibri" w:hAnsi="Calibri" w:cs="Calibri"/>
          <w:lang w:val="es-GT"/>
        </w:rPr>
        <w:t xml:space="preserve"> con menos de US$ 1 al día) se mantuvo casi igual, 15.7% y 15.2% respectivamente. En la </w:t>
      </w:r>
      <w:r w:rsidR="00B55DB8">
        <w:rPr>
          <w:rFonts w:ascii="Calibri" w:hAnsi="Calibri" w:cs="Calibri"/>
          <w:lang w:val="es-GT"/>
        </w:rPr>
        <w:t>Figura 45</w:t>
      </w:r>
      <w:r w:rsidRPr="001A01AB">
        <w:rPr>
          <w:rFonts w:ascii="Calibri" w:hAnsi="Calibri" w:cs="Calibri"/>
          <w:lang w:val="es-GT"/>
        </w:rPr>
        <w:t xml:space="preserve"> se </w:t>
      </w:r>
      <w:r w:rsidR="00B55DB8">
        <w:rPr>
          <w:rFonts w:ascii="Calibri" w:hAnsi="Calibri" w:cs="Calibri"/>
          <w:lang w:val="es-GT"/>
        </w:rPr>
        <w:t>muestran</w:t>
      </w:r>
      <w:r w:rsidRPr="001A01AB">
        <w:rPr>
          <w:rFonts w:ascii="Calibri" w:hAnsi="Calibri" w:cs="Calibri"/>
          <w:lang w:val="es-GT"/>
        </w:rPr>
        <w:t xml:space="preserve"> los habitantes en condiciones de pobreza extrema en Guatemala.</w:t>
      </w:r>
    </w:p>
    <w:p w:rsidR="008327B2" w:rsidRDefault="008327B2" w:rsidP="008327B2">
      <w:pPr>
        <w:jc w:val="both"/>
        <w:rPr>
          <w:rFonts w:ascii="Calibri" w:hAnsi="Calibri" w:cs="Calibri"/>
          <w:b/>
          <w:lang w:val="es-GT"/>
        </w:rPr>
      </w:pPr>
    </w:p>
    <w:p w:rsidR="00B55DB8" w:rsidRPr="001A01AB" w:rsidRDefault="00B55DB8" w:rsidP="008327B2">
      <w:pPr>
        <w:jc w:val="both"/>
        <w:rPr>
          <w:rFonts w:ascii="Calibri" w:hAnsi="Calibri" w:cs="Calibri"/>
          <w:b/>
          <w:lang w:val="es-GT"/>
        </w:rPr>
      </w:pPr>
    </w:p>
    <w:p w:rsidR="008327B2" w:rsidRPr="001A01AB" w:rsidRDefault="008327B2" w:rsidP="008327B2">
      <w:pPr>
        <w:jc w:val="both"/>
        <w:rPr>
          <w:rFonts w:ascii="Calibri" w:hAnsi="Calibri" w:cs="Calibri"/>
          <w:b/>
          <w:lang w:val="es-GT"/>
        </w:rPr>
      </w:pPr>
    </w:p>
    <w:p w:rsidR="008327B2" w:rsidRPr="001A01AB" w:rsidRDefault="008327B2" w:rsidP="008327B2">
      <w:pPr>
        <w:jc w:val="both"/>
        <w:rPr>
          <w:rFonts w:ascii="Calibri" w:hAnsi="Calibri" w:cs="Calibri"/>
          <w:b/>
          <w:lang w:val="es-GT"/>
        </w:rPr>
      </w:pPr>
    </w:p>
    <w:p w:rsidR="008327B2" w:rsidRPr="001A01AB" w:rsidRDefault="008327B2" w:rsidP="008327B2">
      <w:pPr>
        <w:jc w:val="both"/>
        <w:rPr>
          <w:rFonts w:ascii="Calibri" w:hAnsi="Calibri" w:cs="Calibri"/>
          <w:b/>
          <w:lang w:val="es-GT"/>
        </w:rPr>
      </w:pPr>
    </w:p>
    <w:p w:rsidR="008327B2" w:rsidRPr="001A01AB" w:rsidRDefault="008327B2" w:rsidP="008327B2">
      <w:pPr>
        <w:jc w:val="both"/>
        <w:rPr>
          <w:rFonts w:ascii="Calibri" w:hAnsi="Calibri" w:cs="Calibri"/>
          <w:b/>
          <w:lang w:val="es-GT"/>
        </w:rPr>
      </w:pPr>
    </w:p>
    <w:p w:rsidR="008327B2" w:rsidRPr="001A01AB" w:rsidRDefault="008327B2" w:rsidP="008327B2">
      <w:pPr>
        <w:jc w:val="both"/>
        <w:rPr>
          <w:rFonts w:ascii="Calibri" w:hAnsi="Calibri" w:cs="Calibri"/>
          <w:b/>
          <w:lang w:val="es-GT"/>
        </w:rPr>
      </w:pPr>
    </w:p>
    <w:p w:rsidR="008327B2" w:rsidRPr="001A01AB" w:rsidRDefault="008327B2" w:rsidP="008327B2">
      <w:pPr>
        <w:jc w:val="both"/>
        <w:rPr>
          <w:rFonts w:ascii="Calibri" w:hAnsi="Calibri" w:cs="Calibri"/>
          <w:b/>
          <w:lang w:val="es-GT"/>
        </w:rPr>
      </w:pPr>
    </w:p>
    <w:p w:rsidR="008327B2" w:rsidRPr="001A01AB" w:rsidRDefault="008327B2" w:rsidP="008327B2">
      <w:pPr>
        <w:jc w:val="both"/>
        <w:rPr>
          <w:rFonts w:ascii="Calibri" w:hAnsi="Calibri" w:cs="Calibri"/>
          <w:b/>
          <w:lang w:val="es-GT"/>
        </w:rPr>
      </w:pPr>
    </w:p>
    <w:p w:rsidR="008327B2" w:rsidRPr="001A01AB" w:rsidRDefault="008327B2" w:rsidP="008327B2">
      <w:pPr>
        <w:jc w:val="both"/>
        <w:rPr>
          <w:rFonts w:ascii="Calibri" w:hAnsi="Calibri" w:cs="Calibri"/>
          <w:b/>
          <w:lang w:val="es-GT"/>
        </w:rPr>
      </w:pPr>
    </w:p>
    <w:p w:rsidR="008327B2" w:rsidRPr="001A01AB" w:rsidRDefault="008327B2" w:rsidP="008327B2">
      <w:pPr>
        <w:jc w:val="both"/>
        <w:rPr>
          <w:rFonts w:ascii="Calibri" w:hAnsi="Calibri" w:cs="Calibri"/>
          <w:b/>
          <w:lang w:val="es-GT"/>
        </w:rPr>
      </w:pPr>
    </w:p>
    <w:p w:rsidR="00016E8A" w:rsidRPr="001A01AB" w:rsidRDefault="00016E8A" w:rsidP="008327B2">
      <w:pPr>
        <w:jc w:val="both"/>
        <w:rPr>
          <w:rFonts w:ascii="Calibri" w:hAnsi="Calibri" w:cs="Calibri"/>
          <w:b/>
          <w:lang w:val="es-GT"/>
        </w:rPr>
      </w:pPr>
    </w:p>
    <w:p w:rsidR="008327B2" w:rsidRPr="001A01AB" w:rsidRDefault="008327B2" w:rsidP="008327B2">
      <w:pPr>
        <w:jc w:val="both"/>
        <w:rPr>
          <w:rFonts w:ascii="Calibri" w:hAnsi="Calibri" w:cs="Calibri"/>
          <w:b/>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381" w:name="_Toc340034513"/>
      <w:bookmarkStart w:id="382" w:name="_Toc343098427"/>
      <w:bookmarkStart w:id="383" w:name="_Toc343098535"/>
      <w:bookmarkStart w:id="384" w:name="_Toc347841268"/>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45</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Habitantes en </w:t>
      </w:r>
      <w:r w:rsidR="00B55DB8" w:rsidRPr="00224B57">
        <w:rPr>
          <w:rFonts w:ascii="Calibri" w:eastAsia="Calibri" w:hAnsi="Calibri" w:cs="Calibri"/>
          <w:b/>
          <w:color w:val="365F91"/>
          <w:sz w:val="22"/>
          <w:szCs w:val="22"/>
          <w:lang w:val="es-GT"/>
        </w:rPr>
        <w:t xml:space="preserve">condiciones de pobreza extrema. Año </w:t>
      </w:r>
      <w:r w:rsidRPr="00224B57">
        <w:rPr>
          <w:rFonts w:ascii="Calibri" w:eastAsia="Calibri" w:hAnsi="Calibri" w:cs="Calibri"/>
          <w:b/>
          <w:color w:val="365F91"/>
          <w:sz w:val="22"/>
          <w:szCs w:val="22"/>
          <w:lang w:val="es-GT"/>
        </w:rPr>
        <w:t>2009</w:t>
      </w:r>
      <w:bookmarkEnd w:id="381"/>
      <w:bookmarkEnd w:id="382"/>
      <w:bookmarkEnd w:id="383"/>
      <w:bookmarkEnd w:id="384"/>
    </w:p>
    <w:p w:rsidR="008327B2" w:rsidRPr="001A01AB" w:rsidRDefault="00544A9F" w:rsidP="008327B2">
      <w:pPr>
        <w:jc w:val="center"/>
        <w:rPr>
          <w:rFonts w:ascii="Calibri" w:hAnsi="Calibri" w:cs="Calibri"/>
        </w:rPr>
      </w:pPr>
      <w:r>
        <w:rPr>
          <w:rFonts w:ascii="Calibri" w:hAnsi="Calibri" w:cs="Calibri"/>
          <w:noProof/>
          <w:lang w:val="es-GT" w:eastAsia="es-GT"/>
        </w:rPr>
        <w:drawing>
          <wp:inline distT="0" distB="0" distL="0" distR="0">
            <wp:extent cx="5762625" cy="7353300"/>
            <wp:effectExtent l="0" t="0" r="9525" b="0"/>
            <wp:docPr id="2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2625" cy="7353300"/>
                    </a:xfrm>
                    <a:prstGeom prst="rect">
                      <a:avLst/>
                    </a:prstGeom>
                    <a:noFill/>
                    <a:ln>
                      <a:noFill/>
                    </a:ln>
                  </pic:spPr>
                </pic:pic>
              </a:graphicData>
            </a:graphic>
          </wp:inline>
        </w:drawing>
      </w:r>
    </w:p>
    <w:p w:rsidR="008327B2" w:rsidRPr="001A01AB" w:rsidRDefault="008327B2" w:rsidP="008327B2">
      <w:pPr>
        <w:autoSpaceDE w:val="0"/>
        <w:autoSpaceDN w:val="0"/>
        <w:adjustRightInd w:val="0"/>
        <w:ind w:right="571"/>
        <w:jc w:val="right"/>
        <w:rPr>
          <w:rFonts w:ascii="Calibri" w:hAnsi="Calibri" w:cs="Calibri"/>
          <w:sz w:val="20"/>
          <w:lang w:val="es-GT"/>
        </w:rPr>
      </w:pPr>
      <w:r w:rsidRPr="0086329F">
        <w:rPr>
          <w:rFonts w:ascii="Calibri" w:hAnsi="Calibri" w:cs="Calibri"/>
          <w:sz w:val="20"/>
          <w:lang w:val="es-GT"/>
        </w:rPr>
        <w:t>Fuente:</w:t>
      </w:r>
      <w:r w:rsidRPr="001A01AB">
        <w:rPr>
          <w:rFonts w:ascii="Calibri" w:hAnsi="Calibri" w:cs="Calibri"/>
          <w:sz w:val="20"/>
          <w:lang w:val="es-GT"/>
        </w:rPr>
        <w:t xml:space="preserve"> </w:t>
      </w:r>
      <w:r w:rsidR="0086329F">
        <w:rPr>
          <w:rFonts w:ascii="Calibri" w:hAnsi="Calibri" w:cs="Calibri"/>
          <w:sz w:val="20"/>
          <w:lang w:val="es-GT"/>
        </w:rPr>
        <w:t>MARN, IARNA-URL y PNUMA</w:t>
      </w:r>
      <w:r w:rsidRPr="001A01AB">
        <w:rPr>
          <w:rFonts w:ascii="Calibri" w:hAnsi="Calibri" w:cs="Calibri"/>
          <w:sz w:val="20"/>
          <w:lang w:val="es-GT"/>
        </w:rPr>
        <w:t xml:space="preserve"> </w:t>
      </w:r>
      <w:r w:rsidR="0086329F">
        <w:rPr>
          <w:rFonts w:ascii="Calibri" w:hAnsi="Calibri" w:cs="Calibri"/>
          <w:sz w:val="20"/>
          <w:lang w:val="es-GT"/>
        </w:rPr>
        <w:t>(</w:t>
      </w:r>
      <w:r w:rsidRPr="001A01AB">
        <w:rPr>
          <w:rFonts w:ascii="Calibri" w:hAnsi="Calibri" w:cs="Calibri"/>
          <w:sz w:val="20"/>
          <w:lang w:val="es-GT"/>
        </w:rPr>
        <w:t>2009</w:t>
      </w:r>
      <w:r w:rsidR="0086329F">
        <w:rPr>
          <w:rFonts w:ascii="Calibri" w:hAnsi="Calibri" w:cs="Calibri"/>
          <w:sz w:val="20"/>
          <w:lang w:val="es-GT"/>
        </w:rPr>
        <w:t>)</w:t>
      </w:r>
      <w:r w:rsidRPr="001A01AB">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lastRenderedPageBreak/>
        <w:t>En el año 2006 se reportó que la pobreza fue mayor entre los pobladores del área rural (70.5%) que entre los del área urbana (29.5%), y entre mujeres (53.3%) que en</w:t>
      </w:r>
      <w:r w:rsidR="00465449">
        <w:rPr>
          <w:rFonts w:ascii="Calibri" w:hAnsi="Calibri" w:cs="Calibri"/>
          <w:lang w:val="es-GT"/>
        </w:rPr>
        <w:t xml:space="preserve"> </w:t>
      </w:r>
      <w:r w:rsidRPr="001A01AB">
        <w:rPr>
          <w:rFonts w:ascii="Calibri" w:hAnsi="Calibri" w:cs="Calibri"/>
          <w:lang w:val="es-GT"/>
        </w:rPr>
        <w:t xml:space="preserve">hombres (40.7%). Otro criterio que muestra la desigualdad </w:t>
      </w:r>
      <w:r w:rsidR="00465449">
        <w:rPr>
          <w:rFonts w:ascii="Calibri" w:hAnsi="Calibri" w:cs="Calibri"/>
          <w:lang w:val="es-GT"/>
        </w:rPr>
        <w:t>de</w:t>
      </w:r>
      <w:r w:rsidRPr="001A01AB">
        <w:rPr>
          <w:rFonts w:ascii="Calibri" w:hAnsi="Calibri" w:cs="Calibri"/>
          <w:lang w:val="es-GT"/>
        </w:rPr>
        <w:t xml:space="preserve"> la distribución de recursos es la etnicidad. En el mismo año, la pobreza fue más del doble entre la población indígena (73%) que entre la no indígena (35.5%); además, la pobreza extrema es más evidente en departamentos con población mayoritariamente indígena. La Figura </w:t>
      </w:r>
      <w:r w:rsidR="00465449">
        <w:rPr>
          <w:rFonts w:ascii="Calibri" w:hAnsi="Calibri" w:cs="Calibri"/>
          <w:lang w:val="es-GT"/>
        </w:rPr>
        <w:t>46</w:t>
      </w:r>
      <w:r w:rsidRPr="001A01AB">
        <w:rPr>
          <w:rFonts w:ascii="Calibri" w:hAnsi="Calibri" w:cs="Calibri"/>
          <w:lang w:val="es-GT"/>
        </w:rPr>
        <w:t xml:space="preserve"> resume los niveles de pobreza en Guate</w:t>
      </w:r>
      <w:r w:rsidR="0086329F">
        <w:rPr>
          <w:rFonts w:ascii="Calibri" w:hAnsi="Calibri" w:cs="Calibri"/>
          <w:lang w:val="es-GT"/>
        </w:rPr>
        <w:t xml:space="preserve">mala, durante el año 2006 (MARN, </w:t>
      </w:r>
      <w:r w:rsidRPr="001A01AB">
        <w:rPr>
          <w:rFonts w:ascii="Calibri" w:hAnsi="Calibri" w:cs="Calibri"/>
          <w:lang w:val="es-GT"/>
        </w:rPr>
        <w:t>IARNA-</w:t>
      </w:r>
      <w:r w:rsidR="0086329F">
        <w:rPr>
          <w:rFonts w:ascii="Calibri" w:hAnsi="Calibri" w:cs="Calibri"/>
          <w:lang w:val="es-GT"/>
        </w:rPr>
        <w:t xml:space="preserve">URL y </w:t>
      </w:r>
      <w:r w:rsidRPr="001A01AB">
        <w:rPr>
          <w:rFonts w:ascii="Calibri" w:hAnsi="Calibri" w:cs="Calibri"/>
          <w:lang w:val="es-GT"/>
        </w:rPr>
        <w:t>PNUMA, 2009).</w:t>
      </w:r>
    </w:p>
    <w:p w:rsidR="008327B2" w:rsidRPr="001A01AB" w:rsidRDefault="008327B2" w:rsidP="008327B2">
      <w:pPr>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385" w:name="_Toc340034514"/>
      <w:bookmarkStart w:id="386" w:name="_Toc343098428"/>
      <w:bookmarkStart w:id="387" w:name="_Toc343098536"/>
      <w:bookmarkStart w:id="388" w:name="_Toc347841269"/>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46</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Niveles de pobreza </w:t>
      </w:r>
      <w:r w:rsidR="00465449" w:rsidRPr="00224B57">
        <w:rPr>
          <w:rFonts w:ascii="Calibri" w:eastAsia="Calibri" w:hAnsi="Calibri" w:cs="Calibri"/>
          <w:b/>
          <w:color w:val="365F91"/>
          <w:sz w:val="22"/>
          <w:szCs w:val="22"/>
          <w:lang w:val="es-GT"/>
        </w:rPr>
        <w:t>en porcentaje</w:t>
      </w:r>
      <w:r w:rsidR="004616EE" w:rsidRPr="00224B57">
        <w:rPr>
          <w:rFonts w:ascii="Calibri" w:eastAsia="Calibri" w:hAnsi="Calibri" w:cs="Calibri"/>
          <w:b/>
          <w:color w:val="365F91"/>
          <w:sz w:val="22"/>
          <w:szCs w:val="22"/>
          <w:lang w:val="es-GT"/>
        </w:rPr>
        <w:t xml:space="preserve">. Año </w:t>
      </w:r>
      <w:r w:rsidRPr="00224B57">
        <w:rPr>
          <w:rFonts w:ascii="Calibri" w:eastAsia="Calibri" w:hAnsi="Calibri" w:cs="Calibri"/>
          <w:b/>
          <w:color w:val="365F91"/>
          <w:sz w:val="22"/>
          <w:szCs w:val="22"/>
          <w:lang w:val="es-GT"/>
        </w:rPr>
        <w:t>2006</w:t>
      </w:r>
      <w:bookmarkEnd w:id="388"/>
      <w:r w:rsidRPr="00224B57">
        <w:rPr>
          <w:rFonts w:ascii="Calibri" w:eastAsia="Calibri" w:hAnsi="Calibri" w:cs="Calibri"/>
          <w:b/>
          <w:color w:val="365F91"/>
          <w:sz w:val="22"/>
          <w:szCs w:val="22"/>
          <w:lang w:val="es-GT"/>
        </w:rPr>
        <w:t xml:space="preserve"> </w:t>
      </w:r>
      <w:bookmarkEnd w:id="385"/>
      <w:bookmarkEnd w:id="386"/>
      <w:bookmarkEnd w:id="387"/>
    </w:p>
    <w:p w:rsidR="008327B2" w:rsidRPr="001A01AB" w:rsidRDefault="00544A9F" w:rsidP="008327B2">
      <w:pPr>
        <w:jc w:val="center"/>
        <w:rPr>
          <w:rFonts w:ascii="Calibri" w:hAnsi="Calibri" w:cs="Calibri"/>
        </w:rPr>
      </w:pPr>
      <w:r>
        <w:rPr>
          <w:rFonts w:ascii="Calibri" w:hAnsi="Calibri" w:cs="Calibri"/>
          <w:noProof/>
          <w:lang w:val="es-GT" w:eastAsia="es-GT"/>
        </w:rPr>
        <w:drawing>
          <wp:inline distT="0" distB="0" distL="0" distR="0">
            <wp:extent cx="5762625" cy="2400300"/>
            <wp:effectExtent l="0" t="0" r="9525" b="0"/>
            <wp:docPr id="2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6">
                      <a:extLst>
                        <a:ext uri="{28A0092B-C50C-407E-A947-70E740481C1C}">
                          <a14:useLocalDpi xmlns:a14="http://schemas.microsoft.com/office/drawing/2010/main" val="0"/>
                        </a:ext>
                      </a:extLst>
                    </a:blip>
                    <a:srcRect l="18935" t="34508" r="14369" b="16003"/>
                    <a:stretch>
                      <a:fillRect/>
                    </a:stretch>
                  </pic:blipFill>
                  <pic:spPr bwMode="auto">
                    <a:xfrm>
                      <a:off x="0" y="0"/>
                      <a:ext cx="5762625" cy="2400300"/>
                    </a:xfrm>
                    <a:prstGeom prst="rect">
                      <a:avLst/>
                    </a:prstGeom>
                    <a:noFill/>
                    <a:ln>
                      <a:noFill/>
                    </a:ln>
                  </pic:spPr>
                </pic:pic>
              </a:graphicData>
            </a:graphic>
          </wp:inline>
        </w:drawing>
      </w:r>
    </w:p>
    <w:p w:rsidR="0086329F" w:rsidRPr="001A01AB" w:rsidRDefault="0086329F" w:rsidP="0086329F">
      <w:pPr>
        <w:autoSpaceDE w:val="0"/>
        <w:autoSpaceDN w:val="0"/>
        <w:adjustRightInd w:val="0"/>
        <w:ind w:right="571"/>
        <w:jc w:val="right"/>
        <w:rPr>
          <w:rFonts w:ascii="Calibri" w:hAnsi="Calibri" w:cs="Calibri"/>
          <w:sz w:val="20"/>
          <w:lang w:val="es-GT"/>
        </w:rPr>
      </w:pPr>
      <w:r w:rsidRPr="0086329F">
        <w:rPr>
          <w:rFonts w:ascii="Calibri" w:hAnsi="Calibri" w:cs="Calibri"/>
          <w:sz w:val="20"/>
          <w:lang w:val="es-GT"/>
        </w:rPr>
        <w:t>Fuente:</w:t>
      </w:r>
      <w:r w:rsidRPr="001A01AB">
        <w:rPr>
          <w:rFonts w:ascii="Calibri" w:hAnsi="Calibri" w:cs="Calibri"/>
          <w:sz w:val="20"/>
          <w:lang w:val="es-GT"/>
        </w:rPr>
        <w:t xml:space="preserve"> </w:t>
      </w:r>
      <w:r>
        <w:rPr>
          <w:rFonts w:ascii="Calibri" w:hAnsi="Calibri" w:cs="Calibri"/>
          <w:sz w:val="20"/>
          <w:lang w:val="es-GT"/>
        </w:rPr>
        <w:t>MARN, IARNA-URL y PNUMA</w:t>
      </w:r>
      <w:r w:rsidRPr="001A01AB">
        <w:rPr>
          <w:rFonts w:ascii="Calibri" w:hAnsi="Calibri" w:cs="Calibri"/>
          <w:sz w:val="20"/>
          <w:lang w:val="es-GT"/>
        </w:rPr>
        <w:t xml:space="preserve"> </w:t>
      </w:r>
      <w:r>
        <w:rPr>
          <w:rFonts w:ascii="Calibri" w:hAnsi="Calibri" w:cs="Calibri"/>
          <w:sz w:val="20"/>
          <w:lang w:val="es-GT"/>
        </w:rPr>
        <w:t>(</w:t>
      </w:r>
      <w:r w:rsidRPr="001A01AB">
        <w:rPr>
          <w:rFonts w:ascii="Calibri" w:hAnsi="Calibri" w:cs="Calibri"/>
          <w:sz w:val="20"/>
          <w:lang w:val="es-GT"/>
        </w:rPr>
        <w:t>2009</w:t>
      </w:r>
      <w:r>
        <w:rPr>
          <w:rFonts w:ascii="Calibri" w:hAnsi="Calibri" w:cs="Calibri"/>
          <w:sz w:val="20"/>
          <w:lang w:val="es-GT"/>
        </w:rPr>
        <w:t>)</w:t>
      </w:r>
      <w:r w:rsidRPr="001A01AB">
        <w:rPr>
          <w:rFonts w:ascii="Calibri" w:hAnsi="Calibri" w:cs="Calibri"/>
          <w:sz w:val="20"/>
          <w:lang w:val="es-GT"/>
        </w:rPr>
        <w:t>.</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Como se aprecia en la </w:t>
      </w:r>
      <w:r w:rsidR="00465449">
        <w:rPr>
          <w:rFonts w:ascii="Calibri" w:hAnsi="Calibri" w:cs="Calibri"/>
          <w:lang w:val="es-GT"/>
        </w:rPr>
        <w:t>Figura 46</w:t>
      </w:r>
      <w:r w:rsidRPr="001A01AB">
        <w:rPr>
          <w:rFonts w:ascii="Calibri" w:hAnsi="Calibri" w:cs="Calibri"/>
          <w:lang w:val="es-GT"/>
        </w:rPr>
        <w:t>, Alta Verapaz sigue siendo el departamento con mayor índice de pobreza extrema</w:t>
      </w:r>
      <w:r w:rsidR="00465449">
        <w:rPr>
          <w:rFonts w:ascii="Calibri" w:hAnsi="Calibri" w:cs="Calibri"/>
          <w:lang w:val="es-GT"/>
        </w:rPr>
        <w:t>; y</w:t>
      </w:r>
      <w:r w:rsidRPr="001A01AB">
        <w:rPr>
          <w:rFonts w:ascii="Calibri" w:hAnsi="Calibri" w:cs="Calibri"/>
          <w:lang w:val="es-GT"/>
        </w:rPr>
        <w:t xml:space="preserve"> los departamentos de Guatemala, El Progreso, Sacatepéquez y Escuintla los departamentos con menor porcentaje de pobreza extrema.</w:t>
      </w: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r w:rsidRPr="001A01AB">
        <w:rPr>
          <w:rFonts w:ascii="Calibri" w:hAnsi="Calibri" w:cs="Calibri"/>
          <w:lang w:val="es-GT"/>
        </w:rPr>
        <w:t xml:space="preserve">Por lo general, los pobres en las zonas rurales frágiles </w:t>
      </w:r>
      <w:r w:rsidR="00465449" w:rsidRPr="001A01AB">
        <w:rPr>
          <w:rFonts w:ascii="Calibri" w:hAnsi="Calibri" w:cs="Calibri"/>
          <w:lang w:val="es-GT"/>
        </w:rPr>
        <w:t xml:space="preserve">sobreviven </w:t>
      </w:r>
      <w:r w:rsidRPr="001A01AB">
        <w:rPr>
          <w:rFonts w:ascii="Calibri" w:hAnsi="Calibri" w:cs="Calibri"/>
          <w:lang w:val="es-GT"/>
        </w:rPr>
        <w:t>de las pequeñas economías campesinas y del trabajo de carácter temporal en el sector agrícola comercial, como trabajadores de bajos salarios. Aunque se reconoce que la pobreza rural es multicausal, se considera principalmente derivada de:</w:t>
      </w:r>
      <w:r w:rsidR="00465449">
        <w:rPr>
          <w:rFonts w:ascii="Calibri" w:hAnsi="Calibri" w:cs="Calibri"/>
          <w:lang w:val="es-GT"/>
        </w:rPr>
        <w:t xml:space="preserve"> </w:t>
      </w:r>
    </w:p>
    <w:p w:rsidR="00465449" w:rsidRPr="001A01AB" w:rsidRDefault="00465449" w:rsidP="008327B2">
      <w:pPr>
        <w:jc w:val="both"/>
        <w:rPr>
          <w:rFonts w:ascii="Calibri" w:hAnsi="Calibri" w:cs="Calibri"/>
          <w:lang w:val="es-GT"/>
        </w:rPr>
      </w:pPr>
    </w:p>
    <w:p w:rsidR="008327B2" w:rsidRPr="001A01AB" w:rsidRDefault="008327B2" w:rsidP="006B0A31">
      <w:pPr>
        <w:pStyle w:val="Prrafodelista"/>
        <w:numPr>
          <w:ilvl w:val="0"/>
          <w:numId w:val="45"/>
        </w:numPr>
        <w:spacing w:after="0" w:line="240" w:lineRule="auto"/>
        <w:ind w:left="714" w:hanging="357"/>
        <w:contextualSpacing w:val="0"/>
        <w:jc w:val="both"/>
        <w:rPr>
          <w:rFonts w:cs="Calibri"/>
          <w:sz w:val="24"/>
          <w:szCs w:val="24"/>
        </w:rPr>
      </w:pPr>
      <w:r w:rsidRPr="001A01AB">
        <w:rPr>
          <w:rFonts w:cs="Calibri"/>
          <w:sz w:val="24"/>
          <w:szCs w:val="24"/>
        </w:rPr>
        <w:t>Desigualdad en el acceso a los medios de producción y a la propiedad. El índice de Gini utilizado para evaluar la desigualdad en la distribución de la riqueza nacional se ha incrementado desde 2007, lo que significa que la desigualdad ha crecido en el país, sobre todo en el acceso a la tierra, a capital y a la i</w:t>
      </w:r>
      <w:r w:rsidR="0086329F">
        <w:rPr>
          <w:rFonts w:cs="Calibri"/>
          <w:sz w:val="24"/>
          <w:szCs w:val="24"/>
        </w:rPr>
        <w:t xml:space="preserve">nfraestructura rural (MARN, </w:t>
      </w:r>
      <w:r w:rsidRPr="001A01AB">
        <w:rPr>
          <w:rFonts w:cs="Calibri"/>
          <w:sz w:val="24"/>
          <w:szCs w:val="24"/>
        </w:rPr>
        <w:t>IARNA-</w:t>
      </w:r>
      <w:r w:rsidR="0086329F">
        <w:rPr>
          <w:rFonts w:cs="Calibri"/>
          <w:sz w:val="24"/>
          <w:szCs w:val="24"/>
        </w:rPr>
        <w:t xml:space="preserve">URL y </w:t>
      </w:r>
      <w:r w:rsidRPr="001A01AB">
        <w:rPr>
          <w:rFonts w:cs="Calibri"/>
          <w:sz w:val="24"/>
          <w:szCs w:val="24"/>
        </w:rPr>
        <w:t>PNUMA, 2009).</w:t>
      </w:r>
    </w:p>
    <w:p w:rsidR="008327B2" w:rsidRPr="001A01AB" w:rsidRDefault="00465449" w:rsidP="006B0A31">
      <w:pPr>
        <w:pStyle w:val="Prrafodelista"/>
        <w:numPr>
          <w:ilvl w:val="0"/>
          <w:numId w:val="45"/>
        </w:numPr>
        <w:spacing w:after="0" w:line="240" w:lineRule="auto"/>
        <w:ind w:left="714" w:hanging="357"/>
        <w:contextualSpacing w:val="0"/>
        <w:jc w:val="both"/>
        <w:rPr>
          <w:rFonts w:cs="Calibri"/>
          <w:sz w:val="24"/>
          <w:szCs w:val="24"/>
        </w:rPr>
      </w:pPr>
      <w:r>
        <w:rPr>
          <w:rFonts w:cs="Calibri"/>
          <w:sz w:val="24"/>
          <w:szCs w:val="24"/>
        </w:rPr>
        <w:t>B</w:t>
      </w:r>
      <w:r w:rsidR="008327B2" w:rsidRPr="001A01AB">
        <w:rPr>
          <w:rFonts w:cs="Calibri"/>
          <w:sz w:val="24"/>
          <w:szCs w:val="24"/>
        </w:rPr>
        <w:t xml:space="preserve">aja productividad de las actividades rurales como la agricultura, debido a la falta de mercados, </w:t>
      </w:r>
      <w:r>
        <w:rPr>
          <w:rFonts w:cs="Calibri"/>
          <w:sz w:val="24"/>
          <w:szCs w:val="24"/>
        </w:rPr>
        <w:t>a los suelos pobres, y a</w:t>
      </w:r>
      <w:r w:rsidR="008327B2" w:rsidRPr="001A01AB">
        <w:rPr>
          <w:rFonts w:cs="Calibri"/>
          <w:sz w:val="24"/>
          <w:szCs w:val="24"/>
        </w:rPr>
        <w:t>l acceso inadecuado a tecnología y servicios.</w:t>
      </w:r>
    </w:p>
    <w:p w:rsidR="008327B2" w:rsidRPr="001A01AB" w:rsidRDefault="008327B2" w:rsidP="006B0A31">
      <w:pPr>
        <w:pStyle w:val="Prrafodelista"/>
        <w:numPr>
          <w:ilvl w:val="0"/>
          <w:numId w:val="45"/>
        </w:numPr>
        <w:spacing w:after="0" w:line="240" w:lineRule="auto"/>
        <w:ind w:left="714" w:hanging="357"/>
        <w:contextualSpacing w:val="0"/>
        <w:jc w:val="both"/>
        <w:rPr>
          <w:rFonts w:cs="Calibri"/>
          <w:sz w:val="24"/>
          <w:szCs w:val="24"/>
        </w:rPr>
      </w:pPr>
      <w:r w:rsidRPr="001A01AB">
        <w:rPr>
          <w:rFonts w:cs="Calibri"/>
          <w:sz w:val="24"/>
          <w:szCs w:val="24"/>
        </w:rPr>
        <w:t>Poca compatibilidad de las políticas gubernamentales, poca eficiencia y eficacia de las instituciones públicas y escasez de recursos en general.</w:t>
      </w:r>
    </w:p>
    <w:p w:rsidR="008327B2" w:rsidRPr="001A01AB" w:rsidRDefault="008327B2" w:rsidP="006B0A31">
      <w:pPr>
        <w:pStyle w:val="Prrafodelista"/>
        <w:numPr>
          <w:ilvl w:val="0"/>
          <w:numId w:val="45"/>
        </w:numPr>
        <w:spacing w:after="0" w:line="240" w:lineRule="auto"/>
        <w:ind w:left="714" w:hanging="357"/>
        <w:contextualSpacing w:val="0"/>
        <w:jc w:val="both"/>
        <w:rPr>
          <w:rFonts w:cs="Calibri"/>
          <w:sz w:val="24"/>
          <w:szCs w:val="24"/>
        </w:rPr>
      </w:pPr>
      <w:r w:rsidRPr="001A01AB">
        <w:rPr>
          <w:rFonts w:cs="Calibri"/>
          <w:sz w:val="24"/>
          <w:szCs w:val="24"/>
        </w:rPr>
        <w:t>Bajo nivel escolar y mala nutrición en la población rural</w:t>
      </w:r>
      <w:r w:rsidR="00465449">
        <w:rPr>
          <w:rFonts w:cs="Calibri"/>
          <w:sz w:val="24"/>
          <w:szCs w:val="24"/>
        </w:rPr>
        <w:t>,</w:t>
      </w:r>
      <w:r w:rsidRPr="001A01AB">
        <w:rPr>
          <w:rFonts w:cs="Calibri"/>
          <w:sz w:val="24"/>
          <w:szCs w:val="24"/>
        </w:rPr>
        <w:t xml:space="preserve"> que no sólo es causada por la pobreza, sino que también la agrava.</w:t>
      </w:r>
    </w:p>
    <w:p w:rsidR="008327B2" w:rsidRPr="001A01AB" w:rsidRDefault="008327B2" w:rsidP="006B0A31">
      <w:pPr>
        <w:pStyle w:val="Prrafodelista"/>
        <w:numPr>
          <w:ilvl w:val="0"/>
          <w:numId w:val="45"/>
        </w:numPr>
        <w:spacing w:after="0" w:line="240" w:lineRule="auto"/>
        <w:ind w:left="714" w:hanging="357"/>
        <w:contextualSpacing w:val="0"/>
        <w:jc w:val="both"/>
        <w:rPr>
          <w:rFonts w:cs="Calibri"/>
          <w:sz w:val="24"/>
          <w:szCs w:val="24"/>
        </w:rPr>
      </w:pPr>
      <w:r w:rsidRPr="001A01AB">
        <w:rPr>
          <w:rFonts w:cs="Calibri"/>
          <w:sz w:val="24"/>
          <w:szCs w:val="24"/>
        </w:rPr>
        <w:lastRenderedPageBreak/>
        <w:t>Degradación de los bienes naturales que son considerados el principal medio de producción para la población rural. Esto incluye degradación de los suelos, deforestación, contaminación de las fuentes de agua y pérdida de biodiversidad.</w:t>
      </w:r>
    </w:p>
    <w:p w:rsidR="008327B2" w:rsidRPr="001A01AB" w:rsidRDefault="00465449" w:rsidP="006B0A31">
      <w:pPr>
        <w:pStyle w:val="Prrafodelista"/>
        <w:numPr>
          <w:ilvl w:val="0"/>
          <w:numId w:val="45"/>
        </w:numPr>
        <w:spacing w:after="0" w:line="240" w:lineRule="auto"/>
        <w:ind w:left="714" w:hanging="357"/>
        <w:contextualSpacing w:val="0"/>
        <w:jc w:val="both"/>
        <w:rPr>
          <w:rFonts w:cs="Calibri"/>
          <w:sz w:val="24"/>
          <w:szCs w:val="24"/>
        </w:rPr>
      </w:pPr>
      <w:r>
        <w:rPr>
          <w:rFonts w:cs="Calibri"/>
          <w:sz w:val="24"/>
          <w:szCs w:val="24"/>
        </w:rPr>
        <w:t>V</w:t>
      </w:r>
      <w:r w:rsidR="008327B2" w:rsidRPr="001A01AB">
        <w:rPr>
          <w:rFonts w:cs="Calibri"/>
          <w:sz w:val="24"/>
          <w:szCs w:val="24"/>
        </w:rPr>
        <w:t>ulnerabilidad de la población rural ante fenómenos naturales y socioeconómicos.</w:t>
      </w:r>
    </w:p>
    <w:p w:rsidR="008327B2" w:rsidRPr="001A01AB" w:rsidRDefault="00465449" w:rsidP="006B0A31">
      <w:pPr>
        <w:pStyle w:val="Prrafodelista"/>
        <w:numPr>
          <w:ilvl w:val="0"/>
          <w:numId w:val="45"/>
        </w:numPr>
        <w:spacing w:after="0" w:line="240" w:lineRule="auto"/>
        <w:ind w:left="714" w:hanging="357"/>
        <w:contextualSpacing w:val="0"/>
        <w:jc w:val="both"/>
        <w:rPr>
          <w:rFonts w:cs="Calibri"/>
          <w:sz w:val="24"/>
          <w:szCs w:val="24"/>
        </w:rPr>
      </w:pPr>
      <w:r>
        <w:rPr>
          <w:rFonts w:cs="Calibri"/>
          <w:sz w:val="24"/>
          <w:szCs w:val="24"/>
        </w:rPr>
        <w:t>F</w:t>
      </w:r>
      <w:r w:rsidR="008327B2" w:rsidRPr="001A01AB">
        <w:rPr>
          <w:rFonts w:cs="Calibri"/>
          <w:sz w:val="24"/>
          <w:szCs w:val="24"/>
        </w:rPr>
        <w:t>alta de poder político de los campesinos pobres, quienes tienen menos influencia política que los pobres de las ciudades que son más visibles y organizad</w:t>
      </w:r>
      <w:r>
        <w:rPr>
          <w:rFonts w:cs="Calibri"/>
          <w:sz w:val="24"/>
          <w:szCs w:val="24"/>
        </w:rPr>
        <w:t>a</w:t>
      </w:r>
      <w:r w:rsidR="008327B2" w:rsidRPr="001A01AB">
        <w:rPr>
          <w:rFonts w:cs="Calibri"/>
          <w:sz w:val="24"/>
          <w:szCs w:val="24"/>
        </w:rPr>
        <w:t>s. Las necesidades básicas de la población rural no son</w:t>
      </w:r>
      <w:r>
        <w:rPr>
          <w:rFonts w:cs="Calibri"/>
          <w:sz w:val="24"/>
          <w:szCs w:val="24"/>
        </w:rPr>
        <w:t>,</w:t>
      </w:r>
      <w:r w:rsidR="008327B2" w:rsidRPr="001A01AB">
        <w:rPr>
          <w:rFonts w:cs="Calibri"/>
          <w:sz w:val="24"/>
          <w:szCs w:val="24"/>
        </w:rPr>
        <w:t xml:space="preserve"> por lo general</w:t>
      </w:r>
      <w:r>
        <w:rPr>
          <w:rFonts w:cs="Calibri"/>
          <w:sz w:val="24"/>
          <w:szCs w:val="24"/>
        </w:rPr>
        <w:t>,</w:t>
      </w:r>
      <w:r w:rsidR="008327B2" w:rsidRPr="001A01AB">
        <w:rPr>
          <w:rFonts w:cs="Calibri"/>
          <w:sz w:val="24"/>
          <w:szCs w:val="24"/>
        </w:rPr>
        <w:t xml:space="preserve"> consideradas como importantes y no se tienen en cuenta para el diseño de las polít</w:t>
      </w:r>
      <w:r w:rsidR="0086329F">
        <w:rPr>
          <w:rFonts w:cs="Calibri"/>
          <w:sz w:val="24"/>
          <w:szCs w:val="24"/>
        </w:rPr>
        <w:t xml:space="preserve">icas del gobierno central (MARN, </w:t>
      </w:r>
      <w:r w:rsidR="008327B2" w:rsidRPr="001A01AB">
        <w:rPr>
          <w:rFonts w:cs="Calibri"/>
          <w:sz w:val="24"/>
          <w:szCs w:val="24"/>
        </w:rPr>
        <w:t>IARNA-</w:t>
      </w:r>
      <w:r w:rsidR="0086329F">
        <w:rPr>
          <w:rFonts w:cs="Calibri"/>
          <w:sz w:val="24"/>
          <w:szCs w:val="24"/>
        </w:rPr>
        <w:t xml:space="preserve">URL y </w:t>
      </w:r>
      <w:r w:rsidR="008327B2" w:rsidRPr="001A01AB">
        <w:rPr>
          <w:rFonts w:cs="Calibri"/>
          <w:sz w:val="24"/>
          <w:szCs w:val="24"/>
        </w:rPr>
        <w:t>PNUMA,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760D64">
      <w:pPr>
        <w:pBdr>
          <w:bottom w:val="single" w:sz="4" w:space="1" w:color="auto"/>
        </w:pBdr>
        <w:rPr>
          <w:rFonts w:ascii="Calibri" w:hAnsi="Calibri" w:cs="Calibri"/>
          <w:b/>
          <w:color w:val="365F91"/>
          <w:sz w:val="28"/>
          <w:lang w:val="es-GT"/>
        </w:rPr>
      </w:pPr>
      <w:r w:rsidRPr="001A01AB">
        <w:rPr>
          <w:rFonts w:ascii="Calibri" w:hAnsi="Calibri" w:cs="Calibri"/>
          <w:lang w:val="es-GT"/>
        </w:rPr>
        <w:br w:type="page"/>
      </w:r>
      <w:r w:rsidRPr="001A01AB">
        <w:rPr>
          <w:rFonts w:ascii="Calibri" w:hAnsi="Calibri" w:cs="Calibri"/>
          <w:b/>
          <w:color w:val="365F91"/>
          <w:sz w:val="28"/>
          <w:lang w:val="es-GT"/>
        </w:rPr>
        <w:lastRenderedPageBreak/>
        <w:t xml:space="preserve">Evaluación del FCD 3: Seguridad </w:t>
      </w:r>
      <w:r w:rsidR="00465449" w:rsidRPr="001A01AB">
        <w:rPr>
          <w:rFonts w:ascii="Calibri" w:hAnsi="Calibri" w:cs="Calibri"/>
          <w:b/>
          <w:color w:val="365F91"/>
          <w:sz w:val="28"/>
          <w:lang w:val="es-GT"/>
        </w:rPr>
        <w:t>alimentaria y nutricional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Derivado del análisis antes realizado, se procedió a determinar las fortalezas, oportunidades, debilidades y amenazas (FODA) para este FCD. Adicionalmente</w:t>
      </w:r>
      <w:r w:rsidR="00465449">
        <w:rPr>
          <w:rFonts w:ascii="Calibri" w:hAnsi="Calibri" w:cs="Calibri"/>
          <w:lang w:val="es-GT"/>
        </w:rPr>
        <w:t>,</w:t>
      </w:r>
      <w:r w:rsidRPr="001A01AB">
        <w:rPr>
          <w:rFonts w:ascii="Calibri" w:hAnsi="Calibri" w:cs="Calibri"/>
          <w:lang w:val="es-GT"/>
        </w:rPr>
        <w:t xml:space="preserve"> se analiz</w:t>
      </w:r>
      <w:r w:rsidR="0086329F">
        <w:rPr>
          <w:rFonts w:ascii="Calibri" w:hAnsi="Calibri" w:cs="Calibri"/>
          <w:lang w:val="es-GT"/>
        </w:rPr>
        <w:t>ó</w:t>
      </w:r>
      <w:r w:rsidRPr="001A01AB">
        <w:rPr>
          <w:rFonts w:ascii="Calibri" w:hAnsi="Calibri" w:cs="Calibri"/>
          <w:lang w:val="es-GT"/>
        </w:rPr>
        <w:t xml:space="preserve"> la tendencia que se espera de estos factores, considerando </w:t>
      </w:r>
      <w:r w:rsidR="00465449">
        <w:rPr>
          <w:rFonts w:ascii="Calibri" w:hAnsi="Calibri" w:cs="Calibri"/>
          <w:lang w:val="es-GT"/>
        </w:rPr>
        <w:t xml:space="preserve">el </w:t>
      </w:r>
      <w:r w:rsidRPr="001A01AB">
        <w:rPr>
          <w:rFonts w:ascii="Calibri" w:hAnsi="Calibri" w:cs="Calibri"/>
          <w:lang w:val="es-GT"/>
        </w:rPr>
        <w:t>escenario tendencial que a la fecha se ha evaluado en el país. Los resultados para este FCD se presentan a continuación.</w:t>
      </w:r>
    </w:p>
    <w:p w:rsidR="008327B2" w:rsidRPr="001A01AB" w:rsidRDefault="008327B2" w:rsidP="008327B2">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4788"/>
        <w:gridCol w:w="4788"/>
      </w:tblGrid>
      <w:tr w:rsidR="008327B2" w:rsidRPr="000364C9" w:rsidTr="001A01AB">
        <w:trPr>
          <w:jc w:val="center"/>
        </w:trPr>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Fortalezas: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condiciones naturales favorecen la regeneración natural de los bosques.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Existen sistemas agroforestales como café, cardamomo y cacao, que proveen bienes y servicios ambientales, aunque en menor medida, pero de importancia para fortalecer la seguridad alimentaria y nutricional rural.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variabilidad de microclimas y ecosistemas contribuye a generar una dieta diversa para mejora</w:t>
            </w:r>
            <w:r w:rsidR="00465449">
              <w:rPr>
                <w:rFonts w:ascii="Calibri" w:hAnsi="Calibri" w:cs="Calibri"/>
                <w:sz w:val="20"/>
                <w:szCs w:val="22"/>
                <w:lang w:val="es-GT"/>
              </w:rPr>
              <w:t>r</w:t>
            </w:r>
            <w:r w:rsidRPr="001A01AB">
              <w:rPr>
                <w:rFonts w:ascii="Calibri" w:hAnsi="Calibri" w:cs="Calibri"/>
                <w:sz w:val="20"/>
                <w:szCs w:val="22"/>
                <w:lang w:val="es-GT"/>
              </w:rPr>
              <w:t xml:space="preserve"> la calidad nutricional a nivel rural.</w:t>
            </w:r>
          </w:p>
          <w:p w:rsidR="008327B2" w:rsidRPr="001A01AB" w:rsidRDefault="008327B2" w:rsidP="00465449">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Política de Desarrollo Social y Población ha estado presente en el país desde</w:t>
            </w:r>
            <w:r w:rsidR="00465449">
              <w:rPr>
                <w:rFonts w:ascii="Calibri" w:hAnsi="Calibri" w:cs="Calibri"/>
                <w:sz w:val="20"/>
                <w:szCs w:val="22"/>
                <w:lang w:val="es-GT"/>
              </w:rPr>
              <w:t xml:space="preserve"> el</w:t>
            </w:r>
            <w:r w:rsidRPr="001A01AB">
              <w:rPr>
                <w:rFonts w:ascii="Calibri" w:hAnsi="Calibri" w:cs="Calibri"/>
                <w:sz w:val="20"/>
                <w:szCs w:val="22"/>
                <w:lang w:val="es-GT"/>
              </w:rPr>
              <w:t xml:space="preserve"> 2002 por mandato legal de la Ley de Desarrollo Social como marco de referencia.</w:t>
            </w:r>
          </w:p>
        </w:tc>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Oportunidades: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Guatemala cuenta con una amplia disponibilidad promedio anual de agua (97,120 millones de m</w:t>
            </w:r>
            <w:r w:rsidRPr="00465449">
              <w:rPr>
                <w:rFonts w:ascii="Calibri" w:hAnsi="Calibri" w:cs="Calibri"/>
                <w:sz w:val="20"/>
                <w:szCs w:val="22"/>
                <w:vertAlign w:val="superscript"/>
                <w:lang w:val="es-GT"/>
              </w:rPr>
              <w:t>3</w:t>
            </w:r>
            <w:r w:rsidRPr="001A01AB">
              <w:rPr>
                <w:rFonts w:ascii="Calibri" w:hAnsi="Calibri" w:cs="Calibri"/>
                <w:sz w:val="20"/>
                <w:szCs w:val="22"/>
                <w:lang w:val="es-GT"/>
              </w:rPr>
              <w:t>, entre aguas superficiales y subterráneas) que supera abundantemente la demanda actual.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Existe</w:t>
            </w:r>
            <w:r w:rsidR="00EA6BBE">
              <w:rPr>
                <w:rFonts w:ascii="Calibri" w:hAnsi="Calibri" w:cs="Calibri"/>
                <w:sz w:val="20"/>
                <w:szCs w:val="22"/>
                <w:lang w:val="es-GT"/>
              </w:rPr>
              <w:t>n</w:t>
            </w:r>
            <w:r w:rsidRPr="001A01AB">
              <w:rPr>
                <w:rFonts w:ascii="Calibri" w:hAnsi="Calibri" w:cs="Calibri"/>
                <w:sz w:val="20"/>
                <w:szCs w:val="22"/>
                <w:lang w:val="es-GT"/>
              </w:rPr>
              <w:t xml:space="preserve"> oportunidades con la cooperación externa de atender las demandas de riego a nivel rural que mejore</w:t>
            </w:r>
            <w:r w:rsidR="00EA6BBE">
              <w:rPr>
                <w:rFonts w:ascii="Calibri" w:hAnsi="Calibri" w:cs="Calibri"/>
                <w:sz w:val="20"/>
                <w:szCs w:val="22"/>
                <w:lang w:val="es-GT"/>
              </w:rPr>
              <w:t>n</w:t>
            </w:r>
            <w:r w:rsidRPr="001A01AB">
              <w:rPr>
                <w:rFonts w:ascii="Calibri" w:hAnsi="Calibri" w:cs="Calibri"/>
                <w:sz w:val="20"/>
                <w:szCs w:val="22"/>
                <w:lang w:val="es-GT"/>
              </w:rPr>
              <w:t xml:space="preserve"> la productividad campesina y</w:t>
            </w:r>
            <w:r w:rsidR="00EA6BBE">
              <w:rPr>
                <w:rFonts w:ascii="Calibri" w:hAnsi="Calibri" w:cs="Calibri"/>
                <w:sz w:val="20"/>
                <w:szCs w:val="22"/>
                <w:lang w:val="es-GT"/>
              </w:rPr>
              <w:t>,</w:t>
            </w:r>
            <w:r w:rsidRPr="001A01AB">
              <w:rPr>
                <w:rFonts w:ascii="Calibri" w:hAnsi="Calibri" w:cs="Calibri"/>
                <w:sz w:val="20"/>
                <w:szCs w:val="22"/>
                <w:lang w:val="es-GT"/>
              </w:rPr>
              <w:t xml:space="preserve"> por ende</w:t>
            </w:r>
            <w:r w:rsidR="00EA6BBE">
              <w:rPr>
                <w:rFonts w:ascii="Calibri" w:hAnsi="Calibri" w:cs="Calibri"/>
                <w:sz w:val="20"/>
                <w:szCs w:val="22"/>
                <w:lang w:val="es-GT"/>
              </w:rPr>
              <w:t>,</w:t>
            </w:r>
            <w:r w:rsidRPr="001A01AB">
              <w:rPr>
                <w:rFonts w:ascii="Calibri" w:hAnsi="Calibri" w:cs="Calibri"/>
                <w:sz w:val="20"/>
                <w:szCs w:val="22"/>
                <w:lang w:val="es-GT"/>
              </w:rPr>
              <w:t xml:space="preserve"> la producción de alimentos en el largo plazo.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Propuesta de Política de Desarrollo Rural Integral, Programa de Agricultura Familiar para el Fortalecimiento de las Economías Campesinas y </w:t>
            </w:r>
            <w:r w:rsidR="00EA6BBE">
              <w:rPr>
                <w:rFonts w:ascii="Calibri" w:hAnsi="Calibri" w:cs="Calibri"/>
                <w:sz w:val="20"/>
                <w:szCs w:val="22"/>
                <w:lang w:val="es-GT"/>
              </w:rPr>
              <w:t>P</w:t>
            </w:r>
            <w:r w:rsidRPr="001A01AB">
              <w:rPr>
                <w:rFonts w:ascii="Calibri" w:hAnsi="Calibri" w:cs="Calibri"/>
                <w:sz w:val="20"/>
                <w:szCs w:val="22"/>
                <w:lang w:val="es-GT"/>
              </w:rPr>
              <w:t>acto Hambre Cero.</w:t>
            </w:r>
          </w:p>
          <w:p w:rsidR="008327B2" w:rsidRPr="001A01AB" w:rsidRDefault="008327B2" w:rsidP="00EA6BBE">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Presencia de programas del MAGA, que hoy en día, </w:t>
            </w:r>
            <w:r w:rsidR="00EA6BBE">
              <w:rPr>
                <w:rFonts w:ascii="Calibri" w:hAnsi="Calibri" w:cs="Calibri"/>
                <w:sz w:val="20"/>
                <w:szCs w:val="22"/>
                <w:lang w:val="es-GT"/>
              </w:rPr>
              <w:t>brindan</w:t>
            </w:r>
            <w:r w:rsidRPr="001A01AB">
              <w:rPr>
                <w:rFonts w:ascii="Calibri" w:hAnsi="Calibri" w:cs="Calibri"/>
                <w:sz w:val="20"/>
                <w:szCs w:val="22"/>
                <w:lang w:val="es-GT"/>
              </w:rPr>
              <w:t xml:space="preserve"> atención a campesinos y agricultores de escasos recursos, con altos niveles de pobreza, inseguridad alimentaria y nutricional, y además, vulnerabilidad ambiental</w:t>
            </w:r>
            <w:r w:rsidR="00EA6BBE">
              <w:rPr>
                <w:rFonts w:ascii="Calibri" w:hAnsi="Calibri" w:cs="Calibri"/>
                <w:sz w:val="20"/>
                <w:szCs w:val="22"/>
                <w:lang w:val="es-GT"/>
              </w:rPr>
              <w:t>. Estos programas son:</w:t>
            </w:r>
            <w:r w:rsidRPr="001A01AB">
              <w:rPr>
                <w:rFonts w:ascii="Calibri" w:hAnsi="Calibri" w:cs="Calibri"/>
                <w:sz w:val="20"/>
                <w:szCs w:val="22"/>
                <w:lang w:val="es-GT"/>
              </w:rPr>
              <w:t xml:space="preserve"> Insumos básicos, Granos básicos y post</w:t>
            </w:r>
            <w:r w:rsidR="0086329F">
              <w:rPr>
                <w:rFonts w:ascii="Calibri" w:hAnsi="Calibri" w:cs="Calibri"/>
                <w:sz w:val="20"/>
                <w:szCs w:val="22"/>
                <w:lang w:val="es-GT"/>
              </w:rPr>
              <w:t xml:space="preserve"> </w:t>
            </w:r>
            <w:r w:rsidR="00EA6BBE">
              <w:rPr>
                <w:rFonts w:ascii="Calibri" w:hAnsi="Calibri" w:cs="Calibri"/>
                <w:sz w:val="20"/>
                <w:szCs w:val="22"/>
                <w:lang w:val="es-GT"/>
              </w:rPr>
              <w:t xml:space="preserve">cosecha, y </w:t>
            </w:r>
            <w:r w:rsidRPr="001A01AB">
              <w:rPr>
                <w:rFonts w:ascii="Calibri" w:hAnsi="Calibri" w:cs="Calibri"/>
                <w:sz w:val="20"/>
                <w:szCs w:val="22"/>
                <w:lang w:val="es-GT"/>
              </w:rPr>
              <w:t xml:space="preserve"> Promoción del desarrollo productivo y comercial de la agricultura.</w:t>
            </w:r>
          </w:p>
        </w:tc>
      </w:tr>
      <w:tr w:rsidR="008327B2" w:rsidRPr="000364C9" w:rsidTr="001A01AB">
        <w:trPr>
          <w:jc w:val="center"/>
        </w:trPr>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falta de acceso a los medios de producción y de certeza jurídica sobre la tenencia y propiedad de estos,</w:t>
            </w:r>
            <w:r w:rsidR="00465449">
              <w:rPr>
                <w:rFonts w:ascii="Calibri" w:hAnsi="Calibri" w:cs="Calibri"/>
                <w:sz w:val="20"/>
                <w:szCs w:val="22"/>
                <w:lang w:val="es-GT"/>
              </w:rPr>
              <w:t xml:space="preserve"> dificulta el acceso al crédito. Esto,</w:t>
            </w:r>
            <w:r w:rsidRPr="001A01AB">
              <w:rPr>
                <w:rFonts w:ascii="Calibri" w:hAnsi="Calibri" w:cs="Calibri"/>
                <w:sz w:val="20"/>
                <w:szCs w:val="22"/>
                <w:lang w:val="es-GT"/>
              </w:rPr>
              <w:t xml:space="preserve"> aunado la baja o nula infraestructura productiva, </w:t>
            </w:r>
            <w:r w:rsidR="00465449">
              <w:rPr>
                <w:rFonts w:ascii="Calibri" w:hAnsi="Calibri" w:cs="Calibri"/>
                <w:sz w:val="20"/>
                <w:szCs w:val="22"/>
                <w:lang w:val="es-GT"/>
              </w:rPr>
              <w:t xml:space="preserve">a </w:t>
            </w:r>
            <w:r w:rsidRPr="001A01AB">
              <w:rPr>
                <w:rFonts w:ascii="Calibri" w:hAnsi="Calibri" w:cs="Calibri"/>
                <w:sz w:val="20"/>
                <w:szCs w:val="22"/>
                <w:lang w:val="es-GT"/>
              </w:rPr>
              <w:t xml:space="preserve">la falta de tecnología en los procesos de producción y </w:t>
            </w:r>
            <w:r w:rsidR="00465449">
              <w:rPr>
                <w:rFonts w:ascii="Calibri" w:hAnsi="Calibri" w:cs="Calibri"/>
                <w:sz w:val="20"/>
                <w:szCs w:val="22"/>
                <w:lang w:val="es-GT"/>
              </w:rPr>
              <w:t xml:space="preserve">a la </w:t>
            </w:r>
            <w:r w:rsidRPr="001A01AB">
              <w:rPr>
                <w:rFonts w:ascii="Calibri" w:hAnsi="Calibri" w:cs="Calibri"/>
                <w:sz w:val="20"/>
                <w:szCs w:val="22"/>
                <w:lang w:val="es-GT"/>
              </w:rPr>
              <w:t>práctica de sistemas de producción insostenibles</w:t>
            </w:r>
            <w:r w:rsidR="00465449">
              <w:rPr>
                <w:rFonts w:ascii="Calibri" w:hAnsi="Calibri" w:cs="Calibri"/>
                <w:sz w:val="20"/>
                <w:szCs w:val="22"/>
                <w:lang w:val="es-GT"/>
              </w:rPr>
              <w:t>,</w:t>
            </w:r>
            <w:r w:rsidRPr="001A01AB">
              <w:rPr>
                <w:rFonts w:ascii="Calibri" w:hAnsi="Calibri" w:cs="Calibri"/>
                <w:sz w:val="20"/>
                <w:szCs w:val="22"/>
                <w:lang w:val="es-GT"/>
              </w:rPr>
              <w:t xml:space="preserve"> impiden proyectar niveles aceptables de competitividad.</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Satisfacer los requerimientos de leña del 95.3% de la población rural, debería considerarse como una alternativa innovadora para atender este tema, invisible en las políticas públicas sectoriales.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w:t>
            </w:r>
            <w:r w:rsidR="00465449">
              <w:rPr>
                <w:rFonts w:ascii="Calibri" w:hAnsi="Calibri" w:cs="Calibri"/>
                <w:sz w:val="20"/>
                <w:szCs w:val="22"/>
                <w:lang w:val="es-GT"/>
              </w:rPr>
              <w:t>os hogares (demanda domiciliar)</w:t>
            </w:r>
            <w:r w:rsidRPr="001A01AB">
              <w:rPr>
                <w:rFonts w:ascii="Calibri" w:hAnsi="Calibri" w:cs="Calibri"/>
                <w:sz w:val="20"/>
                <w:szCs w:val="22"/>
                <w:lang w:val="es-GT"/>
              </w:rPr>
              <w:t xml:space="preserve"> utilizan 461.68 millones de m</w:t>
            </w:r>
            <w:r w:rsidRPr="00465449">
              <w:rPr>
                <w:rFonts w:ascii="Calibri" w:hAnsi="Calibri" w:cs="Calibri"/>
                <w:sz w:val="20"/>
                <w:szCs w:val="22"/>
                <w:vertAlign w:val="superscript"/>
                <w:lang w:val="es-GT"/>
              </w:rPr>
              <w:t>3</w:t>
            </w:r>
            <w:r w:rsidRPr="001A01AB">
              <w:rPr>
                <w:rFonts w:ascii="Calibri" w:hAnsi="Calibri" w:cs="Calibri"/>
                <w:sz w:val="20"/>
                <w:szCs w:val="22"/>
                <w:lang w:val="es-GT"/>
              </w:rPr>
              <w:t xml:space="preserve"> (2.3% de los 20.3 millones de m</w:t>
            </w:r>
            <w:r w:rsidRPr="00465449">
              <w:rPr>
                <w:rFonts w:ascii="Calibri" w:hAnsi="Calibri" w:cs="Calibri"/>
                <w:sz w:val="20"/>
                <w:szCs w:val="22"/>
                <w:vertAlign w:val="superscript"/>
                <w:lang w:val="es-GT"/>
              </w:rPr>
              <w:t>3</w:t>
            </w:r>
            <w:r w:rsidRPr="001A01AB">
              <w:rPr>
                <w:rFonts w:ascii="Calibri" w:hAnsi="Calibri" w:cs="Calibri"/>
                <w:sz w:val="20"/>
                <w:szCs w:val="22"/>
                <w:lang w:val="es-GT"/>
              </w:rPr>
              <w:t xml:space="preserve">).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mayor parte de tierras en sobreuso corresponde a tierras con capacidad de uso forestal productivo o de protección</w:t>
            </w:r>
            <w:r w:rsidR="00657A80">
              <w:rPr>
                <w:rFonts w:ascii="Calibri" w:hAnsi="Calibri" w:cs="Calibri"/>
                <w:sz w:val="20"/>
                <w:szCs w:val="22"/>
                <w:lang w:val="es-GT"/>
              </w:rPr>
              <w:t>,</w:t>
            </w:r>
            <w:r w:rsidRPr="001A01AB">
              <w:rPr>
                <w:rFonts w:ascii="Calibri" w:hAnsi="Calibri" w:cs="Calibri"/>
                <w:sz w:val="20"/>
                <w:szCs w:val="22"/>
                <w:lang w:val="es-GT"/>
              </w:rPr>
              <w:t xml:space="preserve"> que están dedicadas a la producción de cultivos agrícolas tradicionales (granos básicos).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presencia de enfermedades gastrointestinales y </w:t>
            </w:r>
            <w:r w:rsidRPr="001A01AB">
              <w:rPr>
                <w:rFonts w:ascii="Calibri" w:hAnsi="Calibri" w:cs="Calibri"/>
                <w:sz w:val="20"/>
                <w:szCs w:val="22"/>
                <w:lang w:val="es-GT"/>
              </w:rPr>
              <w:lastRenderedPageBreak/>
              <w:t xml:space="preserve">respiratorias mantienen niveles de epidemia.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prevalencia del retardo en peso y talla se encuentra determinada como uno de los efectos más importantes de la malnutrición.</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mortalidad en los menores de </w:t>
            </w:r>
            <w:r w:rsidR="00657A80">
              <w:rPr>
                <w:rFonts w:ascii="Calibri" w:hAnsi="Calibri" w:cs="Calibri"/>
                <w:sz w:val="20"/>
                <w:szCs w:val="22"/>
                <w:lang w:val="es-GT"/>
              </w:rPr>
              <w:t>un</w:t>
            </w:r>
            <w:r w:rsidRPr="001A01AB">
              <w:rPr>
                <w:rFonts w:ascii="Calibri" w:hAnsi="Calibri" w:cs="Calibri"/>
                <w:sz w:val="20"/>
                <w:szCs w:val="22"/>
                <w:lang w:val="es-GT"/>
              </w:rPr>
              <w:t xml:space="preserve"> año </w:t>
            </w:r>
            <w:r w:rsidR="00657A80">
              <w:rPr>
                <w:rFonts w:ascii="Calibri" w:hAnsi="Calibri" w:cs="Calibri"/>
                <w:sz w:val="20"/>
                <w:szCs w:val="22"/>
                <w:lang w:val="es-GT"/>
              </w:rPr>
              <w:t xml:space="preserve">es una </w:t>
            </w:r>
            <w:r w:rsidRPr="001A01AB">
              <w:rPr>
                <w:rFonts w:ascii="Calibri" w:hAnsi="Calibri" w:cs="Calibri"/>
                <w:sz w:val="20"/>
                <w:szCs w:val="22"/>
                <w:lang w:val="es-GT"/>
              </w:rPr>
              <w:t>constante conservadora, no así en los de 1</w:t>
            </w:r>
            <w:r w:rsidR="00657A80">
              <w:rPr>
                <w:rFonts w:ascii="Calibri" w:hAnsi="Calibri" w:cs="Calibri"/>
                <w:sz w:val="20"/>
                <w:szCs w:val="22"/>
                <w:lang w:val="es-GT"/>
              </w:rPr>
              <w:t>-</w:t>
            </w:r>
            <w:r w:rsidRPr="001A01AB">
              <w:rPr>
                <w:rFonts w:ascii="Calibri" w:hAnsi="Calibri" w:cs="Calibri"/>
                <w:sz w:val="20"/>
                <w:szCs w:val="22"/>
                <w:lang w:val="es-GT"/>
              </w:rPr>
              <w:t>4 años, donde se presenta un incremento de 2.5 veces más.</w:t>
            </w:r>
          </w:p>
          <w:p w:rsidR="008327B2" w:rsidRPr="001A01AB" w:rsidRDefault="00EA6BBE"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 xml:space="preserve">La capacidad de generar e incrementar ingresos es uno de los </w:t>
            </w:r>
            <w:r w:rsidR="008327B2" w:rsidRPr="001A01AB">
              <w:rPr>
                <w:rFonts w:ascii="Calibri" w:hAnsi="Calibri" w:cs="Calibri"/>
                <w:sz w:val="20"/>
                <w:szCs w:val="22"/>
                <w:lang w:val="es-GT"/>
              </w:rPr>
              <w:t>factores económicos que, al igual que el estado nutricional, afecta las condiciones de pobreza, marginación y exclusión</w:t>
            </w:r>
            <w:r>
              <w:rPr>
                <w:rFonts w:ascii="Calibri" w:hAnsi="Calibri" w:cs="Calibri"/>
                <w:sz w:val="20"/>
                <w:szCs w:val="22"/>
                <w:lang w:val="es-GT"/>
              </w:rPr>
              <w:t>.</w:t>
            </w:r>
          </w:p>
          <w:p w:rsidR="008327B2" w:rsidRPr="001A01AB" w:rsidRDefault="00EA6BBE" w:rsidP="00EA6BBE">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Se han implementado p</w:t>
            </w:r>
            <w:r w:rsidR="008327B2" w:rsidRPr="001A01AB">
              <w:rPr>
                <w:rFonts w:ascii="Calibri" w:hAnsi="Calibri" w:cs="Calibri"/>
                <w:sz w:val="20"/>
                <w:szCs w:val="22"/>
                <w:lang w:val="es-GT"/>
              </w:rPr>
              <w:t>rogramas nacionales de fomento a la seguridad alimentaria y con fines políticos partidistas.</w:t>
            </w:r>
          </w:p>
        </w:tc>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Guatemala es uno de los 36 países que</w:t>
            </w:r>
            <w:r w:rsidR="001C49FF">
              <w:rPr>
                <w:rFonts w:ascii="Calibri" w:hAnsi="Calibri" w:cs="Calibri"/>
                <w:sz w:val="20"/>
                <w:szCs w:val="22"/>
                <w:lang w:val="es-GT"/>
              </w:rPr>
              <w:t>,</w:t>
            </w:r>
            <w:r w:rsidRPr="001A01AB">
              <w:rPr>
                <w:rFonts w:ascii="Calibri" w:hAnsi="Calibri" w:cs="Calibri"/>
                <w:sz w:val="20"/>
                <w:szCs w:val="22"/>
                <w:lang w:val="es-GT"/>
              </w:rPr>
              <w:t xml:space="preserve"> a nivel mundial</w:t>
            </w:r>
            <w:r w:rsidR="001C49FF">
              <w:rPr>
                <w:rFonts w:ascii="Calibri" w:hAnsi="Calibri" w:cs="Calibri"/>
                <w:sz w:val="20"/>
                <w:szCs w:val="22"/>
                <w:lang w:val="es-GT"/>
              </w:rPr>
              <w:t>,</w:t>
            </w:r>
            <w:r w:rsidRPr="001A01AB">
              <w:rPr>
                <w:rFonts w:ascii="Calibri" w:hAnsi="Calibri" w:cs="Calibri"/>
                <w:sz w:val="20"/>
                <w:szCs w:val="22"/>
                <w:lang w:val="es-GT"/>
              </w:rPr>
              <w:t xml:space="preserve"> contribuye con el 90% de la desnutrición crónica</w:t>
            </w:r>
            <w:r w:rsidR="001C49FF">
              <w:rPr>
                <w:rFonts w:ascii="Calibri" w:hAnsi="Calibri" w:cs="Calibri"/>
                <w:sz w:val="20"/>
                <w:szCs w:val="22"/>
                <w:lang w:val="es-GT"/>
              </w:rPr>
              <w:t>. E</w:t>
            </w:r>
            <w:r w:rsidRPr="001A01AB">
              <w:rPr>
                <w:rFonts w:ascii="Calibri" w:hAnsi="Calibri" w:cs="Calibri"/>
                <w:sz w:val="20"/>
                <w:szCs w:val="22"/>
                <w:lang w:val="es-GT"/>
              </w:rPr>
              <w:t xml:space="preserve">s el país con mayor nivel de desnutrición en América Latina </w:t>
            </w:r>
            <w:r w:rsidRPr="001C49FF">
              <w:rPr>
                <w:rFonts w:ascii="Calibri" w:hAnsi="Calibri" w:cs="Calibri"/>
                <w:sz w:val="20"/>
                <w:szCs w:val="22"/>
                <w:highlight w:val="yellow"/>
                <w:lang w:val="es-GT"/>
              </w:rPr>
              <w:t>con un 53%.</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Reducción </w:t>
            </w:r>
            <w:r w:rsidR="001C49FF">
              <w:rPr>
                <w:rFonts w:ascii="Calibri" w:hAnsi="Calibri" w:cs="Calibri"/>
                <w:sz w:val="20"/>
                <w:szCs w:val="22"/>
                <w:lang w:val="es-GT"/>
              </w:rPr>
              <w:t>de</w:t>
            </w:r>
            <w:r w:rsidRPr="001A01AB">
              <w:rPr>
                <w:rFonts w:ascii="Calibri" w:hAnsi="Calibri" w:cs="Calibri"/>
                <w:sz w:val="20"/>
                <w:szCs w:val="22"/>
                <w:lang w:val="es-GT"/>
              </w:rPr>
              <w:t xml:space="preserve"> las reservas alimenticias antes de la temporada habitual de cosecha </w:t>
            </w:r>
            <w:r w:rsidRPr="001A01AB">
              <w:rPr>
                <w:rFonts w:ascii="Calibri" w:hAnsi="Calibri" w:cs="Calibri"/>
                <w:sz w:val="19"/>
                <w:szCs w:val="19"/>
                <w:lang w:val="es-GT"/>
              </w:rPr>
              <w:t>(aumento de precios)</w:t>
            </w:r>
            <w:r w:rsidR="001C49FF">
              <w:rPr>
                <w:rFonts w:ascii="Calibri" w:hAnsi="Calibri" w:cs="Calibri"/>
                <w:sz w:val="19"/>
                <w:szCs w:val="19"/>
                <w:lang w:val="es-GT"/>
              </w:rPr>
              <w:t>.</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Conflictos derivados de la falta de acceso a fuentes seguras de agua potable, principalmente en el área rural, donde el 24.73% de los hogares no pos</w:t>
            </w:r>
            <w:r w:rsidR="001C49FF">
              <w:rPr>
                <w:rFonts w:ascii="Calibri" w:hAnsi="Calibri" w:cs="Calibri"/>
                <w:sz w:val="20"/>
                <w:szCs w:val="22"/>
                <w:lang w:val="es-GT"/>
              </w:rPr>
              <w:t>eía</w:t>
            </w:r>
            <w:r w:rsidRPr="001A01AB">
              <w:rPr>
                <w:rFonts w:ascii="Calibri" w:hAnsi="Calibri" w:cs="Calibri"/>
                <w:sz w:val="20"/>
                <w:szCs w:val="22"/>
                <w:lang w:val="es-GT"/>
              </w:rPr>
              <w:t xml:space="preserve"> servicio de agua potable</w:t>
            </w:r>
            <w:r w:rsidR="001C49FF" w:rsidRPr="001A01AB">
              <w:rPr>
                <w:rFonts w:ascii="Calibri" w:hAnsi="Calibri" w:cs="Calibri"/>
                <w:sz w:val="20"/>
                <w:szCs w:val="22"/>
                <w:lang w:val="es-GT"/>
              </w:rPr>
              <w:t xml:space="preserve"> al año 2011</w:t>
            </w:r>
            <w:r w:rsidRPr="001A01AB">
              <w:rPr>
                <w:rFonts w:ascii="Calibri" w:hAnsi="Calibri" w:cs="Calibri"/>
                <w:sz w:val="20"/>
                <w:szCs w:val="22"/>
                <w:lang w:val="es-GT"/>
              </w:rPr>
              <w:t>.</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Elevados índices de contaminación del recurso hídrico.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Erosión potencial de 48 millones de toneladas de suelo al año debido al sobreuso del suelo (24%).</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Aun cuando la disponibilidad hídrica promedio anual se encuentra muy por encima en un país con riesgo hídrico, la distribución espacial de la lluvia es muy irregular y la disponibilidad natural del agua no coincide exactamente con las demandas.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lastRenderedPageBreak/>
              <w:t xml:space="preserve">Al menos 14 ríos y cuatro lagos presentan altos niveles de contaminación física, materia orgánica, microorganismos, contaminantes tóxicos y materiales cancerígenos, lo </w:t>
            </w:r>
            <w:r w:rsidR="00994636">
              <w:rPr>
                <w:rFonts w:ascii="Calibri" w:hAnsi="Calibri" w:cs="Calibri"/>
                <w:sz w:val="20"/>
                <w:szCs w:val="22"/>
                <w:lang w:val="es-GT"/>
              </w:rPr>
              <w:t>cual</w:t>
            </w:r>
            <w:r w:rsidRPr="001A01AB">
              <w:rPr>
                <w:rFonts w:ascii="Calibri" w:hAnsi="Calibri" w:cs="Calibri"/>
                <w:sz w:val="20"/>
                <w:szCs w:val="22"/>
                <w:lang w:val="es-GT"/>
              </w:rPr>
              <w:t xml:space="preserve"> implica riesgos </w:t>
            </w:r>
            <w:r w:rsidR="00994636">
              <w:rPr>
                <w:rFonts w:ascii="Calibri" w:hAnsi="Calibri" w:cs="Calibri"/>
                <w:sz w:val="20"/>
                <w:szCs w:val="22"/>
                <w:lang w:val="es-GT"/>
              </w:rPr>
              <w:t>si se utiliza para</w:t>
            </w:r>
            <w:r w:rsidRPr="001A01AB">
              <w:rPr>
                <w:rFonts w:ascii="Calibri" w:hAnsi="Calibri" w:cs="Calibri"/>
                <w:sz w:val="20"/>
                <w:szCs w:val="22"/>
                <w:lang w:val="es-GT"/>
              </w:rPr>
              <w:t xml:space="preserve"> consumo y riego.</w:t>
            </w:r>
          </w:p>
          <w:p w:rsidR="008327B2" w:rsidRPr="001A01AB" w:rsidRDefault="00994636"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F</w:t>
            </w:r>
            <w:r w:rsidR="008327B2" w:rsidRPr="001A01AB">
              <w:rPr>
                <w:rFonts w:ascii="Calibri" w:hAnsi="Calibri" w:cs="Calibri"/>
                <w:sz w:val="20"/>
                <w:szCs w:val="22"/>
                <w:lang w:val="es-GT"/>
              </w:rPr>
              <w:t>enómenos naturales, algunos relaci</w:t>
            </w:r>
            <w:r>
              <w:rPr>
                <w:rFonts w:ascii="Calibri" w:hAnsi="Calibri" w:cs="Calibri"/>
                <w:sz w:val="20"/>
                <w:szCs w:val="22"/>
                <w:lang w:val="es-GT"/>
              </w:rPr>
              <w:t xml:space="preserve">onados con el cambio climático, han ocasionado </w:t>
            </w:r>
            <w:r w:rsidR="008327B2" w:rsidRPr="001A01AB">
              <w:rPr>
                <w:rFonts w:ascii="Calibri" w:hAnsi="Calibri" w:cs="Calibri"/>
                <w:sz w:val="20"/>
                <w:szCs w:val="22"/>
                <w:lang w:val="es-GT"/>
              </w:rPr>
              <w:t>daños y pérdidas</w:t>
            </w:r>
            <w:r>
              <w:rPr>
                <w:rFonts w:ascii="Calibri" w:hAnsi="Calibri" w:cs="Calibri"/>
                <w:sz w:val="20"/>
                <w:szCs w:val="22"/>
                <w:lang w:val="es-GT"/>
              </w:rPr>
              <w:t>,</w:t>
            </w:r>
            <w:r w:rsidR="008327B2" w:rsidRPr="001A01AB">
              <w:rPr>
                <w:rFonts w:ascii="Calibri" w:hAnsi="Calibri" w:cs="Calibri"/>
                <w:sz w:val="20"/>
                <w:szCs w:val="22"/>
                <w:lang w:val="es-GT"/>
              </w:rPr>
              <w:t xml:space="preserve"> principalmente en la base de la sustentación alimentaria de las familias pobres y extremadamente pobres.</w:t>
            </w:r>
          </w:p>
          <w:p w:rsidR="008327B2" w:rsidRPr="001A01AB" w:rsidRDefault="0026777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w:t>
            </w:r>
            <w:r w:rsidR="008327B2" w:rsidRPr="001A01AB">
              <w:rPr>
                <w:rFonts w:ascii="Calibri" w:hAnsi="Calibri" w:cs="Calibri"/>
                <w:sz w:val="20"/>
                <w:szCs w:val="22"/>
                <w:lang w:val="es-GT"/>
              </w:rPr>
              <w:t>a aparición de plagas y enfermedades</w:t>
            </w:r>
            <w:r>
              <w:rPr>
                <w:rFonts w:ascii="Calibri" w:hAnsi="Calibri" w:cs="Calibri"/>
                <w:sz w:val="20"/>
                <w:szCs w:val="22"/>
                <w:lang w:val="es-GT"/>
              </w:rPr>
              <w:t>, como efecto del cambio climático, afectará</w:t>
            </w:r>
            <w:r w:rsidR="008327B2" w:rsidRPr="001A01AB">
              <w:rPr>
                <w:rFonts w:ascii="Calibri" w:hAnsi="Calibri" w:cs="Calibri"/>
                <w:sz w:val="20"/>
                <w:szCs w:val="22"/>
                <w:lang w:val="es-GT"/>
              </w:rPr>
              <w:t xml:space="preserve"> la base de sustentación alimentaria </w:t>
            </w:r>
            <w:r>
              <w:rPr>
                <w:rFonts w:ascii="Calibri" w:hAnsi="Calibri" w:cs="Calibri"/>
                <w:sz w:val="20"/>
                <w:szCs w:val="22"/>
                <w:lang w:val="es-GT"/>
              </w:rPr>
              <w:t>de</w:t>
            </w:r>
            <w:r w:rsidR="008327B2" w:rsidRPr="001A01AB">
              <w:rPr>
                <w:rFonts w:ascii="Calibri" w:hAnsi="Calibri" w:cs="Calibri"/>
                <w:sz w:val="20"/>
                <w:szCs w:val="22"/>
                <w:lang w:val="es-GT"/>
              </w:rPr>
              <w:t xml:space="preserve"> las familias.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Debido a la escasez de reservas de alimentos, las familias po</w:t>
            </w:r>
            <w:r w:rsidR="00267772">
              <w:rPr>
                <w:rFonts w:ascii="Calibri" w:hAnsi="Calibri" w:cs="Calibri"/>
                <w:sz w:val="20"/>
                <w:szCs w:val="22"/>
                <w:lang w:val="es-GT"/>
              </w:rPr>
              <w:t>bres y extremadamente pobres</w:t>
            </w:r>
            <w:r w:rsidRPr="001A01AB">
              <w:rPr>
                <w:rFonts w:ascii="Calibri" w:hAnsi="Calibri" w:cs="Calibri"/>
                <w:sz w:val="20"/>
                <w:szCs w:val="22"/>
                <w:lang w:val="es-GT"/>
              </w:rPr>
              <w:t xml:space="preserve"> complementan su requerimiento anual de maíz y frijol, comprándolo en sus comunidades o en los mercados municipales.</w:t>
            </w:r>
          </w:p>
          <w:p w:rsidR="008327B2" w:rsidRPr="001A01AB" w:rsidRDefault="00267772" w:rsidP="00267772">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El incremento de</w:t>
            </w:r>
            <w:r w:rsidR="008327B2" w:rsidRPr="001A01AB">
              <w:rPr>
                <w:rFonts w:ascii="Calibri" w:hAnsi="Calibri" w:cs="Calibri"/>
                <w:sz w:val="20"/>
                <w:szCs w:val="22"/>
                <w:lang w:val="es-GT"/>
              </w:rPr>
              <w:t xml:space="preserve"> la cantidad de tierra agrícola dedicada a la explotación de nuevos productos</w:t>
            </w:r>
            <w:r w:rsidRPr="001A01AB">
              <w:rPr>
                <w:rFonts w:ascii="Calibri" w:hAnsi="Calibri" w:cs="Calibri"/>
                <w:sz w:val="20"/>
                <w:szCs w:val="22"/>
                <w:lang w:val="es-GT"/>
              </w:rPr>
              <w:t xml:space="preserve"> para el mercado internacional</w:t>
            </w:r>
            <w:r w:rsidR="008327B2" w:rsidRPr="001A01AB">
              <w:rPr>
                <w:rFonts w:ascii="Calibri" w:hAnsi="Calibri" w:cs="Calibri"/>
                <w:sz w:val="20"/>
                <w:szCs w:val="22"/>
                <w:lang w:val="es-GT"/>
              </w:rPr>
              <w:t>, tales como los no tradicionales y otros cultivos intensivos</w:t>
            </w:r>
            <w:r>
              <w:rPr>
                <w:rFonts w:ascii="Calibri" w:hAnsi="Calibri" w:cs="Calibri"/>
                <w:sz w:val="20"/>
                <w:szCs w:val="22"/>
                <w:lang w:val="es-GT"/>
              </w:rPr>
              <w:t>,</w:t>
            </w:r>
            <w:r w:rsidR="008327B2" w:rsidRPr="001A01AB">
              <w:rPr>
                <w:rFonts w:ascii="Calibri" w:hAnsi="Calibri" w:cs="Calibri"/>
                <w:sz w:val="20"/>
                <w:szCs w:val="22"/>
                <w:lang w:val="es-GT"/>
              </w:rPr>
              <w:t xml:space="preserve"> está provocando </w:t>
            </w:r>
            <w:r>
              <w:rPr>
                <w:rFonts w:ascii="Calibri" w:hAnsi="Calibri" w:cs="Calibri"/>
                <w:sz w:val="20"/>
                <w:szCs w:val="22"/>
                <w:lang w:val="es-GT"/>
              </w:rPr>
              <w:t>la</w:t>
            </w:r>
            <w:r w:rsidR="008327B2" w:rsidRPr="001A01AB">
              <w:rPr>
                <w:rFonts w:ascii="Calibri" w:hAnsi="Calibri" w:cs="Calibri"/>
                <w:sz w:val="20"/>
                <w:szCs w:val="22"/>
                <w:lang w:val="es-GT"/>
              </w:rPr>
              <w:t xml:space="preserve"> disminución </w:t>
            </w:r>
            <w:r>
              <w:rPr>
                <w:rFonts w:ascii="Calibri" w:hAnsi="Calibri" w:cs="Calibri"/>
                <w:sz w:val="20"/>
                <w:szCs w:val="22"/>
                <w:lang w:val="es-GT"/>
              </w:rPr>
              <w:t>de</w:t>
            </w:r>
            <w:r w:rsidR="008327B2" w:rsidRPr="001A01AB">
              <w:rPr>
                <w:rFonts w:ascii="Calibri" w:hAnsi="Calibri" w:cs="Calibri"/>
                <w:sz w:val="20"/>
                <w:szCs w:val="22"/>
                <w:lang w:val="es-GT"/>
              </w:rPr>
              <w:t xml:space="preserve"> las reservas alimentarias de las familias.</w:t>
            </w:r>
            <w:r>
              <w:rPr>
                <w:rFonts w:ascii="Calibri" w:hAnsi="Calibri" w:cs="Calibri"/>
                <w:sz w:val="20"/>
                <w:szCs w:val="22"/>
                <w:lang w:val="es-GT"/>
              </w:rPr>
              <w:t xml:space="preserve"> </w:t>
            </w:r>
          </w:p>
        </w:tc>
      </w:tr>
    </w:tbl>
    <w:p w:rsidR="008327B2" w:rsidRPr="001A01AB" w:rsidRDefault="008327B2" w:rsidP="008327B2">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9576"/>
      </w:tblGrid>
      <w:tr w:rsidR="008327B2" w:rsidRPr="000364C9" w:rsidTr="001A01AB">
        <w:trPr>
          <w:jc w:val="center"/>
        </w:trPr>
        <w:tc>
          <w:tcPr>
            <w:tcW w:w="9576" w:type="dxa"/>
            <w:shd w:val="clear" w:color="auto" w:fill="auto"/>
          </w:tcPr>
          <w:p w:rsidR="008327B2" w:rsidRPr="001A01AB" w:rsidRDefault="008327B2" w:rsidP="001A01AB">
            <w:pPr>
              <w:autoSpaceDE w:val="0"/>
              <w:autoSpaceDN w:val="0"/>
              <w:adjustRightInd w:val="0"/>
              <w:spacing w:after="60"/>
              <w:jc w:val="both"/>
              <w:rPr>
                <w:rFonts w:ascii="Calibri" w:hAnsi="Calibri" w:cs="Calibri"/>
                <w:b/>
                <w:color w:val="365F91"/>
                <w:sz w:val="22"/>
                <w:szCs w:val="22"/>
                <w:lang w:val="es-GT"/>
              </w:rPr>
            </w:pPr>
            <w:r w:rsidRPr="001A01AB">
              <w:rPr>
                <w:rFonts w:ascii="Calibri" w:hAnsi="Calibri" w:cs="Calibri"/>
                <w:b/>
                <w:color w:val="365F91"/>
                <w:sz w:val="22"/>
                <w:szCs w:val="22"/>
                <w:lang w:val="es-GT"/>
              </w:rPr>
              <w:t>Tendencias (basadas en un escenario de tipo tendencial)</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 xml:space="preserve">El programa PINPEP es un instrumento que fortalecerá la productividad campesina rural para poseedores, incorporando los sistemas agroforestales </w:t>
            </w:r>
            <w:r w:rsidR="00267772">
              <w:rPr>
                <w:rFonts w:cs="Calibri"/>
              </w:rPr>
              <w:t>a los</w:t>
            </w:r>
            <w:r w:rsidRPr="001A01AB">
              <w:rPr>
                <w:rFonts w:cs="Calibri"/>
              </w:rPr>
              <w:t xml:space="preserve"> agroecosistemas productivos</w:t>
            </w:r>
            <w:r w:rsidR="00267772">
              <w:rPr>
                <w:rFonts w:cs="Calibri"/>
              </w:rPr>
              <w:t xml:space="preserve">, para contribuir </w:t>
            </w:r>
            <w:r w:rsidRPr="001A01AB">
              <w:rPr>
                <w:rFonts w:cs="Calibri"/>
              </w:rPr>
              <w:t>a mejorar la dieta de las familias rurales.</w:t>
            </w:r>
          </w:p>
          <w:p w:rsidR="008327B2" w:rsidRPr="001A01AB" w:rsidRDefault="00267772" w:rsidP="001A01AB">
            <w:pPr>
              <w:pStyle w:val="Prrafodelista"/>
              <w:numPr>
                <w:ilvl w:val="0"/>
                <w:numId w:val="28"/>
              </w:numPr>
              <w:autoSpaceDE w:val="0"/>
              <w:autoSpaceDN w:val="0"/>
              <w:adjustRightInd w:val="0"/>
              <w:spacing w:after="60"/>
              <w:ind w:left="282" w:hanging="284"/>
              <w:jc w:val="both"/>
              <w:rPr>
                <w:rFonts w:cs="Calibri"/>
              </w:rPr>
            </w:pPr>
            <w:r>
              <w:rPr>
                <w:rFonts w:cs="Calibri"/>
              </w:rPr>
              <w:t>Incremento de</w:t>
            </w:r>
            <w:r w:rsidR="008327B2" w:rsidRPr="001A01AB">
              <w:rPr>
                <w:rFonts w:cs="Calibri"/>
              </w:rPr>
              <w:t xml:space="preserve"> las oportunidades de mejorar y aumentar los sistemas de riego a nivel rural, </w:t>
            </w:r>
            <w:r>
              <w:rPr>
                <w:rFonts w:cs="Calibri"/>
              </w:rPr>
              <w:t>para optimizar</w:t>
            </w:r>
            <w:r w:rsidR="008327B2" w:rsidRPr="001A01AB">
              <w:rPr>
                <w:rFonts w:cs="Calibri"/>
              </w:rPr>
              <w:t xml:space="preserve"> la productividad por unidad de áreas.</w:t>
            </w:r>
          </w:p>
          <w:p w:rsidR="008327B2" w:rsidRPr="001A01AB" w:rsidRDefault="00267772" w:rsidP="001A01AB">
            <w:pPr>
              <w:pStyle w:val="Prrafodelista"/>
              <w:numPr>
                <w:ilvl w:val="0"/>
                <w:numId w:val="28"/>
              </w:numPr>
              <w:autoSpaceDE w:val="0"/>
              <w:autoSpaceDN w:val="0"/>
              <w:adjustRightInd w:val="0"/>
              <w:spacing w:after="60"/>
              <w:ind w:left="282" w:hanging="284"/>
              <w:jc w:val="both"/>
              <w:rPr>
                <w:rFonts w:cs="Calibri"/>
              </w:rPr>
            </w:pPr>
            <w:r>
              <w:rPr>
                <w:rFonts w:cs="Calibri"/>
              </w:rPr>
              <w:t>Fortalecimiento de</w:t>
            </w:r>
            <w:r w:rsidR="008327B2" w:rsidRPr="001A01AB">
              <w:rPr>
                <w:rFonts w:cs="Calibri"/>
              </w:rPr>
              <w:t xml:space="preserve"> los sistemas de extensión agrícola, </w:t>
            </w:r>
            <w:r>
              <w:rPr>
                <w:rFonts w:cs="Calibri"/>
              </w:rPr>
              <w:t>pecuario y foresto–</w:t>
            </w:r>
            <w:r w:rsidR="008327B2" w:rsidRPr="001A01AB">
              <w:rPr>
                <w:rFonts w:cs="Calibri"/>
              </w:rPr>
              <w:t xml:space="preserve">ambiental, que contribuyan a </w:t>
            </w:r>
            <w:r w:rsidR="0086329F">
              <w:rPr>
                <w:rFonts w:cs="Calibri"/>
              </w:rPr>
              <w:t>hacer más eficiente</w:t>
            </w:r>
            <w:r w:rsidR="008327B2" w:rsidRPr="001A01AB">
              <w:rPr>
                <w:rFonts w:cs="Calibri"/>
              </w:rPr>
              <w:t xml:space="preserve"> el uso de los recursos aún existentes a nivel rural</w:t>
            </w:r>
            <w:r>
              <w:rPr>
                <w:rFonts w:cs="Calibri"/>
              </w:rPr>
              <w:t>,</w:t>
            </w:r>
            <w:r w:rsidR="008327B2" w:rsidRPr="001A01AB">
              <w:rPr>
                <w:rFonts w:cs="Calibri"/>
              </w:rPr>
              <w:t xml:space="preserve"> y mejorar los procesos de incidencia en el manejo y protección de los bienes y servicios del bosque.</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La falta de certeza jurídica de la tierra es una condición que se mantendrá en Guatemala, dificultando el acceso a la producción de alimentos.</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rPr>
              <w:t xml:space="preserve">Los elevados índices de contaminación de </w:t>
            </w:r>
            <w:r w:rsidR="00267772">
              <w:rPr>
                <w:rFonts w:cs="Calibri"/>
              </w:rPr>
              <w:t xml:space="preserve">los </w:t>
            </w:r>
            <w:r w:rsidRPr="001A01AB">
              <w:rPr>
                <w:rFonts w:cs="Calibri"/>
              </w:rPr>
              <w:t>recursos hídricos tiende</w:t>
            </w:r>
            <w:r w:rsidR="00267772">
              <w:rPr>
                <w:rFonts w:cs="Calibri"/>
              </w:rPr>
              <w:t>n</w:t>
            </w:r>
            <w:r w:rsidRPr="001A01AB">
              <w:rPr>
                <w:rFonts w:cs="Calibri"/>
              </w:rPr>
              <w:t xml:space="preserve"> a aumentar y a convertirse en uno de los temas de conflicto social más importantes en Guatemala.</w:t>
            </w:r>
          </w:p>
          <w:p w:rsidR="008327B2" w:rsidRPr="001A01AB" w:rsidRDefault="008327B2" w:rsidP="00986A3C">
            <w:pPr>
              <w:pStyle w:val="Prrafodelista"/>
              <w:numPr>
                <w:ilvl w:val="0"/>
                <w:numId w:val="28"/>
              </w:numPr>
              <w:autoSpaceDE w:val="0"/>
              <w:autoSpaceDN w:val="0"/>
              <w:adjustRightInd w:val="0"/>
              <w:spacing w:after="60"/>
              <w:ind w:left="282" w:hanging="284"/>
              <w:jc w:val="both"/>
              <w:rPr>
                <w:rFonts w:cs="Calibri"/>
              </w:rPr>
            </w:pPr>
            <w:r w:rsidRPr="001A01AB">
              <w:rPr>
                <w:rFonts w:cs="Calibri"/>
              </w:rPr>
              <w:t>Los efectos del c</w:t>
            </w:r>
            <w:r w:rsidR="00267772">
              <w:rPr>
                <w:rFonts w:cs="Calibri"/>
              </w:rPr>
              <w:t>ambio climático son inevitables</w:t>
            </w:r>
            <w:r w:rsidRPr="001A01AB">
              <w:rPr>
                <w:rFonts w:cs="Calibri"/>
              </w:rPr>
              <w:t xml:space="preserve"> </w:t>
            </w:r>
            <w:r w:rsidR="00267772">
              <w:rPr>
                <w:rFonts w:cs="Calibri"/>
              </w:rPr>
              <w:t>y</w:t>
            </w:r>
            <w:r w:rsidRPr="001A01AB">
              <w:rPr>
                <w:rFonts w:cs="Calibri"/>
              </w:rPr>
              <w:t xml:space="preserve"> causarán problemas en el abastecimiento de reservas de alimentos y en la producción misma.</w:t>
            </w:r>
            <w:r w:rsidR="00141A70">
              <w:rPr>
                <w:rFonts w:cs="Calibri"/>
              </w:rPr>
              <w:t xml:space="preserve"> </w:t>
            </w:r>
            <w:r w:rsidRPr="001A01AB">
              <w:rPr>
                <w:rFonts w:cs="Calibri"/>
              </w:rPr>
              <w:t>De igual manera, habrá una tendencia creciente en la aparición de plagas</w:t>
            </w:r>
            <w:r w:rsidR="00986A3C">
              <w:rPr>
                <w:rFonts w:cs="Calibri"/>
              </w:rPr>
              <w:t>, así como</w:t>
            </w:r>
            <w:r w:rsidRPr="001A01AB">
              <w:rPr>
                <w:rFonts w:cs="Calibri"/>
              </w:rPr>
              <w:t xml:space="preserve"> </w:t>
            </w:r>
            <w:r w:rsidR="00986A3C">
              <w:rPr>
                <w:rFonts w:cs="Calibri"/>
              </w:rPr>
              <w:t xml:space="preserve">de </w:t>
            </w:r>
            <w:r w:rsidRPr="001A01AB">
              <w:rPr>
                <w:rFonts w:cs="Calibri"/>
              </w:rPr>
              <w:t>enfermedades a los cultivos y a la salud infantil, principalmente.</w:t>
            </w:r>
          </w:p>
        </w:tc>
      </w:tr>
    </w:tbl>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5D75A1">
      <w:pPr>
        <w:pBdr>
          <w:bottom w:val="single" w:sz="4" w:space="1" w:color="auto"/>
        </w:pBdr>
        <w:rPr>
          <w:rFonts w:ascii="Calibri" w:hAnsi="Calibri" w:cs="Calibri"/>
          <w:b/>
          <w:color w:val="365F91"/>
          <w:sz w:val="32"/>
          <w:lang w:val="es-GT"/>
        </w:rPr>
      </w:pPr>
      <w:r w:rsidRPr="001A01AB">
        <w:rPr>
          <w:rFonts w:ascii="Calibri" w:hAnsi="Calibri" w:cs="Calibri"/>
          <w:lang w:val="es-GT"/>
        </w:rPr>
        <w:br w:type="page"/>
      </w:r>
      <w:r w:rsidRPr="001A01AB">
        <w:rPr>
          <w:rFonts w:ascii="Calibri" w:hAnsi="Calibri" w:cs="Calibri"/>
          <w:b/>
          <w:color w:val="365F91"/>
          <w:sz w:val="32"/>
          <w:lang w:val="es-GT"/>
        </w:rPr>
        <w:lastRenderedPageBreak/>
        <w:t>FCD 4: Vulnerabilidad sistémica y cambio climático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Enfoque:</w:t>
      </w:r>
    </w:p>
    <w:p w:rsidR="008327B2" w:rsidRPr="001A01AB" w:rsidRDefault="008327B2" w:rsidP="006B0A31">
      <w:pPr>
        <w:numPr>
          <w:ilvl w:val="0"/>
          <w:numId w:val="34"/>
        </w:numPr>
        <w:autoSpaceDE w:val="0"/>
        <w:autoSpaceDN w:val="0"/>
        <w:adjustRightInd w:val="0"/>
        <w:ind w:left="340"/>
        <w:jc w:val="both"/>
        <w:rPr>
          <w:rFonts w:ascii="Calibri" w:hAnsi="Calibri" w:cs="Calibri"/>
          <w:lang w:val="es-GT"/>
        </w:rPr>
      </w:pPr>
      <w:r w:rsidRPr="001A01AB">
        <w:rPr>
          <w:rFonts w:ascii="Calibri" w:hAnsi="Calibri" w:cs="Calibri"/>
          <w:lang w:val="es-GT"/>
        </w:rPr>
        <w:t>Fortalecer los si</w:t>
      </w:r>
      <w:r w:rsidR="00986A3C">
        <w:rPr>
          <w:rFonts w:ascii="Calibri" w:hAnsi="Calibri" w:cs="Calibri"/>
          <w:lang w:val="es-GT"/>
        </w:rPr>
        <w:t>stemas de información climática</w:t>
      </w:r>
      <w:r w:rsidRPr="001A01AB">
        <w:rPr>
          <w:rFonts w:ascii="Calibri" w:hAnsi="Calibri" w:cs="Calibri"/>
          <w:lang w:val="es-GT"/>
        </w:rPr>
        <w:t xml:space="preserve"> que aseguren la captura de información confiable y precisa, a fin de modelar los cambios en el clima y alimentar los sistemas de alerta temprana locales</w:t>
      </w:r>
      <w:r w:rsidR="00986A3C">
        <w:rPr>
          <w:rFonts w:ascii="Calibri" w:hAnsi="Calibri" w:cs="Calibri"/>
          <w:lang w:val="es-GT"/>
        </w:rPr>
        <w:t>.</w:t>
      </w:r>
    </w:p>
    <w:p w:rsidR="008327B2" w:rsidRPr="001A01AB" w:rsidRDefault="008327B2" w:rsidP="006B0A31">
      <w:pPr>
        <w:numPr>
          <w:ilvl w:val="0"/>
          <w:numId w:val="34"/>
        </w:numPr>
        <w:autoSpaceDE w:val="0"/>
        <w:autoSpaceDN w:val="0"/>
        <w:adjustRightInd w:val="0"/>
        <w:ind w:left="340"/>
        <w:jc w:val="both"/>
        <w:rPr>
          <w:rFonts w:ascii="Calibri" w:hAnsi="Calibri" w:cs="Calibri"/>
          <w:lang w:val="es-GT"/>
        </w:rPr>
      </w:pPr>
      <w:r w:rsidRPr="001A01AB">
        <w:rPr>
          <w:rFonts w:ascii="Calibri" w:hAnsi="Calibri" w:cs="Calibri"/>
          <w:lang w:val="es-GT"/>
        </w:rPr>
        <w:t>Adaptación de los sistemas productivos de pequeños productores rurales a la variabilidad climática</w:t>
      </w:r>
      <w:r w:rsidR="00986A3C">
        <w:rPr>
          <w:rFonts w:ascii="Calibri" w:hAnsi="Calibri" w:cs="Calibri"/>
          <w:lang w:val="es-GT"/>
        </w:rPr>
        <w:t>.</w:t>
      </w:r>
    </w:p>
    <w:p w:rsidR="008327B2" w:rsidRPr="001A01AB" w:rsidRDefault="008327B2" w:rsidP="008327B2">
      <w:pPr>
        <w:autoSpaceDE w:val="0"/>
        <w:autoSpaceDN w:val="0"/>
        <w:adjustRightInd w:val="0"/>
        <w:ind w:left="34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b/>
          <w:color w:val="365F91"/>
          <w:sz w:val="28"/>
          <w:lang w:val="es-GT"/>
        </w:rPr>
        <w:t>4.1.</w:t>
      </w:r>
      <w:r w:rsidRPr="001A01AB">
        <w:rPr>
          <w:rFonts w:ascii="Calibri" w:hAnsi="Calibri" w:cs="Calibri"/>
          <w:b/>
          <w:color w:val="365F91"/>
          <w:sz w:val="28"/>
          <w:lang w:val="es-GT"/>
        </w:rPr>
        <w:tab/>
        <w:t>Criterio de evaluación: V</w:t>
      </w:r>
      <w:r w:rsidR="0086329F" w:rsidRPr="001A01AB">
        <w:rPr>
          <w:rFonts w:ascii="Calibri" w:hAnsi="Calibri" w:cs="Calibri"/>
          <w:b/>
          <w:color w:val="365F91"/>
          <w:sz w:val="28"/>
          <w:lang w:val="es-GT"/>
        </w:rPr>
        <w:t>ulnerabilidad</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Las condiciones de ubicación y desarrollo socioeconómico actuales hacen de Guatemala un país con </w:t>
      </w:r>
      <w:r w:rsidR="00986A3C" w:rsidRPr="001A01AB">
        <w:rPr>
          <w:rFonts w:ascii="Calibri" w:hAnsi="Calibri" w:cs="Calibri"/>
          <w:lang w:val="es-GT"/>
        </w:rPr>
        <w:t xml:space="preserve">alta </w:t>
      </w:r>
      <w:r w:rsidRPr="001A01AB">
        <w:rPr>
          <w:rFonts w:ascii="Calibri" w:hAnsi="Calibri" w:cs="Calibri"/>
          <w:lang w:val="es-GT"/>
        </w:rPr>
        <w:t xml:space="preserve">vulnerabilidad. Se cuenta con un territorio </w:t>
      </w:r>
      <w:r w:rsidR="00986A3C">
        <w:rPr>
          <w:rFonts w:ascii="Calibri" w:hAnsi="Calibri" w:cs="Calibri"/>
          <w:lang w:val="es-GT"/>
        </w:rPr>
        <w:t>en donde</w:t>
      </w:r>
      <w:r w:rsidRPr="001A01AB">
        <w:rPr>
          <w:rFonts w:ascii="Calibri" w:hAnsi="Calibri" w:cs="Calibri"/>
          <w:lang w:val="es-GT"/>
        </w:rPr>
        <w:t xml:space="preserve"> la mayoría de sus elementos naturales se encuentran expuestos a persistentes y acumulativos procesos de agotamiento, deterioro y contaminación, debidos principalmente al sistema económico, el cual se caracteriza por ser altamente extractivo. Por otro lado, se tienen las amenazas inducidas por el cambio climático, que hacen más vulnerables a ciertos grupos de la sociedad.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Tanto el modelo económico actual, como la condición del </w:t>
      </w:r>
      <w:r w:rsidR="00986A3C">
        <w:rPr>
          <w:rFonts w:ascii="Calibri" w:hAnsi="Calibri" w:cs="Calibri"/>
          <w:lang w:val="es-GT"/>
        </w:rPr>
        <w:t>cambio climático, crean sinergi</w:t>
      </w:r>
      <w:r w:rsidRPr="001A01AB">
        <w:rPr>
          <w:rFonts w:ascii="Calibri" w:hAnsi="Calibri" w:cs="Calibri"/>
          <w:lang w:val="es-GT"/>
        </w:rPr>
        <w:t>as entre sí y tienen el potencial, cada vez mayor</w:t>
      </w:r>
      <w:r w:rsidR="00986A3C">
        <w:rPr>
          <w:rFonts w:ascii="Calibri" w:hAnsi="Calibri" w:cs="Calibri"/>
          <w:lang w:val="es-GT"/>
        </w:rPr>
        <w:t>,</w:t>
      </w:r>
      <w:r w:rsidRPr="001A01AB">
        <w:rPr>
          <w:rFonts w:ascii="Calibri" w:hAnsi="Calibri" w:cs="Calibri"/>
          <w:lang w:val="es-GT"/>
        </w:rPr>
        <w:t xml:space="preserve"> de intensificar el riesgo a desastres. Según </w:t>
      </w:r>
      <w:r w:rsidRPr="00F534A7">
        <w:rPr>
          <w:rFonts w:ascii="Calibri" w:hAnsi="Calibri" w:cs="Calibri"/>
          <w:highlight w:val="magenta"/>
          <w:lang w:val="es-GT"/>
        </w:rPr>
        <w:t>el IPCC (2011),</w:t>
      </w:r>
      <w:r w:rsidRPr="001A01AB">
        <w:rPr>
          <w:rFonts w:ascii="Calibri" w:hAnsi="Calibri" w:cs="Calibri"/>
          <w:lang w:val="es-GT"/>
        </w:rPr>
        <w:t xml:space="preserve"> la vulnerabilidad relacionada con el cambio climático tiene tres componentes: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6B0A31">
      <w:pPr>
        <w:pStyle w:val="Prrafodelista"/>
        <w:numPr>
          <w:ilvl w:val="0"/>
          <w:numId w:val="44"/>
        </w:numPr>
        <w:autoSpaceDE w:val="0"/>
        <w:autoSpaceDN w:val="0"/>
        <w:adjustRightInd w:val="0"/>
        <w:spacing w:after="0" w:line="240" w:lineRule="auto"/>
        <w:ind w:left="340" w:hanging="340"/>
        <w:contextualSpacing w:val="0"/>
        <w:jc w:val="both"/>
        <w:rPr>
          <w:rFonts w:cs="Calibri"/>
          <w:sz w:val="24"/>
          <w:szCs w:val="24"/>
        </w:rPr>
      </w:pPr>
      <w:r w:rsidRPr="001A01AB">
        <w:rPr>
          <w:rFonts w:cs="Calibri"/>
          <w:i/>
          <w:sz w:val="24"/>
          <w:szCs w:val="24"/>
        </w:rPr>
        <w:t>Exposición</w:t>
      </w:r>
      <w:r w:rsidRPr="001A01AB">
        <w:rPr>
          <w:rFonts w:cs="Calibri"/>
          <w:sz w:val="24"/>
          <w:szCs w:val="24"/>
        </w:rPr>
        <w:t>, que se refiere a la presencia de un riesgo climático, es decir, a los aspectos físicos de la vulnerabilidad.</w:t>
      </w:r>
    </w:p>
    <w:p w:rsidR="008327B2" w:rsidRPr="001A01AB" w:rsidRDefault="008327B2" w:rsidP="006B0A31">
      <w:pPr>
        <w:pStyle w:val="Prrafodelista"/>
        <w:numPr>
          <w:ilvl w:val="0"/>
          <w:numId w:val="44"/>
        </w:numPr>
        <w:autoSpaceDE w:val="0"/>
        <w:autoSpaceDN w:val="0"/>
        <w:adjustRightInd w:val="0"/>
        <w:spacing w:after="0" w:line="240" w:lineRule="auto"/>
        <w:ind w:left="340" w:hanging="340"/>
        <w:contextualSpacing w:val="0"/>
        <w:jc w:val="both"/>
        <w:rPr>
          <w:rFonts w:cs="Calibri"/>
          <w:sz w:val="24"/>
          <w:szCs w:val="24"/>
        </w:rPr>
      </w:pPr>
      <w:r w:rsidRPr="001A01AB">
        <w:rPr>
          <w:rFonts w:cs="Calibri"/>
          <w:i/>
          <w:sz w:val="24"/>
          <w:szCs w:val="24"/>
        </w:rPr>
        <w:t>Sensibilidad</w:t>
      </w:r>
      <w:r w:rsidRPr="001A01AB">
        <w:rPr>
          <w:rFonts w:cs="Calibri"/>
          <w:sz w:val="24"/>
          <w:szCs w:val="24"/>
        </w:rPr>
        <w:t>, se refiere al grado en que un sistema responderá a determinado cambio del clima, incluidos los efectos beneficiosos y perjudiciales.</w:t>
      </w:r>
    </w:p>
    <w:p w:rsidR="008327B2" w:rsidRPr="001A01AB" w:rsidRDefault="008327B2" w:rsidP="006B0A31">
      <w:pPr>
        <w:pStyle w:val="Prrafodelista"/>
        <w:numPr>
          <w:ilvl w:val="0"/>
          <w:numId w:val="44"/>
        </w:numPr>
        <w:autoSpaceDE w:val="0"/>
        <w:autoSpaceDN w:val="0"/>
        <w:adjustRightInd w:val="0"/>
        <w:spacing w:after="0" w:line="240" w:lineRule="auto"/>
        <w:ind w:left="340" w:hanging="340"/>
        <w:contextualSpacing w:val="0"/>
        <w:jc w:val="both"/>
        <w:rPr>
          <w:rFonts w:cs="Calibri"/>
          <w:sz w:val="24"/>
          <w:szCs w:val="24"/>
        </w:rPr>
      </w:pPr>
      <w:r w:rsidRPr="001A01AB">
        <w:rPr>
          <w:rFonts w:cs="Calibri"/>
          <w:i/>
          <w:sz w:val="24"/>
          <w:szCs w:val="24"/>
        </w:rPr>
        <w:t>Capacidad</w:t>
      </w:r>
      <w:r w:rsidRPr="001A01AB">
        <w:rPr>
          <w:rFonts w:cs="Calibri"/>
          <w:sz w:val="24"/>
          <w:szCs w:val="24"/>
        </w:rPr>
        <w:t xml:space="preserve"> </w:t>
      </w:r>
      <w:r w:rsidRPr="001A01AB">
        <w:rPr>
          <w:rFonts w:cs="Calibri"/>
          <w:i/>
          <w:sz w:val="24"/>
          <w:szCs w:val="24"/>
        </w:rPr>
        <w:t>adaptativa</w:t>
      </w:r>
      <w:r w:rsidR="002735B3">
        <w:rPr>
          <w:rFonts w:cs="Calibri"/>
          <w:sz w:val="24"/>
          <w:szCs w:val="24"/>
        </w:rPr>
        <w:t xml:space="preserve">, se refiere a </w:t>
      </w:r>
      <w:r w:rsidRPr="001A01AB">
        <w:rPr>
          <w:rFonts w:cs="Calibri"/>
          <w:sz w:val="24"/>
          <w:szCs w:val="24"/>
        </w:rPr>
        <w:t>la capacidad de un sistema para ajustarse al cambio climático (incluida la variabilidad climática y los cambios extremos) para aminorar daños potenciales, aprovechar las oportunidades, o enfrentar sus consecuencias.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Las vulnerabilidades socioeconómicas históricas de la región centroamericana se exacerban por su ubicación geoclimática. La región es gravemente afectada por sequías, ciclones y el fenómeno El Niño-Oscilación Sur. El cambio climático está magnificando y ampliando estas vulnerabilidades sociales, económicas y ambientales e incidirá cada vez más en la evolución económica de la región </w:t>
      </w:r>
      <w:r w:rsidRPr="00F534A7">
        <w:rPr>
          <w:rFonts w:ascii="Calibri" w:hAnsi="Calibri" w:cs="Calibri"/>
          <w:highlight w:val="magenta"/>
          <w:lang w:val="es-GT"/>
        </w:rPr>
        <w:t>(CEPAL, 2011).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En el contexto del desarrollo social, la vulnerabilidad ha sido considerada como un déficit de desarrollo, y resultante de una carencia de acceso a recursos suficientes en un marco de igualdad de oportunidades (Rojas, 2004). Son múltiples los factores involucrados en la conformación de condiciones que generan vulnerabilidad, algunos de ellos son: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5A2FE3" w:rsidP="006B0A31">
      <w:pPr>
        <w:numPr>
          <w:ilvl w:val="0"/>
          <w:numId w:val="36"/>
        </w:numPr>
        <w:autoSpaceDE w:val="0"/>
        <w:autoSpaceDN w:val="0"/>
        <w:adjustRightInd w:val="0"/>
        <w:ind w:left="357" w:hanging="357"/>
        <w:jc w:val="both"/>
        <w:rPr>
          <w:rFonts w:ascii="Calibri" w:hAnsi="Calibri" w:cs="Calibri"/>
          <w:lang w:val="es-GT"/>
        </w:rPr>
      </w:pPr>
      <w:r>
        <w:rPr>
          <w:rFonts w:ascii="Calibri" w:hAnsi="Calibri" w:cs="Calibri"/>
          <w:lang w:val="es-GT"/>
        </w:rPr>
        <w:t>F</w:t>
      </w:r>
      <w:r w:rsidR="008327B2" w:rsidRPr="001A01AB">
        <w:rPr>
          <w:rFonts w:ascii="Calibri" w:hAnsi="Calibri" w:cs="Calibri"/>
          <w:lang w:val="es-GT"/>
        </w:rPr>
        <w:t xml:space="preserve">alta de educación, que crea vulnerabilidad ante las amenazas de un sistema político-económico excluyente; </w:t>
      </w:r>
    </w:p>
    <w:p w:rsidR="008327B2" w:rsidRPr="001A01AB" w:rsidRDefault="005A2FE3" w:rsidP="006B0A31">
      <w:pPr>
        <w:numPr>
          <w:ilvl w:val="0"/>
          <w:numId w:val="36"/>
        </w:numPr>
        <w:autoSpaceDE w:val="0"/>
        <w:autoSpaceDN w:val="0"/>
        <w:adjustRightInd w:val="0"/>
        <w:ind w:left="357" w:hanging="357"/>
        <w:jc w:val="both"/>
        <w:rPr>
          <w:rFonts w:ascii="Calibri" w:hAnsi="Calibri" w:cs="Calibri"/>
          <w:lang w:val="es-GT"/>
        </w:rPr>
      </w:pPr>
      <w:r>
        <w:rPr>
          <w:rFonts w:ascii="Calibri" w:hAnsi="Calibri" w:cs="Calibri"/>
          <w:lang w:val="es-GT"/>
        </w:rPr>
        <w:lastRenderedPageBreak/>
        <w:t>C</w:t>
      </w:r>
      <w:r w:rsidR="008327B2" w:rsidRPr="001A01AB">
        <w:rPr>
          <w:rFonts w:ascii="Calibri" w:hAnsi="Calibri" w:cs="Calibri"/>
          <w:lang w:val="es-GT"/>
        </w:rPr>
        <w:t xml:space="preserve">arencia de medios materiales (tierra, equipo y financiamiento) y tecnología o empleo pleno, que crea vulnerabilidad ante la inseguridad alimentaria; o </w:t>
      </w:r>
    </w:p>
    <w:p w:rsidR="008327B2" w:rsidRPr="001A01AB" w:rsidRDefault="005A2FE3" w:rsidP="006B0A31">
      <w:pPr>
        <w:numPr>
          <w:ilvl w:val="0"/>
          <w:numId w:val="36"/>
        </w:numPr>
        <w:autoSpaceDE w:val="0"/>
        <w:autoSpaceDN w:val="0"/>
        <w:adjustRightInd w:val="0"/>
        <w:ind w:left="357" w:hanging="357"/>
        <w:jc w:val="both"/>
        <w:rPr>
          <w:rFonts w:ascii="Calibri" w:hAnsi="Calibri" w:cs="Calibri"/>
          <w:lang w:val="es-GT"/>
        </w:rPr>
      </w:pPr>
      <w:r>
        <w:rPr>
          <w:rFonts w:ascii="Calibri" w:hAnsi="Calibri" w:cs="Calibri"/>
          <w:lang w:val="es-GT"/>
        </w:rPr>
        <w:t>A</w:t>
      </w:r>
      <w:r w:rsidR="008327B2" w:rsidRPr="001A01AB">
        <w:rPr>
          <w:rFonts w:ascii="Calibri" w:hAnsi="Calibri" w:cs="Calibri"/>
          <w:lang w:val="es-GT"/>
        </w:rPr>
        <w:t>sentamiento de viviendas rústicas y precarias en terrenos de ladera, que crea vulnerabilidad ante las amenazas de variables climáticas extremas o eventos tectónicos.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Dentro de este contexto</w:t>
      </w:r>
      <w:r w:rsidR="005A2FE3">
        <w:rPr>
          <w:rFonts w:ascii="Calibri" w:hAnsi="Calibri" w:cs="Calibri"/>
          <w:lang w:val="es-GT"/>
        </w:rPr>
        <w:t>,</w:t>
      </w:r>
      <w:r w:rsidRPr="001A01AB">
        <w:rPr>
          <w:rFonts w:ascii="Calibri" w:hAnsi="Calibri" w:cs="Calibri"/>
          <w:lang w:val="es-GT"/>
        </w:rPr>
        <w:t xml:space="preserve"> y con la finalidad de analizar los eventos y tendencias relacionados con la vulnerabilidad del país, se proponen los </w:t>
      </w:r>
      <w:r w:rsidR="005A2FE3">
        <w:rPr>
          <w:rFonts w:ascii="Calibri" w:hAnsi="Calibri" w:cs="Calibri"/>
          <w:lang w:val="es-GT"/>
        </w:rPr>
        <w:t xml:space="preserve">siguientes </w:t>
      </w:r>
      <w:r w:rsidRPr="001A01AB">
        <w:rPr>
          <w:rFonts w:ascii="Calibri" w:hAnsi="Calibri" w:cs="Calibri"/>
          <w:lang w:val="es-GT"/>
        </w:rPr>
        <w:t xml:space="preserve">indicadores: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5A2FE3" w:rsidP="008327B2">
      <w:pPr>
        <w:autoSpaceDE w:val="0"/>
        <w:autoSpaceDN w:val="0"/>
        <w:adjustRightInd w:val="0"/>
        <w:jc w:val="both"/>
        <w:rPr>
          <w:rFonts w:ascii="Calibri" w:hAnsi="Calibri" w:cs="Calibri"/>
          <w:lang w:val="es-GT"/>
        </w:rPr>
      </w:pPr>
      <w:r>
        <w:rPr>
          <w:rFonts w:ascii="Calibri" w:hAnsi="Calibri" w:cs="Calibri"/>
          <w:lang w:val="es-GT"/>
        </w:rPr>
        <w:t>a) Í</w:t>
      </w:r>
      <w:r w:rsidR="008327B2" w:rsidRPr="001A01AB">
        <w:rPr>
          <w:rFonts w:ascii="Calibri" w:hAnsi="Calibri" w:cs="Calibri"/>
          <w:lang w:val="es-GT"/>
        </w:rPr>
        <w:t xml:space="preserve">ndice de influencia humana en el territorio, y </w:t>
      </w:r>
    </w:p>
    <w:p w:rsidR="008327B2" w:rsidRPr="001A01AB" w:rsidRDefault="005A2FE3" w:rsidP="008327B2">
      <w:pPr>
        <w:autoSpaceDE w:val="0"/>
        <w:autoSpaceDN w:val="0"/>
        <w:adjustRightInd w:val="0"/>
        <w:jc w:val="both"/>
        <w:rPr>
          <w:rFonts w:ascii="Calibri" w:hAnsi="Calibri" w:cs="Calibri"/>
          <w:lang w:val="es-GT"/>
        </w:rPr>
      </w:pPr>
      <w:r>
        <w:rPr>
          <w:rFonts w:ascii="Calibri" w:hAnsi="Calibri" w:cs="Calibri"/>
          <w:lang w:val="es-GT"/>
        </w:rPr>
        <w:t>b) R</w:t>
      </w:r>
      <w:r w:rsidR="008327B2" w:rsidRPr="001A01AB">
        <w:rPr>
          <w:rFonts w:ascii="Calibri" w:hAnsi="Calibri" w:cs="Calibri"/>
          <w:lang w:val="es-GT"/>
        </w:rPr>
        <w:t>iesgo a eventos extremos.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4.1.1.</w:t>
      </w:r>
      <w:r w:rsidRPr="001A01AB">
        <w:rPr>
          <w:rFonts w:ascii="Calibri" w:hAnsi="Calibri" w:cs="Calibri"/>
          <w:b/>
          <w:color w:val="365F91"/>
          <w:lang w:val="es-GT"/>
        </w:rPr>
        <w:tab/>
        <w:t>Indicador: Í</w:t>
      </w:r>
      <w:r w:rsidR="0086329F" w:rsidRPr="001A01AB">
        <w:rPr>
          <w:rFonts w:ascii="Calibri" w:hAnsi="Calibri" w:cs="Calibri"/>
          <w:b/>
          <w:color w:val="365F91"/>
          <w:lang w:val="es-GT"/>
        </w:rPr>
        <w:t>ndice de influencia humana en el territorio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Determinar la magnitud de los impactos que las actividades humanas generan sobre los territorios es una tarea </w:t>
      </w:r>
      <w:r w:rsidR="0086329F" w:rsidRPr="001A01AB">
        <w:rPr>
          <w:rFonts w:ascii="Calibri" w:hAnsi="Calibri" w:cs="Calibri"/>
          <w:lang w:val="es-GT"/>
        </w:rPr>
        <w:t>aún</w:t>
      </w:r>
      <w:r w:rsidRPr="001A01AB">
        <w:rPr>
          <w:rFonts w:ascii="Calibri" w:hAnsi="Calibri" w:cs="Calibri"/>
          <w:lang w:val="es-GT"/>
        </w:rPr>
        <w:t xml:space="preserve"> pendiente. El Índice de Influencia Humana (IIH) permite contar con una medida de la ocupación directa de los ecosistemas terrestres.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Este índice fue desarrollado por la Sociedad para la Conservación de la Naturaleza (WCS, por sus siglas en inglés) y el Centro para la Red Internacional de Información sobre Ciencias de la Tierra (CIESIN, por sus siglas en inglés) de la Universidad de Columbia </w:t>
      </w:r>
      <w:r w:rsidRPr="00F534A7">
        <w:rPr>
          <w:rFonts w:ascii="Calibri" w:hAnsi="Calibri" w:cs="Calibri"/>
          <w:highlight w:val="magenta"/>
          <w:lang w:val="es-GT"/>
        </w:rPr>
        <w:t>(WCS y CIESIN, 2005).</w:t>
      </w:r>
      <w:r w:rsidRPr="001A01AB">
        <w:rPr>
          <w:rFonts w:ascii="Calibri" w:hAnsi="Calibri" w:cs="Calibri"/>
          <w:lang w:val="es-GT"/>
        </w:rPr>
        <w:t xml:space="preserve"> Los datos que soportan este índice, se encuentran en una base de datos global de 1.7 km</w:t>
      </w:r>
      <w:r w:rsidRPr="001A01AB">
        <w:rPr>
          <w:rFonts w:ascii="Calibri" w:hAnsi="Calibri" w:cs="Calibri"/>
          <w:vertAlign w:val="superscript"/>
          <w:lang w:val="es-GT"/>
        </w:rPr>
        <w:t>2</w:t>
      </w:r>
      <w:r w:rsidRPr="001A01AB">
        <w:rPr>
          <w:rFonts w:ascii="Calibri" w:hAnsi="Calibri" w:cs="Calibri"/>
          <w:lang w:val="es-GT"/>
        </w:rPr>
        <w:t xml:space="preserve"> por píxel, cread</w:t>
      </w:r>
      <w:r w:rsidR="00EF1F5A">
        <w:rPr>
          <w:rFonts w:ascii="Calibri" w:hAnsi="Calibri" w:cs="Calibri"/>
          <w:lang w:val="es-GT"/>
        </w:rPr>
        <w:t>a</w:t>
      </w:r>
      <w:r w:rsidRPr="001A01AB">
        <w:rPr>
          <w:rFonts w:ascii="Calibri" w:hAnsi="Calibri" w:cs="Calibri"/>
          <w:lang w:val="es-GT"/>
        </w:rPr>
        <w:t xml:space="preserve"> a partir de nueve capas globales de datos. Éstas incluyen la presión de la población humana (densidad poblacional y asentamientos humanos), el uso humano de la tierra e infraestructura (áreas urbanizadas, luces nocturnas y uso del suelo/cobertura del suelo) y el acceso humano (costas, carreteras, ferrocarriles y ríos navegables).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Los rangos de valores del IIH van de 1 a 100, donde 1 significa que el pixel con ese valor es parte del 1% de área menos influenciada en ese ecosistema. Los resultados obtenidos para Guatemala, se muestran en la Figura </w:t>
      </w:r>
      <w:r w:rsidR="00EF1F5A">
        <w:rPr>
          <w:rFonts w:ascii="Calibri" w:hAnsi="Calibri" w:cs="Calibri"/>
          <w:lang w:val="es-GT"/>
        </w:rPr>
        <w:t>47</w:t>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Default="008327B2" w:rsidP="008327B2">
      <w:pPr>
        <w:autoSpaceDE w:val="0"/>
        <w:autoSpaceDN w:val="0"/>
        <w:adjustRightInd w:val="0"/>
        <w:jc w:val="both"/>
        <w:rPr>
          <w:rFonts w:ascii="Calibri" w:hAnsi="Calibri" w:cs="Calibri"/>
          <w:lang w:val="es-GT"/>
        </w:rPr>
      </w:pPr>
    </w:p>
    <w:p w:rsidR="00EF1F5A" w:rsidRDefault="00EF1F5A" w:rsidP="008327B2">
      <w:pPr>
        <w:autoSpaceDE w:val="0"/>
        <w:autoSpaceDN w:val="0"/>
        <w:adjustRightInd w:val="0"/>
        <w:jc w:val="both"/>
        <w:rPr>
          <w:rFonts w:ascii="Calibri" w:hAnsi="Calibri" w:cs="Calibri"/>
          <w:lang w:val="es-GT"/>
        </w:rPr>
      </w:pPr>
    </w:p>
    <w:p w:rsidR="00EF1F5A" w:rsidRDefault="00EF1F5A" w:rsidP="008327B2">
      <w:pPr>
        <w:autoSpaceDE w:val="0"/>
        <w:autoSpaceDN w:val="0"/>
        <w:adjustRightInd w:val="0"/>
        <w:jc w:val="both"/>
        <w:rPr>
          <w:rFonts w:ascii="Calibri" w:hAnsi="Calibri" w:cs="Calibri"/>
          <w:lang w:val="es-GT"/>
        </w:rPr>
      </w:pPr>
    </w:p>
    <w:p w:rsidR="00EF1F5A" w:rsidRPr="001A01AB" w:rsidRDefault="00EF1F5A" w:rsidP="008327B2">
      <w:pPr>
        <w:autoSpaceDE w:val="0"/>
        <w:autoSpaceDN w:val="0"/>
        <w:adjustRightInd w:val="0"/>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389" w:name="_Toc340034515"/>
      <w:bookmarkStart w:id="390" w:name="_Toc343098429"/>
      <w:bookmarkStart w:id="391" w:name="_Toc343098537"/>
      <w:bookmarkStart w:id="392" w:name="_Toc347841270"/>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47</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Índice de influencia humana en los ecos</w:t>
      </w:r>
      <w:r w:rsidR="00EF1F5A" w:rsidRPr="00224B57">
        <w:rPr>
          <w:rFonts w:ascii="Calibri" w:eastAsia="Calibri" w:hAnsi="Calibri" w:cs="Calibri"/>
          <w:b/>
          <w:color w:val="365F91"/>
          <w:sz w:val="22"/>
          <w:szCs w:val="22"/>
          <w:lang w:val="es-GT"/>
        </w:rPr>
        <w:t>istemas terrestres de Guatemala. Año</w:t>
      </w:r>
      <w:r w:rsidRPr="00224B57">
        <w:rPr>
          <w:rFonts w:ascii="Calibri" w:eastAsia="Calibri" w:hAnsi="Calibri" w:cs="Calibri"/>
          <w:b/>
          <w:color w:val="365F91"/>
          <w:sz w:val="22"/>
          <w:szCs w:val="22"/>
          <w:lang w:val="es-GT"/>
        </w:rPr>
        <w:t xml:space="preserve"> 2005</w:t>
      </w:r>
      <w:bookmarkEnd w:id="389"/>
      <w:bookmarkEnd w:id="390"/>
      <w:bookmarkEnd w:id="391"/>
      <w:bookmarkEnd w:id="392"/>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943600" cy="7553325"/>
            <wp:effectExtent l="0" t="0" r="0" b="9525"/>
            <wp:docPr id="2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7553325"/>
                    </a:xfrm>
                    <a:prstGeom prst="rect">
                      <a:avLst/>
                    </a:prstGeom>
                    <a:noFill/>
                    <a:ln>
                      <a:noFill/>
                    </a:ln>
                  </pic:spPr>
                </pic:pic>
              </a:graphicData>
            </a:graphic>
          </wp:inline>
        </w:drawing>
      </w:r>
    </w:p>
    <w:p w:rsidR="008327B2" w:rsidRPr="001A01AB" w:rsidRDefault="008327B2" w:rsidP="008327B2">
      <w:pPr>
        <w:autoSpaceDE w:val="0"/>
        <w:autoSpaceDN w:val="0"/>
        <w:adjustRightInd w:val="0"/>
        <w:ind w:right="571"/>
        <w:jc w:val="right"/>
        <w:rPr>
          <w:rFonts w:ascii="Calibri" w:hAnsi="Calibri" w:cs="Calibri"/>
          <w:sz w:val="20"/>
          <w:lang w:val="es-GT"/>
        </w:rPr>
      </w:pPr>
      <w:r w:rsidRPr="001A01AB">
        <w:rPr>
          <w:rFonts w:ascii="Calibri" w:hAnsi="Calibri" w:cs="Calibri"/>
          <w:sz w:val="20"/>
          <w:lang w:val="es-GT"/>
        </w:rPr>
        <w:t xml:space="preserve">Fuente: </w:t>
      </w:r>
      <w:r w:rsidR="0086329F">
        <w:rPr>
          <w:rFonts w:ascii="Calibri" w:hAnsi="Calibri" w:cs="Calibri"/>
          <w:sz w:val="20"/>
          <w:lang w:val="es-GT"/>
        </w:rPr>
        <w:t>IARNA-URL (</w:t>
      </w:r>
      <w:r w:rsidRPr="001A01AB">
        <w:rPr>
          <w:rFonts w:ascii="Calibri" w:hAnsi="Calibri" w:cs="Calibri"/>
          <w:sz w:val="20"/>
          <w:lang w:val="es-GT"/>
        </w:rPr>
        <w:t>2012</w:t>
      </w:r>
      <w:r w:rsidR="0086329F">
        <w:rPr>
          <w:rFonts w:ascii="Calibri" w:hAnsi="Calibri" w:cs="Calibri"/>
          <w:sz w:val="20"/>
          <w:lang w:val="es-GT"/>
        </w:rPr>
        <w:t>)</w:t>
      </w:r>
      <w:r w:rsidRPr="001A01AB">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lastRenderedPageBreak/>
        <w:t xml:space="preserve">Un análisis preliminar de los resultados del IIH 2005 para Guatemala revela que: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EF1F5A" w:rsidP="006B0A31">
      <w:pPr>
        <w:numPr>
          <w:ilvl w:val="0"/>
          <w:numId w:val="38"/>
        </w:numPr>
        <w:autoSpaceDE w:val="0"/>
        <w:autoSpaceDN w:val="0"/>
        <w:adjustRightInd w:val="0"/>
        <w:ind w:left="357" w:hanging="357"/>
        <w:jc w:val="both"/>
        <w:rPr>
          <w:rFonts w:ascii="Calibri" w:hAnsi="Calibri" w:cs="Calibri"/>
          <w:lang w:val="es-GT"/>
        </w:rPr>
      </w:pPr>
      <w:r>
        <w:rPr>
          <w:rFonts w:ascii="Calibri" w:hAnsi="Calibri" w:cs="Calibri"/>
          <w:lang w:val="es-GT"/>
        </w:rPr>
        <w:t>Ú</w:t>
      </w:r>
      <w:r w:rsidR="008327B2" w:rsidRPr="001A01AB">
        <w:rPr>
          <w:rFonts w:ascii="Calibri" w:hAnsi="Calibri" w:cs="Calibri"/>
          <w:lang w:val="es-GT"/>
        </w:rPr>
        <w:t>nicamente el 3% de la superficie de la tierra tiene una influencia antrópica baja;</w:t>
      </w:r>
    </w:p>
    <w:p w:rsidR="008327B2" w:rsidRPr="001A01AB" w:rsidRDefault="00EF1F5A" w:rsidP="006B0A31">
      <w:pPr>
        <w:numPr>
          <w:ilvl w:val="0"/>
          <w:numId w:val="38"/>
        </w:numPr>
        <w:autoSpaceDE w:val="0"/>
        <w:autoSpaceDN w:val="0"/>
        <w:adjustRightInd w:val="0"/>
        <w:ind w:left="357" w:hanging="357"/>
        <w:jc w:val="both"/>
        <w:rPr>
          <w:rFonts w:ascii="Calibri" w:hAnsi="Calibri" w:cs="Calibri"/>
          <w:lang w:val="es-GT"/>
        </w:rPr>
      </w:pPr>
      <w:r>
        <w:rPr>
          <w:rFonts w:ascii="Calibri" w:hAnsi="Calibri" w:cs="Calibri"/>
          <w:lang w:val="es-GT"/>
        </w:rPr>
        <w:t>U</w:t>
      </w:r>
      <w:r w:rsidR="008327B2" w:rsidRPr="001A01AB">
        <w:rPr>
          <w:rFonts w:ascii="Calibri" w:hAnsi="Calibri" w:cs="Calibri"/>
          <w:lang w:val="es-GT"/>
        </w:rPr>
        <w:t xml:space="preserve">na quinta parte del país tiene una influencia media baja, principalmente en el departamento de Petén; </w:t>
      </w:r>
    </w:p>
    <w:p w:rsidR="008327B2" w:rsidRPr="001A01AB" w:rsidRDefault="00EF1F5A" w:rsidP="006B0A31">
      <w:pPr>
        <w:numPr>
          <w:ilvl w:val="0"/>
          <w:numId w:val="38"/>
        </w:numPr>
        <w:autoSpaceDE w:val="0"/>
        <w:autoSpaceDN w:val="0"/>
        <w:adjustRightInd w:val="0"/>
        <w:ind w:left="357" w:hanging="357"/>
        <w:jc w:val="both"/>
        <w:rPr>
          <w:rFonts w:ascii="Calibri" w:hAnsi="Calibri" w:cs="Calibri"/>
          <w:lang w:val="es-GT"/>
        </w:rPr>
      </w:pPr>
      <w:r>
        <w:rPr>
          <w:rFonts w:ascii="Calibri" w:hAnsi="Calibri" w:cs="Calibri"/>
          <w:lang w:val="es-GT"/>
        </w:rPr>
        <w:t>D</w:t>
      </w:r>
      <w:r w:rsidR="008327B2" w:rsidRPr="001A01AB">
        <w:rPr>
          <w:rFonts w:ascii="Calibri" w:hAnsi="Calibri" w:cs="Calibri"/>
          <w:lang w:val="es-GT"/>
        </w:rPr>
        <w:t xml:space="preserve">os quintas partes tienen una influencia media, principalmente en los departamentos de Totonicapán, Sololá, Huehuetenango, San Marcos, Quiché, Izabal, Chimaltenango y Quetzaltenango; </w:t>
      </w:r>
    </w:p>
    <w:p w:rsidR="008327B2" w:rsidRPr="001A01AB" w:rsidRDefault="00EF1F5A" w:rsidP="006B0A31">
      <w:pPr>
        <w:numPr>
          <w:ilvl w:val="0"/>
          <w:numId w:val="38"/>
        </w:numPr>
        <w:autoSpaceDE w:val="0"/>
        <w:autoSpaceDN w:val="0"/>
        <w:adjustRightInd w:val="0"/>
        <w:ind w:left="357" w:hanging="357"/>
        <w:jc w:val="both"/>
        <w:rPr>
          <w:rFonts w:ascii="Calibri" w:hAnsi="Calibri" w:cs="Calibri"/>
          <w:lang w:val="es-GT"/>
        </w:rPr>
      </w:pPr>
      <w:r>
        <w:rPr>
          <w:rFonts w:ascii="Calibri" w:hAnsi="Calibri" w:cs="Calibri"/>
          <w:lang w:val="es-GT"/>
        </w:rPr>
        <w:t>M</w:t>
      </w:r>
      <w:r w:rsidR="008327B2" w:rsidRPr="001A01AB">
        <w:rPr>
          <w:rFonts w:ascii="Calibri" w:hAnsi="Calibri" w:cs="Calibri"/>
          <w:lang w:val="es-GT"/>
        </w:rPr>
        <w:t xml:space="preserve">ás de un tercio del territorio tiene influencia media alta, principalmente en los departamentos de Jalapa, Suchitepéquez, Chiquimula, Retalhuleu, Baja Verapaz, El Progreso, Jutiapa, Zacapa, Santa Rosa y Alta Verapaz; y </w:t>
      </w:r>
    </w:p>
    <w:p w:rsidR="008327B2" w:rsidRPr="001A01AB" w:rsidRDefault="00EF1F5A" w:rsidP="006B0A31">
      <w:pPr>
        <w:numPr>
          <w:ilvl w:val="0"/>
          <w:numId w:val="38"/>
        </w:numPr>
        <w:autoSpaceDE w:val="0"/>
        <w:autoSpaceDN w:val="0"/>
        <w:adjustRightInd w:val="0"/>
        <w:ind w:left="357" w:hanging="357"/>
        <w:jc w:val="both"/>
        <w:rPr>
          <w:rFonts w:ascii="Calibri" w:hAnsi="Calibri" w:cs="Calibri"/>
          <w:lang w:val="es-GT"/>
        </w:rPr>
      </w:pPr>
      <w:r>
        <w:rPr>
          <w:rFonts w:ascii="Calibri" w:hAnsi="Calibri" w:cs="Calibri"/>
          <w:lang w:val="es-GT"/>
        </w:rPr>
        <w:t>Ú</w:t>
      </w:r>
      <w:r w:rsidR="008327B2" w:rsidRPr="001A01AB">
        <w:rPr>
          <w:rFonts w:ascii="Calibri" w:hAnsi="Calibri" w:cs="Calibri"/>
          <w:lang w:val="es-GT"/>
        </w:rPr>
        <w:t>nicamente el 4% de los ecosistemas terrestres del país tiene una ocupación alta, principalmente en el departamento de Guatemala.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ind w:left="1843" w:hanging="1843"/>
        <w:jc w:val="both"/>
        <w:rPr>
          <w:rFonts w:ascii="Calibri" w:hAnsi="Calibri" w:cs="Calibri"/>
          <w:color w:val="365F91"/>
          <w:lang w:val="es-GT"/>
        </w:rPr>
      </w:pPr>
      <w:r w:rsidRPr="001A01AB">
        <w:rPr>
          <w:rFonts w:ascii="Calibri" w:hAnsi="Calibri" w:cs="Calibri"/>
          <w:b/>
          <w:color w:val="365F91"/>
          <w:lang w:val="es-GT"/>
        </w:rPr>
        <w:t>4.1.2.</w:t>
      </w:r>
      <w:r w:rsidR="00141A70">
        <w:rPr>
          <w:rFonts w:ascii="Calibri" w:hAnsi="Calibri" w:cs="Calibri"/>
          <w:b/>
          <w:color w:val="365F91"/>
          <w:lang w:val="es-GT"/>
        </w:rPr>
        <w:t xml:space="preserve"> </w:t>
      </w:r>
      <w:r w:rsidRPr="001A01AB">
        <w:rPr>
          <w:rFonts w:ascii="Calibri" w:hAnsi="Calibri" w:cs="Calibri"/>
          <w:b/>
          <w:color w:val="365F91"/>
          <w:lang w:val="es-GT"/>
        </w:rPr>
        <w:t xml:space="preserve">Indicador: </w:t>
      </w:r>
      <w:r w:rsidRPr="001A01AB">
        <w:rPr>
          <w:rFonts w:ascii="Calibri" w:hAnsi="Calibri" w:cs="Calibri"/>
          <w:b/>
          <w:bCs/>
          <w:color w:val="365F91"/>
          <w:lang w:val="es-GT"/>
        </w:rPr>
        <w:t>P</w:t>
      </w:r>
      <w:r w:rsidR="0086329F" w:rsidRPr="001A01AB">
        <w:rPr>
          <w:rFonts w:ascii="Calibri" w:hAnsi="Calibri" w:cs="Calibri"/>
          <w:b/>
          <w:bCs/>
          <w:color w:val="365F91"/>
          <w:lang w:val="es-GT"/>
        </w:rPr>
        <w:t>oblación en situaci</w:t>
      </w:r>
      <w:r w:rsidR="0086329F">
        <w:rPr>
          <w:rFonts w:ascii="Calibri" w:hAnsi="Calibri" w:cs="Calibri"/>
          <w:b/>
          <w:bCs/>
          <w:color w:val="365F91"/>
          <w:lang w:val="es-GT"/>
        </w:rPr>
        <w:t>ón de exposició</w:t>
      </w:r>
      <w:r w:rsidR="00EF1F5A">
        <w:rPr>
          <w:rFonts w:ascii="Calibri" w:hAnsi="Calibri" w:cs="Calibri"/>
          <w:b/>
          <w:bCs/>
          <w:color w:val="365F91"/>
          <w:lang w:val="es-GT"/>
        </w:rPr>
        <w:t>n a amenazas inducida</w:t>
      </w:r>
      <w:r w:rsidR="0086329F" w:rsidRPr="001A01AB">
        <w:rPr>
          <w:rFonts w:ascii="Calibri" w:hAnsi="Calibri" w:cs="Calibri"/>
          <w:b/>
          <w:bCs/>
          <w:color w:val="365F91"/>
          <w:lang w:val="es-GT"/>
        </w:rPr>
        <w:t>s por el cambio climático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Para analizar el riesgo a desastres naturales inducidos por el cambio climático se consideraron cuatro amenazas relacionadas con variaciones de precipitación pluvial </w:t>
      </w:r>
      <w:r w:rsidR="00EF1F5A">
        <w:rPr>
          <w:rFonts w:ascii="Calibri" w:hAnsi="Calibri" w:cs="Calibri"/>
          <w:lang w:val="es-GT"/>
        </w:rPr>
        <w:t xml:space="preserve">(deslizamientos e inundaciones) </w:t>
      </w:r>
      <w:r w:rsidRPr="001A01AB">
        <w:rPr>
          <w:rFonts w:ascii="Calibri" w:hAnsi="Calibri" w:cs="Calibri"/>
          <w:lang w:val="es-GT"/>
        </w:rPr>
        <w:t xml:space="preserve">y </w:t>
      </w:r>
      <w:r w:rsidR="00EF1F5A">
        <w:rPr>
          <w:rFonts w:ascii="Calibri" w:hAnsi="Calibri" w:cs="Calibri"/>
          <w:lang w:val="es-GT"/>
        </w:rPr>
        <w:t xml:space="preserve">(heladas y </w:t>
      </w:r>
      <w:r w:rsidRPr="001A01AB">
        <w:rPr>
          <w:rFonts w:ascii="Calibri" w:hAnsi="Calibri" w:cs="Calibri"/>
          <w:lang w:val="es-GT"/>
        </w:rPr>
        <w:t>sequías, ésta última también estrechamente relacionada con la ausencia de lluvia</w:t>
      </w:r>
      <w:r w:rsidR="00EF1F5A">
        <w:rPr>
          <w:rFonts w:ascii="Calibri" w:hAnsi="Calibri" w:cs="Calibri"/>
          <w:lang w:val="es-GT"/>
        </w:rPr>
        <w:t>)</w:t>
      </w:r>
      <w:r w:rsidRPr="001A01AB">
        <w:rPr>
          <w:rFonts w:ascii="Calibri" w:hAnsi="Calibri" w:cs="Calibri"/>
          <w:lang w:val="es-GT"/>
        </w:rPr>
        <w:t>.</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Para caracterizar las amenazas de sequías y heladas se utilizaron los mapas elaborados por el Proyecto CATIE-ESPREDE del Ministerio de Agricultura, Ganadería y Alimentación </w:t>
      </w:r>
      <w:r w:rsidRPr="00F534A7">
        <w:rPr>
          <w:rFonts w:ascii="Calibri" w:hAnsi="Calibri" w:cs="Calibri"/>
          <w:highlight w:val="magenta"/>
          <w:lang w:val="es-GT"/>
        </w:rPr>
        <w:t>(MAGA, 2001).</w:t>
      </w:r>
      <w:r w:rsidRPr="001A01AB">
        <w:rPr>
          <w:rFonts w:ascii="Calibri" w:hAnsi="Calibri" w:cs="Calibri"/>
          <w:lang w:val="es-GT"/>
        </w:rPr>
        <w:t xml:space="preserve"> En el primer caso se analizaron series de datos sobre la temperatura y la variabilidad de precipi</w:t>
      </w:r>
      <w:r w:rsidR="00C226DE">
        <w:rPr>
          <w:rFonts w:ascii="Calibri" w:hAnsi="Calibri" w:cs="Calibri"/>
          <w:lang w:val="es-GT"/>
        </w:rPr>
        <w:t>taciones a nivel de localidades;</w:t>
      </w:r>
      <w:r w:rsidRPr="001A01AB">
        <w:rPr>
          <w:rFonts w:ascii="Calibri" w:hAnsi="Calibri" w:cs="Calibri"/>
          <w:lang w:val="es-GT"/>
        </w:rPr>
        <w:t xml:space="preserve"> </w:t>
      </w:r>
      <w:r w:rsidR="00C226DE">
        <w:rPr>
          <w:rFonts w:ascii="Calibri" w:hAnsi="Calibri" w:cs="Calibri"/>
          <w:lang w:val="es-GT"/>
        </w:rPr>
        <w:t xml:space="preserve">y en el segundo, </w:t>
      </w:r>
      <w:r w:rsidRPr="001A01AB">
        <w:rPr>
          <w:rFonts w:ascii="Calibri" w:hAnsi="Calibri" w:cs="Calibri"/>
          <w:lang w:val="es-GT"/>
        </w:rPr>
        <w:t xml:space="preserve">la probabilidad de ocurrencia de temperaturas menores a los 0°C. Para ambos casos se utilizaron registros de 30 años del Instituto de Sismología, Vulcanología, Meteorología e Hidrología (INSIVUMEH). </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Por otro lado, los mapas de amenazas por deslizamientos e inundaciones fueron elaborados por el Instituto de Agricultura, Recursos Naturales y Ambiente de la Universidad Rafael Landívar (IARNA</w:t>
      </w:r>
      <w:r w:rsidR="00C226DE">
        <w:rPr>
          <w:rFonts w:ascii="Calibri" w:hAnsi="Calibri" w:cs="Calibri"/>
          <w:lang w:val="es-GT"/>
        </w:rPr>
        <w:t>-URL</w:t>
      </w:r>
      <w:r w:rsidRPr="001A01AB">
        <w:rPr>
          <w:rFonts w:ascii="Calibri" w:hAnsi="Calibri" w:cs="Calibri"/>
          <w:lang w:val="es-GT"/>
        </w:rPr>
        <w:t>, 200</w:t>
      </w:r>
      <w:r w:rsidR="00C226DE">
        <w:rPr>
          <w:rFonts w:ascii="Calibri" w:hAnsi="Calibri" w:cs="Calibri"/>
          <w:lang w:val="es-GT"/>
        </w:rPr>
        <w:t>9</w:t>
      </w:r>
      <w:r w:rsidRPr="001A01AB">
        <w:rPr>
          <w:rFonts w:ascii="Calibri" w:hAnsi="Calibri" w:cs="Calibri"/>
          <w:lang w:val="es-GT"/>
        </w:rPr>
        <w:t xml:space="preserve">) siguiendo una metodología que combina capas geográficas de información sobre altitud, precipitación pluvial, pendientes, características físicas de los suelos y caminos ubicados en zonas con pendientes mayores de 32%. El producto final es un mapa que integra información sobre las amenazas analizadas, que se muestra en la Figura </w:t>
      </w:r>
      <w:r w:rsidR="00C226DE">
        <w:rPr>
          <w:rFonts w:ascii="Calibri" w:hAnsi="Calibri" w:cs="Calibri"/>
          <w:lang w:val="es-GT"/>
        </w:rPr>
        <w:t>48</w:t>
      </w:r>
      <w:r w:rsidRPr="001A01AB">
        <w:rPr>
          <w:rFonts w:ascii="Calibri" w:hAnsi="Calibri" w:cs="Calibri"/>
          <w:lang w:val="es-GT"/>
        </w:rPr>
        <w:t>.</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p>
    <w:p w:rsidR="00C226DE" w:rsidRPr="001A01AB" w:rsidRDefault="00C226DE"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393" w:name="_Toc340034516"/>
      <w:bookmarkStart w:id="394" w:name="_Toc343098430"/>
      <w:bookmarkStart w:id="395" w:name="_Toc343098538"/>
      <w:bookmarkStart w:id="396" w:name="_Toc347841271"/>
      <w:r w:rsidRPr="00224B57">
        <w:rPr>
          <w:rFonts w:ascii="Calibri" w:eastAsia="Calibri" w:hAnsi="Calibri" w:cs="Calibri"/>
          <w:b/>
          <w:color w:val="365F91"/>
          <w:sz w:val="22"/>
          <w:szCs w:val="22"/>
          <w:lang w:val="es-GT"/>
        </w:rPr>
        <w:lastRenderedPageBreak/>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48</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Amenazas inducidas por el cambio</w:t>
      </w:r>
      <w:r w:rsidR="00C226DE" w:rsidRPr="00224B57">
        <w:rPr>
          <w:rFonts w:ascii="Calibri" w:eastAsia="Calibri" w:hAnsi="Calibri" w:cs="Calibri"/>
          <w:b/>
          <w:color w:val="365F91"/>
          <w:sz w:val="22"/>
          <w:szCs w:val="22"/>
          <w:lang w:val="es-GT"/>
        </w:rPr>
        <w:t xml:space="preserve"> climático en Guatemala. Año </w:t>
      </w:r>
      <w:r w:rsidRPr="00224B57">
        <w:rPr>
          <w:rFonts w:ascii="Calibri" w:eastAsia="Calibri" w:hAnsi="Calibri" w:cs="Calibri"/>
          <w:b/>
          <w:color w:val="365F91"/>
          <w:sz w:val="22"/>
          <w:szCs w:val="22"/>
          <w:lang w:val="es-GT"/>
        </w:rPr>
        <w:t>2005</w:t>
      </w:r>
      <w:bookmarkEnd w:id="393"/>
      <w:bookmarkEnd w:id="394"/>
      <w:bookmarkEnd w:id="395"/>
      <w:bookmarkEnd w:id="396"/>
    </w:p>
    <w:p w:rsidR="008327B2" w:rsidRPr="001A01AB" w:rsidRDefault="00544A9F" w:rsidP="008327B2">
      <w:pPr>
        <w:jc w:val="center"/>
        <w:rPr>
          <w:rFonts w:ascii="Calibri" w:hAnsi="Calibri" w:cs="Calibri"/>
          <w:lang w:val="es-GT"/>
        </w:rPr>
      </w:pPr>
      <w:r>
        <w:rPr>
          <w:rFonts w:ascii="Calibri" w:hAnsi="Calibri" w:cs="Calibri"/>
          <w:noProof/>
          <w:lang w:val="es-GT" w:eastAsia="es-GT"/>
        </w:rPr>
        <w:drawing>
          <wp:inline distT="0" distB="0" distL="0" distR="0">
            <wp:extent cx="5114925" cy="7562850"/>
            <wp:effectExtent l="0" t="0" r="9525" b="0"/>
            <wp:docPr id="2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8">
                      <a:extLst>
                        <a:ext uri="{28A0092B-C50C-407E-A947-70E740481C1C}">
                          <a14:useLocalDpi xmlns:a14="http://schemas.microsoft.com/office/drawing/2010/main" val="0"/>
                        </a:ext>
                      </a:extLst>
                    </a:blip>
                    <a:srcRect l="795" t="9207" b="4916"/>
                    <a:stretch>
                      <a:fillRect/>
                    </a:stretch>
                  </pic:blipFill>
                  <pic:spPr bwMode="auto">
                    <a:xfrm>
                      <a:off x="0" y="0"/>
                      <a:ext cx="5114925" cy="7562850"/>
                    </a:xfrm>
                    <a:prstGeom prst="rect">
                      <a:avLst/>
                    </a:prstGeom>
                    <a:noFill/>
                    <a:ln>
                      <a:noFill/>
                    </a:ln>
                  </pic:spPr>
                </pic:pic>
              </a:graphicData>
            </a:graphic>
          </wp:inline>
        </w:drawing>
      </w:r>
    </w:p>
    <w:p w:rsidR="008327B2" w:rsidRPr="001A01AB" w:rsidRDefault="008327B2" w:rsidP="008327B2">
      <w:pPr>
        <w:autoSpaceDE w:val="0"/>
        <w:autoSpaceDN w:val="0"/>
        <w:adjustRightInd w:val="0"/>
        <w:ind w:right="571"/>
        <w:jc w:val="right"/>
        <w:rPr>
          <w:rFonts w:ascii="Calibri" w:hAnsi="Calibri" w:cs="Calibri"/>
          <w:color w:val="414142"/>
          <w:sz w:val="20"/>
          <w:szCs w:val="20"/>
          <w:lang w:val="es-GT" w:eastAsia="es-GT"/>
        </w:rPr>
      </w:pPr>
      <w:r w:rsidRPr="001A01AB">
        <w:rPr>
          <w:rFonts w:ascii="Calibri" w:hAnsi="Calibri" w:cs="Calibri"/>
          <w:sz w:val="20"/>
          <w:szCs w:val="20"/>
          <w:lang w:val="es-GT"/>
        </w:rPr>
        <w:t xml:space="preserve">Fuente: </w:t>
      </w:r>
      <w:r w:rsidR="0086329F">
        <w:rPr>
          <w:rFonts w:ascii="Calibri" w:hAnsi="Calibri" w:cs="Calibri"/>
          <w:color w:val="414142"/>
          <w:sz w:val="20"/>
          <w:szCs w:val="20"/>
          <w:lang w:val="es-GT" w:eastAsia="es-GT"/>
        </w:rPr>
        <w:t>IARNA-URL</w:t>
      </w:r>
      <w:r w:rsidRPr="001A01AB">
        <w:rPr>
          <w:rFonts w:ascii="Calibri" w:hAnsi="Calibri" w:cs="Calibri"/>
          <w:color w:val="414142"/>
          <w:sz w:val="20"/>
          <w:szCs w:val="20"/>
          <w:lang w:val="es-GT" w:eastAsia="es-GT"/>
        </w:rPr>
        <w:t xml:space="preserve"> </w:t>
      </w:r>
      <w:r w:rsidR="0086329F">
        <w:rPr>
          <w:rFonts w:ascii="Calibri" w:hAnsi="Calibri" w:cs="Calibri"/>
          <w:color w:val="414142"/>
          <w:sz w:val="20"/>
          <w:szCs w:val="20"/>
          <w:lang w:val="es-GT" w:eastAsia="es-GT"/>
        </w:rPr>
        <w:t>(</w:t>
      </w:r>
      <w:r w:rsidRPr="001A01AB">
        <w:rPr>
          <w:rFonts w:ascii="Calibri" w:hAnsi="Calibri" w:cs="Calibri"/>
          <w:color w:val="414142"/>
          <w:sz w:val="20"/>
          <w:szCs w:val="20"/>
          <w:lang w:val="es-GT" w:eastAsia="es-GT"/>
        </w:rPr>
        <w:t xml:space="preserve">2009). </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lastRenderedPageBreak/>
        <w:t xml:space="preserve">La combinación de la capa de amenazas con la capa de ubicación de los 17,672 poblados reportados por el censo del Instituto Nacional de Estadística (INE) del año 2002 </w:t>
      </w:r>
      <w:r w:rsidRPr="00F534A7">
        <w:rPr>
          <w:rFonts w:ascii="Calibri" w:hAnsi="Calibri" w:cs="Calibri"/>
          <w:highlight w:val="magenta"/>
          <w:lang w:val="es-GT"/>
        </w:rPr>
        <w:t>(INE, 2003);</w:t>
      </w:r>
      <w:r w:rsidRPr="001A01AB">
        <w:rPr>
          <w:rFonts w:ascii="Calibri" w:hAnsi="Calibri" w:cs="Calibri"/>
          <w:lang w:val="es-GT"/>
        </w:rPr>
        <w:t xml:space="preserve"> permitió dimensionar la superficie de los territorios expuestos a la ocurrencia de las amenazas, así como el número de habitantes en riesgo.</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Se determinó que el 73.26% de la totalidad de los poblados del país y el 75.12% del número total de habitantes, se encuentran en condiciones de riesgo por exposición a cualquiera de las cuatro amenazas an</w:t>
      </w:r>
      <w:r w:rsidR="00C226DE">
        <w:rPr>
          <w:rFonts w:ascii="Calibri" w:hAnsi="Calibri" w:cs="Calibri"/>
          <w:lang w:val="es-GT"/>
        </w:rPr>
        <w:t>alizadas. El resto se encuentra</w:t>
      </w:r>
      <w:r w:rsidRPr="001A01AB">
        <w:rPr>
          <w:rFonts w:ascii="Calibri" w:hAnsi="Calibri" w:cs="Calibri"/>
          <w:lang w:val="es-GT"/>
        </w:rPr>
        <w:t xml:space="preserve"> en zonas de baja a nula ocurrencia. Cuarenta y tres poblados</w:t>
      </w:r>
      <w:r w:rsidR="00C226DE">
        <w:rPr>
          <w:rFonts w:ascii="Calibri" w:hAnsi="Calibri" w:cs="Calibri"/>
          <w:lang w:val="es-GT"/>
        </w:rPr>
        <w:t>,</w:t>
      </w:r>
      <w:r w:rsidRPr="001A01AB">
        <w:rPr>
          <w:rFonts w:ascii="Calibri" w:hAnsi="Calibri" w:cs="Calibri"/>
          <w:lang w:val="es-GT"/>
        </w:rPr>
        <w:t xml:space="preserve"> con una población de poco más de 188,000 habitantes</w:t>
      </w:r>
      <w:r w:rsidR="00C226DE">
        <w:rPr>
          <w:rFonts w:ascii="Calibri" w:hAnsi="Calibri" w:cs="Calibri"/>
          <w:lang w:val="es-GT"/>
        </w:rPr>
        <w:t>,</w:t>
      </w:r>
      <w:r w:rsidRPr="001A01AB">
        <w:rPr>
          <w:rFonts w:ascii="Calibri" w:hAnsi="Calibri" w:cs="Calibri"/>
          <w:lang w:val="es-GT"/>
        </w:rPr>
        <w:t xml:space="preserve"> se encuentran expuestos a tres amenazas de manera simultánea en sus territorios.</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Analizando el nivel de exposición </w:t>
      </w:r>
      <w:r w:rsidR="00C226DE">
        <w:rPr>
          <w:rFonts w:ascii="Calibri" w:hAnsi="Calibri" w:cs="Calibri"/>
          <w:lang w:val="es-GT"/>
        </w:rPr>
        <w:t xml:space="preserve">a </w:t>
      </w:r>
      <w:r w:rsidRPr="001A01AB">
        <w:rPr>
          <w:rFonts w:ascii="Calibri" w:hAnsi="Calibri" w:cs="Calibri"/>
          <w:lang w:val="es-GT"/>
        </w:rPr>
        <w:t>las amenazas de manera</w:t>
      </w:r>
      <w:r w:rsidR="00C226DE">
        <w:rPr>
          <w:rFonts w:ascii="Calibri" w:hAnsi="Calibri" w:cs="Calibri"/>
          <w:lang w:val="es-GT"/>
        </w:rPr>
        <w:t xml:space="preserve"> individual, los resultados son:</w:t>
      </w:r>
      <w:r w:rsidRPr="001A01AB">
        <w:rPr>
          <w:rFonts w:ascii="Calibri" w:hAnsi="Calibri" w:cs="Calibri"/>
          <w:lang w:val="es-GT"/>
        </w:rPr>
        <w:t xml:space="preserve"> el 37.5% del total de habitantes está expuesto a derrumbes, el 14.87% a heladas, el 17.83% a inundaciones y el 22.76% a sequías. A nivel departamental, Quetzalt</w:t>
      </w:r>
      <w:r w:rsidR="00C226DE">
        <w:rPr>
          <w:rFonts w:ascii="Calibri" w:hAnsi="Calibri" w:cs="Calibri"/>
          <w:lang w:val="es-GT"/>
        </w:rPr>
        <w:t>enango, Guatemala y Totonicapán</w:t>
      </w:r>
      <w:r w:rsidRPr="001A01AB">
        <w:rPr>
          <w:rFonts w:ascii="Calibri" w:hAnsi="Calibri" w:cs="Calibri"/>
          <w:lang w:val="es-GT"/>
        </w:rPr>
        <w:t xml:space="preserve"> son los departamentos con lugares poblados que presentan exposición a tres distintas amenazas de manera simultánea. Estos poblados, con una población total de 185,944 habitantes</w:t>
      </w:r>
      <w:r w:rsidR="00C226DE">
        <w:rPr>
          <w:rFonts w:ascii="Calibri" w:hAnsi="Calibri" w:cs="Calibri"/>
          <w:lang w:val="es-GT"/>
        </w:rPr>
        <w:t>,</w:t>
      </w:r>
      <w:r w:rsidRPr="001A01AB">
        <w:rPr>
          <w:rFonts w:ascii="Calibri" w:hAnsi="Calibri" w:cs="Calibri"/>
          <w:lang w:val="es-GT"/>
        </w:rPr>
        <w:t xml:space="preserve"> se encuentran distribuidos en 12 municipios, siendo éstos: Cajolá, Cantel, La Esperanza, Olintepeque, Quetzaltenango, Salcajá y San Juan Ostuncalco en Quetzaltenango; Amatitlán, Petapa y Villa Canales en Guatemala</w:t>
      </w:r>
      <w:r w:rsidR="00C226DE">
        <w:rPr>
          <w:rFonts w:ascii="Calibri" w:hAnsi="Calibri" w:cs="Calibri"/>
          <w:lang w:val="es-GT"/>
        </w:rPr>
        <w:t>;</w:t>
      </w:r>
      <w:r w:rsidRPr="001A01AB">
        <w:rPr>
          <w:rFonts w:ascii="Calibri" w:hAnsi="Calibri" w:cs="Calibri"/>
          <w:lang w:val="es-GT"/>
        </w:rPr>
        <w:t xml:space="preserve"> y San Cristóbal Totonicapán y Totonicapán en el </w:t>
      </w:r>
      <w:r w:rsidR="00C226DE">
        <w:rPr>
          <w:rFonts w:ascii="Calibri" w:hAnsi="Calibri" w:cs="Calibri"/>
          <w:lang w:val="es-GT"/>
        </w:rPr>
        <w:t>d</w:t>
      </w:r>
      <w:r w:rsidRPr="001A01AB">
        <w:rPr>
          <w:rFonts w:ascii="Calibri" w:hAnsi="Calibri" w:cs="Calibri"/>
          <w:lang w:val="es-GT"/>
        </w:rPr>
        <w:t>epartamento de Totonicapán.</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En términos del riesgo a cualquiera de las amenazas analizadas, destacan los departamentos de Escuintla con el 91.5% del número total de poblados en riesgo (474,195 habitantes), San Marcos con el 91% (743,766 habitantes) y Retalhuleu también con el 91% (218,693 habitantes). Los poblados en riesgo de estos departamentos representan el 15% de la población nacional total. Esto se puede observar detalladamente en los Cuadros </w:t>
      </w:r>
      <w:r w:rsidR="00C226DE">
        <w:rPr>
          <w:rFonts w:ascii="Calibri" w:hAnsi="Calibri" w:cs="Calibri"/>
          <w:lang w:val="es-GT"/>
        </w:rPr>
        <w:t>3</w:t>
      </w:r>
      <w:r w:rsidR="004C77F8">
        <w:rPr>
          <w:rFonts w:ascii="Calibri" w:hAnsi="Calibri" w:cs="Calibri"/>
          <w:lang w:val="es-GT"/>
        </w:rPr>
        <w:t>2</w:t>
      </w:r>
      <w:r w:rsidR="00C226DE">
        <w:rPr>
          <w:rFonts w:ascii="Calibri" w:hAnsi="Calibri" w:cs="Calibri"/>
          <w:lang w:val="es-GT"/>
        </w:rPr>
        <w:t xml:space="preserve"> </w:t>
      </w:r>
      <w:r w:rsidRPr="001A01AB">
        <w:rPr>
          <w:rFonts w:ascii="Calibri" w:hAnsi="Calibri" w:cs="Calibri"/>
          <w:lang w:val="es-GT"/>
        </w:rPr>
        <w:t xml:space="preserve">y </w:t>
      </w:r>
      <w:r w:rsidR="00C226DE">
        <w:rPr>
          <w:rFonts w:ascii="Calibri" w:hAnsi="Calibri" w:cs="Calibri"/>
          <w:lang w:val="es-GT"/>
        </w:rPr>
        <w:t>3</w:t>
      </w:r>
      <w:r w:rsidR="004C77F8">
        <w:rPr>
          <w:rFonts w:ascii="Calibri" w:hAnsi="Calibri" w:cs="Calibri"/>
          <w:lang w:val="es-GT"/>
        </w:rPr>
        <w:t>3</w:t>
      </w:r>
      <w:r w:rsidRPr="001A01AB">
        <w:rPr>
          <w:rFonts w:ascii="Calibri" w:hAnsi="Calibri" w:cs="Calibri"/>
          <w:lang w:val="es-GT"/>
        </w:rPr>
        <w:t xml:space="preserve"> que se presentan a continuación.</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p>
    <w:p w:rsidR="00C226DE" w:rsidRPr="001A01AB" w:rsidRDefault="00C226DE" w:rsidP="008327B2">
      <w:pPr>
        <w:jc w:val="both"/>
        <w:rPr>
          <w:rFonts w:ascii="Calibri" w:hAnsi="Calibri" w:cs="Calibri"/>
          <w:lang w:val="es-GT"/>
        </w:rPr>
      </w:pPr>
    </w:p>
    <w:p w:rsidR="008327B2" w:rsidRDefault="00C54ACC" w:rsidP="007033AE">
      <w:pPr>
        <w:pStyle w:val="Epgrafe"/>
        <w:jc w:val="center"/>
        <w:rPr>
          <w:rFonts w:asciiTheme="minorHAnsi" w:hAnsiTheme="minorHAnsi" w:cstheme="minorHAnsi"/>
          <w:color w:val="365F91" w:themeColor="accent1" w:themeShade="BF"/>
          <w:sz w:val="22"/>
          <w:szCs w:val="22"/>
          <w:lang w:val="es-GT"/>
        </w:rPr>
      </w:pPr>
      <w:bookmarkStart w:id="397" w:name="_Toc340032176"/>
      <w:bookmarkStart w:id="398" w:name="_Toc340034453"/>
      <w:bookmarkStart w:id="399" w:name="_Toc343164660"/>
      <w:bookmarkStart w:id="400" w:name="_Toc347841214"/>
      <w:r w:rsidRPr="007033AE">
        <w:rPr>
          <w:rFonts w:asciiTheme="minorHAnsi" w:hAnsiTheme="minorHAnsi" w:cstheme="minorHAnsi"/>
          <w:color w:val="365F91" w:themeColor="accent1" w:themeShade="BF"/>
          <w:sz w:val="22"/>
          <w:szCs w:val="22"/>
          <w:lang w:val="es-GT"/>
        </w:rPr>
        <w:lastRenderedPageBreak/>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32</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6329F" w:rsidRPr="007033AE">
        <w:rPr>
          <w:rFonts w:asciiTheme="minorHAnsi" w:hAnsiTheme="minorHAnsi" w:cstheme="minorHAnsi"/>
          <w:color w:val="365F91" w:themeColor="accent1" w:themeShade="BF"/>
          <w:sz w:val="22"/>
          <w:szCs w:val="22"/>
          <w:lang w:val="es-GT"/>
        </w:rPr>
        <w:t>Nú</w:t>
      </w:r>
      <w:r w:rsidR="008327B2" w:rsidRPr="007033AE">
        <w:rPr>
          <w:rFonts w:asciiTheme="minorHAnsi" w:hAnsiTheme="minorHAnsi" w:cstheme="minorHAnsi"/>
          <w:color w:val="365F91" w:themeColor="accent1" w:themeShade="BF"/>
          <w:sz w:val="22"/>
          <w:szCs w:val="22"/>
          <w:lang w:val="es-GT"/>
        </w:rPr>
        <w:t xml:space="preserve">mero de poblaciones y habitantes </w:t>
      </w:r>
      <w:r w:rsidR="00C226DE" w:rsidRPr="007033AE">
        <w:rPr>
          <w:rFonts w:asciiTheme="minorHAnsi" w:hAnsiTheme="minorHAnsi" w:cstheme="minorHAnsi"/>
          <w:color w:val="365F91" w:themeColor="accent1" w:themeShade="BF"/>
          <w:sz w:val="22"/>
          <w:szCs w:val="22"/>
          <w:lang w:val="es-GT"/>
        </w:rPr>
        <w:t>expuestos</w:t>
      </w:r>
      <w:r w:rsidR="008327B2" w:rsidRPr="007033AE">
        <w:rPr>
          <w:rFonts w:asciiTheme="minorHAnsi" w:hAnsiTheme="minorHAnsi" w:cstheme="minorHAnsi"/>
          <w:color w:val="365F91" w:themeColor="accent1" w:themeShade="BF"/>
          <w:sz w:val="22"/>
          <w:szCs w:val="22"/>
          <w:lang w:val="es-GT"/>
        </w:rPr>
        <w:t xml:space="preserve"> a amenazas</w:t>
      </w:r>
      <w:bookmarkEnd w:id="397"/>
      <w:bookmarkEnd w:id="398"/>
      <w:bookmarkEnd w:id="399"/>
      <w:bookmarkEnd w:id="400"/>
    </w:p>
    <w:p w:rsidR="007033AE" w:rsidRPr="007033AE" w:rsidRDefault="007033AE" w:rsidP="007033AE">
      <w:pPr>
        <w:rPr>
          <w:lang w:val="es-GT"/>
        </w:rPr>
      </w:pPr>
    </w:p>
    <w:p w:rsidR="008327B2" w:rsidRPr="001A01AB" w:rsidRDefault="00544A9F" w:rsidP="008327B2">
      <w:pPr>
        <w:jc w:val="center"/>
        <w:rPr>
          <w:rFonts w:ascii="Calibri" w:hAnsi="Calibri" w:cs="Calibri"/>
          <w:lang w:val="es-GT"/>
        </w:rPr>
      </w:pPr>
      <w:r>
        <w:rPr>
          <w:rFonts w:ascii="Calibri" w:hAnsi="Calibri" w:cs="Calibri"/>
          <w:noProof/>
          <w:lang w:val="es-GT" w:eastAsia="es-GT"/>
        </w:rPr>
        <w:drawing>
          <wp:inline distT="0" distB="0" distL="0" distR="0">
            <wp:extent cx="5607941" cy="5276850"/>
            <wp:effectExtent l="0" t="0" r="0" b="0"/>
            <wp:docPr id="26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Picture 3"/>
                    <pic:cNvPicPr>
                      <a:picLocks noChangeAspect="1" noChangeArrowheads="1"/>
                    </pic:cNvPicPr>
                  </pic:nvPicPr>
                  <pic:blipFill>
                    <a:blip r:embed="rId99" cstate="print">
                      <a:duotone>
                        <a:schemeClr val="accent1">
                          <a:shade val="45000"/>
                          <a:satMod val="135000"/>
                        </a:schemeClr>
                        <a:prstClr val="white"/>
                      </a:duotone>
                    </a:blip>
                    <a:srcRect l="26235" t="13563" r="24730" b="4414"/>
                    <a:stretch>
                      <a:fillRect/>
                    </a:stretch>
                  </pic:blipFill>
                  <pic:spPr bwMode="auto">
                    <a:xfrm>
                      <a:off x="0" y="0"/>
                      <a:ext cx="5607685" cy="5276850"/>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right="571"/>
        <w:jc w:val="right"/>
        <w:rPr>
          <w:rFonts w:ascii="Calibri" w:hAnsi="Calibri" w:cs="Calibri"/>
          <w:color w:val="414142"/>
          <w:sz w:val="20"/>
          <w:szCs w:val="20"/>
          <w:lang w:val="es-GT" w:eastAsia="es-GT"/>
        </w:rPr>
      </w:pPr>
      <w:r w:rsidRPr="001A01AB">
        <w:rPr>
          <w:rFonts w:ascii="Calibri" w:hAnsi="Calibri" w:cs="Calibri"/>
          <w:sz w:val="20"/>
          <w:szCs w:val="20"/>
          <w:lang w:val="es-GT"/>
        </w:rPr>
        <w:t>Fuente:</w:t>
      </w:r>
      <w:r w:rsidR="0086329F">
        <w:rPr>
          <w:rFonts w:ascii="Calibri" w:hAnsi="Calibri" w:cs="Calibri"/>
          <w:color w:val="414142"/>
          <w:sz w:val="20"/>
          <w:szCs w:val="20"/>
          <w:lang w:val="es-GT" w:eastAsia="es-GT"/>
        </w:rPr>
        <w:t xml:space="preserve"> IARNA-URL</w:t>
      </w:r>
      <w:r w:rsidRPr="001A01AB">
        <w:rPr>
          <w:rFonts w:ascii="Calibri" w:hAnsi="Calibri" w:cs="Calibri"/>
          <w:color w:val="414142"/>
          <w:sz w:val="20"/>
          <w:szCs w:val="20"/>
          <w:lang w:val="es-GT" w:eastAsia="es-GT"/>
        </w:rPr>
        <w:t xml:space="preserve"> </w:t>
      </w:r>
      <w:r w:rsidR="0086329F">
        <w:rPr>
          <w:rFonts w:ascii="Calibri" w:hAnsi="Calibri" w:cs="Calibri"/>
          <w:color w:val="414142"/>
          <w:sz w:val="20"/>
          <w:szCs w:val="20"/>
          <w:lang w:val="es-GT" w:eastAsia="es-GT"/>
        </w:rPr>
        <w:t>(</w:t>
      </w:r>
      <w:r w:rsidRPr="001A01AB">
        <w:rPr>
          <w:rFonts w:ascii="Calibri" w:hAnsi="Calibri" w:cs="Calibri"/>
          <w:color w:val="414142"/>
          <w:sz w:val="20"/>
          <w:szCs w:val="20"/>
          <w:lang w:val="es-GT" w:eastAsia="es-GT"/>
        </w:rPr>
        <w:t xml:space="preserve">2009). </w:t>
      </w: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Default="008327B2" w:rsidP="008327B2">
      <w:pPr>
        <w:jc w:val="both"/>
        <w:rPr>
          <w:rFonts w:ascii="Calibri" w:hAnsi="Calibri" w:cs="Calibri"/>
          <w:lang w:val="es-GT"/>
        </w:rPr>
      </w:pPr>
    </w:p>
    <w:p w:rsidR="00760D64" w:rsidRPr="001A01AB" w:rsidRDefault="00760D64"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Pr="001A01AB" w:rsidRDefault="008327B2" w:rsidP="008327B2">
      <w:pPr>
        <w:jc w:val="both"/>
        <w:rPr>
          <w:rFonts w:ascii="Calibri" w:hAnsi="Calibri" w:cs="Calibri"/>
          <w:lang w:val="es-GT"/>
        </w:rPr>
      </w:pPr>
    </w:p>
    <w:p w:rsidR="008327B2" w:rsidRDefault="00C54ACC" w:rsidP="007033AE">
      <w:pPr>
        <w:pStyle w:val="Epgrafe"/>
        <w:jc w:val="center"/>
        <w:rPr>
          <w:rFonts w:asciiTheme="minorHAnsi" w:hAnsiTheme="minorHAnsi" w:cstheme="minorHAnsi"/>
          <w:color w:val="365F91" w:themeColor="accent1" w:themeShade="BF"/>
          <w:sz w:val="22"/>
          <w:szCs w:val="22"/>
          <w:lang w:val="es-GT"/>
        </w:rPr>
      </w:pPr>
      <w:bookmarkStart w:id="401" w:name="_Toc340032177"/>
      <w:bookmarkStart w:id="402" w:name="_Toc340034454"/>
      <w:bookmarkStart w:id="403" w:name="_Toc343164661"/>
      <w:bookmarkStart w:id="404" w:name="_Toc347841215"/>
      <w:r w:rsidRPr="007033AE">
        <w:rPr>
          <w:rFonts w:asciiTheme="minorHAnsi" w:hAnsiTheme="minorHAnsi" w:cstheme="minorHAnsi"/>
          <w:color w:val="365F91" w:themeColor="accent1" w:themeShade="BF"/>
          <w:sz w:val="22"/>
          <w:szCs w:val="22"/>
          <w:lang w:val="es-GT"/>
        </w:rPr>
        <w:lastRenderedPageBreak/>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33</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Número de habitantes</w:t>
      </w:r>
      <w:r w:rsidR="00C226DE" w:rsidRPr="007033AE">
        <w:rPr>
          <w:rFonts w:asciiTheme="minorHAnsi" w:hAnsiTheme="minorHAnsi" w:cstheme="minorHAnsi"/>
          <w:color w:val="365F91" w:themeColor="accent1" w:themeShade="BF"/>
          <w:sz w:val="22"/>
          <w:szCs w:val="22"/>
          <w:lang w:val="es-GT"/>
        </w:rPr>
        <w:t xml:space="preserve"> expuestos a amenazas,</w:t>
      </w:r>
      <w:r w:rsidR="008327B2" w:rsidRPr="007033AE">
        <w:rPr>
          <w:rFonts w:asciiTheme="minorHAnsi" w:hAnsiTheme="minorHAnsi" w:cstheme="minorHAnsi"/>
          <w:color w:val="365F91" w:themeColor="accent1" w:themeShade="BF"/>
          <w:sz w:val="22"/>
          <w:szCs w:val="22"/>
          <w:lang w:val="es-GT"/>
        </w:rPr>
        <w:t xml:space="preserve"> por departamento</w:t>
      </w:r>
      <w:bookmarkEnd w:id="401"/>
      <w:bookmarkEnd w:id="402"/>
      <w:bookmarkEnd w:id="403"/>
      <w:bookmarkEnd w:id="404"/>
    </w:p>
    <w:p w:rsidR="007033AE" w:rsidRPr="007033AE" w:rsidRDefault="007033AE" w:rsidP="007033AE">
      <w:pPr>
        <w:rPr>
          <w:lang w:val="es-GT"/>
        </w:rPr>
      </w:pPr>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607941" cy="5846190"/>
            <wp:effectExtent l="0" t="0" r="0" b="2540"/>
            <wp:docPr id="26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Picture 4"/>
                    <pic:cNvPicPr>
                      <a:picLocks noChangeAspect="1" noChangeArrowheads="1"/>
                    </pic:cNvPicPr>
                  </pic:nvPicPr>
                  <pic:blipFill>
                    <a:blip r:embed="rId100" cstate="print">
                      <a:duotone>
                        <a:schemeClr val="accent1">
                          <a:shade val="45000"/>
                          <a:satMod val="135000"/>
                        </a:schemeClr>
                        <a:prstClr val="white"/>
                      </a:duotone>
                    </a:blip>
                    <a:srcRect l="29414" t="14046" r="27965" b="7057"/>
                    <a:stretch>
                      <a:fillRect/>
                    </a:stretch>
                  </pic:blipFill>
                  <pic:spPr bwMode="auto">
                    <a:xfrm>
                      <a:off x="0" y="0"/>
                      <a:ext cx="5607685" cy="5845810"/>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ind w:right="571"/>
        <w:jc w:val="right"/>
        <w:rPr>
          <w:rFonts w:ascii="Calibri" w:hAnsi="Calibri" w:cs="Calibri"/>
          <w:color w:val="414142"/>
          <w:sz w:val="20"/>
          <w:szCs w:val="20"/>
          <w:lang w:val="es-GT" w:eastAsia="es-GT"/>
        </w:rPr>
      </w:pPr>
      <w:r w:rsidRPr="001A01AB">
        <w:rPr>
          <w:rFonts w:ascii="Calibri" w:hAnsi="Calibri" w:cs="Calibri"/>
          <w:sz w:val="20"/>
          <w:szCs w:val="20"/>
          <w:lang w:val="es-GT"/>
        </w:rPr>
        <w:t xml:space="preserve">Fuente: </w:t>
      </w:r>
      <w:r w:rsidR="0086329F">
        <w:rPr>
          <w:rFonts w:ascii="Calibri" w:hAnsi="Calibri" w:cs="Calibri"/>
          <w:color w:val="414142"/>
          <w:sz w:val="20"/>
          <w:szCs w:val="20"/>
          <w:lang w:val="es-GT" w:eastAsia="es-GT"/>
        </w:rPr>
        <w:t>IARNA-URL</w:t>
      </w:r>
      <w:r w:rsidRPr="001A01AB">
        <w:rPr>
          <w:rFonts w:ascii="Calibri" w:hAnsi="Calibri" w:cs="Calibri"/>
          <w:color w:val="414142"/>
          <w:sz w:val="20"/>
          <w:szCs w:val="20"/>
          <w:lang w:val="es-GT" w:eastAsia="es-GT"/>
        </w:rPr>
        <w:t xml:space="preserve"> </w:t>
      </w:r>
      <w:r w:rsidR="0086329F">
        <w:rPr>
          <w:rFonts w:ascii="Calibri" w:hAnsi="Calibri" w:cs="Calibri"/>
          <w:color w:val="414142"/>
          <w:sz w:val="20"/>
          <w:szCs w:val="20"/>
          <w:lang w:val="es-GT" w:eastAsia="es-GT"/>
        </w:rPr>
        <w:t>(</w:t>
      </w:r>
      <w:r w:rsidRPr="001A01AB">
        <w:rPr>
          <w:rFonts w:ascii="Calibri" w:hAnsi="Calibri" w:cs="Calibri"/>
          <w:color w:val="414142"/>
          <w:sz w:val="20"/>
          <w:szCs w:val="20"/>
          <w:lang w:val="es-GT" w:eastAsia="es-GT"/>
        </w:rPr>
        <w:t xml:space="preserve">2009).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Default="008327B2" w:rsidP="008327B2">
      <w:pPr>
        <w:autoSpaceDE w:val="0"/>
        <w:autoSpaceDN w:val="0"/>
        <w:adjustRightInd w:val="0"/>
        <w:jc w:val="both"/>
        <w:rPr>
          <w:rFonts w:ascii="Calibri" w:hAnsi="Calibri" w:cs="Calibri"/>
          <w:lang w:val="es-GT"/>
        </w:rPr>
      </w:pPr>
    </w:p>
    <w:p w:rsidR="00760D64" w:rsidRPr="001A01AB" w:rsidRDefault="00760D64"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b/>
          <w:color w:val="365F91"/>
          <w:sz w:val="28"/>
          <w:lang w:val="es-GT"/>
        </w:rPr>
        <w:lastRenderedPageBreak/>
        <w:t>4.2.</w:t>
      </w:r>
      <w:r w:rsidRPr="001A01AB">
        <w:rPr>
          <w:rFonts w:ascii="Calibri" w:hAnsi="Calibri" w:cs="Calibri"/>
          <w:b/>
          <w:color w:val="365F91"/>
          <w:sz w:val="28"/>
          <w:lang w:val="es-GT"/>
        </w:rPr>
        <w:tab/>
        <w:t>Criterio de evaluación: C</w:t>
      </w:r>
      <w:r w:rsidR="0086329F" w:rsidRPr="001A01AB">
        <w:rPr>
          <w:rFonts w:ascii="Calibri" w:hAnsi="Calibri" w:cs="Calibri"/>
          <w:b/>
          <w:color w:val="365F91"/>
          <w:sz w:val="28"/>
          <w:lang w:val="es-GT"/>
        </w:rPr>
        <w:t>ambio climático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evidencia científica muestra que el calentamiento global asociado al aumento de emisiones de gases de efecto invernadero (GEI) resultantes de a</w:t>
      </w:r>
      <w:r w:rsidR="006E590A">
        <w:rPr>
          <w:rFonts w:ascii="Calibri" w:hAnsi="Calibri" w:cs="Calibri"/>
          <w:lang w:val="es-GT"/>
        </w:rPr>
        <w:t>ctividades antropogénicas, está</w:t>
      </w:r>
      <w:r w:rsidRPr="001A01AB">
        <w:rPr>
          <w:rFonts w:ascii="Calibri" w:hAnsi="Calibri" w:cs="Calibri"/>
          <w:lang w:val="es-GT"/>
        </w:rPr>
        <w:t xml:space="preserve"> ocasionando importantes cambios climáticos</w:t>
      </w:r>
      <w:r w:rsidR="000C3A11">
        <w:rPr>
          <w:rFonts w:ascii="Calibri" w:hAnsi="Calibri" w:cs="Calibri"/>
          <w:lang w:val="es-GT"/>
        </w:rPr>
        <w:t xml:space="preserve"> que</w:t>
      </w:r>
      <w:r w:rsidRPr="001A01AB">
        <w:rPr>
          <w:rFonts w:ascii="Calibri" w:hAnsi="Calibri" w:cs="Calibri"/>
          <w:lang w:val="es-GT"/>
        </w:rPr>
        <w:t xml:space="preserve"> representan una seria amenaza para la región centroamericana por sus múltiples impactos previstos en la producción, la infraestructura, los medios de vida, la salud, la seguridad y el debilitamiento de la capacidad del ambiente para proveer recursos y servicios vitales </w:t>
      </w:r>
      <w:r w:rsidRPr="00F534A7">
        <w:rPr>
          <w:rFonts w:ascii="Calibri" w:hAnsi="Calibri" w:cs="Calibri"/>
          <w:highlight w:val="magenta"/>
          <w:lang w:val="es-GT"/>
        </w:rPr>
        <w:t>(CEPAL, 2011).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El cambio climático está magnificando y ampliando las vulnerabilidades de la región e incidirá cada vez más en las economías locales, debido a que los factores dependientes del clima son aportes significativos a las actividades económicas, como la agricultura (CEPAL, 2011).</w:t>
      </w:r>
    </w:p>
    <w:p w:rsidR="008327B2" w:rsidRPr="001A01AB" w:rsidRDefault="008327B2" w:rsidP="008327B2">
      <w:pPr>
        <w:autoSpaceDE w:val="0"/>
        <w:autoSpaceDN w:val="0"/>
        <w:adjustRightInd w:val="0"/>
        <w:jc w:val="both"/>
        <w:rPr>
          <w:rFonts w:ascii="Calibri" w:hAnsi="Calibri" w:cs="Calibri"/>
          <w:lang w:val="es-GT"/>
        </w:rPr>
      </w:pPr>
    </w:p>
    <w:p w:rsidR="008327B2" w:rsidRPr="00F534A7"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Dado que Centroamérica es una de las regiones más vulnerables a los embates del cambio climático, es previsible que el aumento de la temperatura atmosférica y del mar, la reducción e inestabilidad en el régimen de lluvias y </w:t>
      </w:r>
      <w:r w:rsidR="002B0C19">
        <w:rPr>
          <w:rFonts w:ascii="Calibri" w:hAnsi="Calibri" w:cs="Calibri"/>
          <w:lang w:val="es-GT"/>
        </w:rPr>
        <w:t>el aumento</w:t>
      </w:r>
      <w:r w:rsidRPr="001A01AB">
        <w:rPr>
          <w:rFonts w:ascii="Calibri" w:hAnsi="Calibri" w:cs="Calibri"/>
          <w:lang w:val="es-GT"/>
        </w:rPr>
        <w:t xml:space="preserve"> del nivel de las aguas del mar impacten la producción, la infraestructura, los medios de vida y la salud de la </w:t>
      </w:r>
      <w:r w:rsidRPr="00F534A7">
        <w:rPr>
          <w:rFonts w:ascii="Calibri" w:hAnsi="Calibri" w:cs="Calibri"/>
          <w:lang w:val="es-GT"/>
        </w:rPr>
        <w:t>población (CEPAL, 2009).</w:t>
      </w:r>
    </w:p>
    <w:p w:rsidR="008327B2" w:rsidRPr="00F534A7"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F534A7">
        <w:rPr>
          <w:rFonts w:ascii="Calibri" w:hAnsi="Calibri" w:cs="Calibri"/>
          <w:lang w:val="es-GT"/>
        </w:rPr>
        <w:t xml:space="preserve">Estimaciones de los efectos del cambio climático para los años 2020, 2030, 2050, 2070 y 2100, indican que se observarán impactos negativos </w:t>
      </w:r>
      <w:r w:rsidR="002B0C19" w:rsidRPr="00F534A7">
        <w:rPr>
          <w:rFonts w:ascii="Calibri" w:hAnsi="Calibri" w:cs="Calibri"/>
          <w:lang w:val="es-GT"/>
        </w:rPr>
        <w:t>en</w:t>
      </w:r>
      <w:r w:rsidRPr="00F534A7">
        <w:rPr>
          <w:rFonts w:ascii="Calibri" w:hAnsi="Calibri" w:cs="Calibri"/>
          <w:lang w:val="es-GT"/>
        </w:rPr>
        <w:t xml:space="preserve"> la producción agropecuaria. Los cambios en la temperatura y la precipitación repercutirán en la capacidad regional para la producción de alimentos y, consecuentemente, se sufrirán pérdidas económicas, las cuales se proyectan en alrededor del 19% del Producto Interno Bruto (PIB) anual de la región (CEPAL, 2010). Con</w:t>
      </w:r>
      <w:r w:rsidRPr="001A01AB">
        <w:rPr>
          <w:rFonts w:ascii="Calibri" w:hAnsi="Calibri" w:cs="Calibri"/>
          <w:lang w:val="es-GT"/>
        </w:rPr>
        <w:t xml:space="preserve"> la finalidad de analizar la situación que el cambio climático le brinda a Guatemala y la tendencia que este presenta, se pr</w:t>
      </w:r>
      <w:r w:rsidR="002B0C19">
        <w:rPr>
          <w:rFonts w:ascii="Calibri" w:hAnsi="Calibri" w:cs="Calibri"/>
          <w:lang w:val="es-GT"/>
        </w:rPr>
        <w:t>oponen tres indicadores básicos</w:t>
      </w:r>
      <w:r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2B0C19" w:rsidP="008327B2">
      <w:pPr>
        <w:autoSpaceDE w:val="0"/>
        <w:autoSpaceDN w:val="0"/>
        <w:adjustRightInd w:val="0"/>
        <w:jc w:val="both"/>
        <w:rPr>
          <w:rFonts w:ascii="Calibri" w:hAnsi="Calibri" w:cs="Calibri"/>
          <w:lang w:val="es-GT"/>
        </w:rPr>
      </w:pPr>
      <w:r>
        <w:rPr>
          <w:rFonts w:ascii="Calibri" w:hAnsi="Calibri" w:cs="Calibri"/>
          <w:lang w:val="es-GT"/>
        </w:rPr>
        <w:t>a) E</w:t>
      </w:r>
      <w:r w:rsidR="008327B2" w:rsidRPr="001A01AB">
        <w:rPr>
          <w:rFonts w:ascii="Calibri" w:hAnsi="Calibri" w:cs="Calibri"/>
          <w:lang w:val="es-GT"/>
        </w:rPr>
        <w:t>scenarios climáticos,</w:t>
      </w:r>
    </w:p>
    <w:p w:rsidR="008327B2" w:rsidRPr="001A01AB" w:rsidRDefault="002B0C19" w:rsidP="008327B2">
      <w:pPr>
        <w:autoSpaceDE w:val="0"/>
        <w:autoSpaceDN w:val="0"/>
        <w:adjustRightInd w:val="0"/>
        <w:jc w:val="both"/>
        <w:rPr>
          <w:rFonts w:ascii="Calibri" w:hAnsi="Calibri" w:cs="Calibri"/>
          <w:lang w:val="es-GT"/>
        </w:rPr>
      </w:pPr>
      <w:r>
        <w:rPr>
          <w:rFonts w:ascii="Calibri" w:hAnsi="Calibri" w:cs="Calibri"/>
          <w:lang w:val="es-GT"/>
        </w:rPr>
        <w:t>b) I</w:t>
      </w:r>
      <w:r w:rsidR="008327B2" w:rsidRPr="001A01AB">
        <w:rPr>
          <w:rFonts w:ascii="Calibri" w:hAnsi="Calibri" w:cs="Calibri"/>
          <w:lang w:val="es-GT"/>
        </w:rPr>
        <w:t xml:space="preserve">mpacto del cambio climático en los ecosistemas, y </w:t>
      </w:r>
    </w:p>
    <w:p w:rsidR="008327B2" w:rsidRPr="001A01AB" w:rsidRDefault="002B0C19" w:rsidP="008327B2">
      <w:pPr>
        <w:autoSpaceDE w:val="0"/>
        <w:autoSpaceDN w:val="0"/>
        <w:adjustRightInd w:val="0"/>
        <w:jc w:val="both"/>
        <w:rPr>
          <w:rFonts w:ascii="Calibri" w:hAnsi="Calibri" w:cs="Calibri"/>
          <w:lang w:val="es-GT"/>
        </w:rPr>
      </w:pPr>
      <w:r>
        <w:rPr>
          <w:rFonts w:ascii="Calibri" w:hAnsi="Calibri" w:cs="Calibri"/>
          <w:lang w:val="es-GT"/>
        </w:rPr>
        <w:t>b) E</w:t>
      </w:r>
      <w:r w:rsidR="008327B2" w:rsidRPr="001A01AB">
        <w:rPr>
          <w:rFonts w:ascii="Calibri" w:hAnsi="Calibri" w:cs="Calibri"/>
          <w:lang w:val="es-GT"/>
        </w:rPr>
        <w:t>scenarios del impacto del cambio climático en el PIB agrícola</w:t>
      </w:r>
      <w:r>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4.2.1.</w:t>
      </w:r>
      <w:r w:rsidRPr="001A01AB">
        <w:rPr>
          <w:rFonts w:ascii="Calibri" w:hAnsi="Calibri" w:cs="Calibri"/>
          <w:b/>
          <w:color w:val="365F91"/>
          <w:lang w:val="es-GT"/>
        </w:rPr>
        <w:tab/>
        <w:t>Indicador: E</w:t>
      </w:r>
      <w:r w:rsidR="007057AF" w:rsidRPr="001A01AB">
        <w:rPr>
          <w:rFonts w:ascii="Calibri" w:hAnsi="Calibri" w:cs="Calibri"/>
          <w:b/>
          <w:color w:val="365F91"/>
          <w:lang w:val="es-GT"/>
        </w:rPr>
        <w:t>scenarios climáticos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De acuerdo con el IPCC (Magrin </w:t>
      </w:r>
      <w:r w:rsidR="001E73E6" w:rsidRPr="001E73E6">
        <w:rPr>
          <w:rFonts w:ascii="Calibri" w:hAnsi="Calibri" w:cs="Calibri"/>
          <w:i/>
          <w:lang w:val="es-GT"/>
        </w:rPr>
        <w:t>et al</w:t>
      </w:r>
      <w:r w:rsidR="001E73E6">
        <w:rPr>
          <w:rFonts w:ascii="Calibri" w:hAnsi="Calibri" w:cs="Calibri"/>
          <w:lang w:val="es-GT"/>
        </w:rPr>
        <w:t>.</w:t>
      </w:r>
      <w:r w:rsidRPr="001A01AB">
        <w:rPr>
          <w:rFonts w:ascii="Calibri" w:hAnsi="Calibri" w:cs="Calibri"/>
          <w:lang w:val="es-GT"/>
        </w:rPr>
        <w:t xml:space="preserve">, 2007 citado </w:t>
      </w:r>
      <w:r w:rsidRPr="00F534A7">
        <w:rPr>
          <w:rFonts w:ascii="Calibri" w:hAnsi="Calibri" w:cs="Calibri"/>
          <w:lang w:val="es-GT"/>
        </w:rPr>
        <w:t>por CEPAL, 2010), Centroamérica</w:t>
      </w:r>
      <w:r w:rsidRPr="001A01AB">
        <w:rPr>
          <w:rFonts w:ascii="Calibri" w:hAnsi="Calibri" w:cs="Calibri"/>
          <w:lang w:val="es-GT"/>
        </w:rPr>
        <w:t xml:space="preserve"> ha presentado una alta variabilidad climática en años recientes. Diversos estudios realizados para la región, indican que las tendencias climáticas a </w:t>
      </w:r>
      <w:r w:rsidR="001E73E6">
        <w:rPr>
          <w:rFonts w:ascii="Calibri" w:hAnsi="Calibri" w:cs="Calibri"/>
          <w:lang w:val="es-GT"/>
        </w:rPr>
        <w:t>mediano y largo plazo presentará</w:t>
      </w:r>
      <w:r w:rsidRPr="001A01AB">
        <w:rPr>
          <w:rFonts w:ascii="Calibri" w:hAnsi="Calibri" w:cs="Calibri"/>
          <w:lang w:val="es-GT"/>
        </w:rPr>
        <w:t>n cambios significativos, con lo que algunos secto</w:t>
      </w:r>
      <w:r w:rsidR="001E73E6">
        <w:rPr>
          <w:rFonts w:ascii="Calibri" w:hAnsi="Calibri" w:cs="Calibri"/>
          <w:lang w:val="es-GT"/>
        </w:rPr>
        <w:t>res de la sociedad, incrementará</w:t>
      </w:r>
      <w:r w:rsidRPr="001A01AB">
        <w:rPr>
          <w:rFonts w:ascii="Calibri" w:hAnsi="Calibri" w:cs="Calibri"/>
          <w:lang w:val="es-GT"/>
        </w:rPr>
        <w:t>n condiciones de vulnerabilidad.</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Estudios realizados por </w:t>
      </w:r>
      <w:r w:rsidRPr="00F534A7">
        <w:rPr>
          <w:rFonts w:ascii="Calibri" w:hAnsi="Calibri" w:cs="Calibri"/>
          <w:lang w:val="es-GT"/>
        </w:rPr>
        <w:t xml:space="preserve">Aguilar </w:t>
      </w:r>
      <w:r w:rsidR="001E73E6" w:rsidRPr="00F534A7">
        <w:rPr>
          <w:rFonts w:ascii="Calibri" w:hAnsi="Calibri" w:cs="Calibri"/>
          <w:i/>
          <w:lang w:val="es-GT"/>
        </w:rPr>
        <w:t>et al.</w:t>
      </w:r>
      <w:r w:rsidRPr="00F534A7">
        <w:rPr>
          <w:rFonts w:ascii="Calibri" w:hAnsi="Calibri" w:cs="Calibri"/>
          <w:lang w:val="es-GT"/>
        </w:rPr>
        <w:t>, 2005, indican</w:t>
      </w:r>
      <w:r w:rsidRPr="001A01AB">
        <w:rPr>
          <w:rFonts w:ascii="Calibri" w:hAnsi="Calibri" w:cs="Calibri"/>
          <w:lang w:val="es-GT"/>
        </w:rPr>
        <w:t xml:space="preserve"> que existen tendencias contrastantes respecto a la precipitación de la región centroamericana, con fuertes diferencias de distribución espacial entre la región del Pacífico y la región del Caribe. Estos niveles de variabilidad </w:t>
      </w:r>
      <w:r w:rsidR="001E73E6">
        <w:rPr>
          <w:rFonts w:ascii="Calibri" w:hAnsi="Calibri" w:cs="Calibri"/>
          <w:lang w:val="es-GT"/>
        </w:rPr>
        <w:t>son causados</w:t>
      </w:r>
      <w:r w:rsidRPr="001A01AB">
        <w:rPr>
          <w:rFonts w:ascii="Calibri" w:hAnsi="Calibri" w:cs="Calibri"/>
          <w:lang w:val="es-GT"/>
        </w:rPr>
        <w:t xml:space="preserve"> principalmente por la interacción entre los sistemas del viento y la topografía.</w:t>
      </w: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lastRenderedPageBreak/>
        <w:t>Para conocer con mayor detalle los potenciales impactos del clima en el país, se analizaron los estudios realizados por IARNA</w:t>
      </w:r>
      <w:r w:rsidR="007057AF">
        <w:rPr>
          <w:rFonts w:ascii="Calibri" w:hAnsi="Calibri" w:cs="Calibri"/>
          <w:lang w:val="es-GT"/>
        </w:rPr>
        <w:t>-URL</w:t>
      </w:r>
      <w:r w:rsidRPr="001A01AB">
        <w:rPr>
          <w:rFonts w:ascii="Calibri" w:hAnsi="Calibri" w:cs="Calibri"/>
          <w:lang w:val="es-GT"/>
        </w:rPr>
        <w:t xml:space="preserve">, </w:t>
      </w:r>
      <w:r w:rsidR="001E73E6">
        <w:rPr>
          <w:rFonts w:ascii="Calibri" w:hAnsi="Calibri" w:cs="Calibri"/>
          <w:lang w:val="es-GT"/>
        </w:rPr>
        <w:t>que</w:t>
      </w:r>
      <w:r w:rsidRPr="001A01AB">
        <w:rPr>
          <w:rFonts w:ascii="Calibri" w:hAnsi="Calibri" w:cs="Calibri"/>
          <w:lang w:val="es-GT"/>
        </w:rPr>
        <w:t xml:space="preserve"> se basaron en el modelo de circulación atmosférico HCCPR-HADCM3, el cual es considerado como un modelo que expresa adecuadamente el clima de la región mesoamericana (Jiménez, 2009, citado por IARNA</w:t>
      </w:r>
      <w:r w:rsidR="007057AF">
        <w:rPr>
          <w:rFonts w:ascii="Calibri" w:hAnsi="Calibri" w:cs="Calibri"/>
          <w:lang w:val="es-GT"/>
        </w:rPr>
        <w:t>-URL</w:t>
      </w:r>
      <w:r w:rsidRPr="001A01AB">
        <w:rPr>
          <w:rFonts w:ascii="Calibri" w:hAnsi="Calibri" w:cs="Calibri"/>
          <w:lang w:val="es-GT"/>
        </w:rPr>
        <w:t>, 2011). Estos estudios permitieron generar proyecciones de precipitación y temperatura para el país, b</w:t>
      </w:r>
      <w:r w:rsidR="001E73E6">
        <w:rPr>
          <w:rFonts w:ascii="Calibri" w:hAnsi="Calibri" w:cs="Calibri"/>
          <w:lang w:val="es-GT"/>
        </w:rPr>
        <w:t>ajo dos escenarios de emisiones:</w:t>
      </w:r>
      <w:r w:rsidRPr="001A01AB">
        <w:rPr>
          <w:rFonts w:ascii="Calibri" w:hAnsi="Calibri" w:cs="Calibri"/>
          <w:lang w:val="es-GT"/>
        </w:rPr>
        <w:t xml:space="preserve"> A2 y B2</w:t>
      </w:r>
      <w:r w:rsidRPr="001A01AB">
        <w:rPr>
          <w:rFonts w:ascii="Calibri" w:hAnsi="Calibri" w:cs="Calibri"/>
          <w:vertAlign w:val="superscript"/>
          <w:lang w:val="es-GT"/>
        </w:rPr>
        <w:footnoteReference w:id="8"/>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Para describir los cambios </w:t>
      </w:r>
      <w:r w:rsidR="001E73E6">
        <w:rPr>
          <w:rFonts w:ascii="Calibri" w:hAnsi="Calibri" w:cs="Calibri"/>
          <w:lang w:val="es-GT"/>
        </w:rPr>
        <w:t>de</w:t>
      </w:r>
      <w:r w:rsidRPr="001A01AB">
        <w:rPr>
          <w:rFonts w:ascii="Calibri" w:hAnsi="Calibri" w:cs="Calibri"/>
          <w:lang w:val="es-GT"/>
        </w:rPr>
        <w:t xml:space="preserve"> precipitación y temperatura se tomaron </w:t>
      </w:r>
      <w:r w:rsidR="001E73E6">
        <w:rPr>
          <w:rFonts w:ascii="Calibri" w:hAnsi="Calibri" w:cs="Calibri"/>
          <w:lang w:val="es-GT"/>
        </w:rPr>
        <w:t>como</w:t>
      </w:r>
      <w:r w:rsidRPr="001A01AB">
        <w:rPr>
          <w:rFonts w:ascii="Calibri" w:hAnsi="Calibri" w:cs="Calibri"/>
          <w:lang w:val="es-GT"/>
        </w:rPr>
        <w:t xml:space="preserve"> referencia los resultados al año 2050. Para este periodo, se espera un cambio en la temperatura media anual de entre 0.5°C a 2.5°C para el escenario A2 y de 0.5 °C a 2 °C para el escenario B2. Ambos casos coinciden en las tendencias mostradas. Esto es posible </w:t>
      </w:r>
      <w:r w:rsidR="00313004">
        <w:rPr>
          <w:rFonts w:ascii="Calibri" w:hAnsi="Calibri" w:cs="Calibri"/>
          <w:lang w:val="es-GT"/>
        </w:rPr>
        <w:t>de observar</w:t>
      </w:r>
      <w:r w:rsidRPr="001A01AB">
        <w:rPr>
          <w:rFonts w:ascii="Calibri" w:hAnsi="Calibri" w:cs="Calibri"/>
          <w:lang w:val="es-GT"/>
        </w:rPr>
        <w:t xml:space="preserve"> en los </w:t>
      </w:r>
      <w:r w:rsidR="00313004">
        <w:rPr>
          <w:rFonts w:ascii="Calibri" w:hAnsi="Calibri" w:cs="Calibri"/>
          <w:lang w:val="es-GT"/>
        </w:rPr>
        <w:t>m</w:t>
      </w:r>
      <w:r w:rsidRPr="001A01AB">
        <w:rPr>
          <w:rFonts w:ascii="Calibri" w:hAnsi="Calibri" w:cs="Calibri"/>
          <w:lang w:val="es-GT"/>
        </w:rPr>
        <w:t>apas generados por IARNA</w:t>
      </w:r>
      <w:r w:rsidR="00313004">
        <w:rPr>
          <w:rFonts w:ascii="Calibri" w:hAnsi="Calibri" w:cs="Calibri"/>
          <w:lang w:val="es-GT"/>
        </w:rPr>
        <w:t>-URL</w:t>
      </w:r>
      <w:r w:rsidRPr="001A01AB">
        <w:rPr>
          <w:rFonts w:ascii="Calibri" w:hAnsi="Calibri" w:cs="Calibri"/>
          <w:lang w:val="es-GT"/>
        </w:rPr>
        <w:t xml:space="preserve"> en su estudio</w:t>
      </w:r>
      <w:r w:rsidR="00313004">
        <w:rPr>
          <w:rFonts w:ascii="Calibri" w:hAnsi="Calibri" w:cs="Calibri"/>
          <w:lang w:val="es-GT"/>
        </w:rPr>
        <w:t xml:space="preserve"> (</w:t>
      </w:r>
      <w:r w:rsidRPr="001A01AB">
        <w:rPr>
          <w:rFonts w:ascii="Calibri" w:hAnsi="Calibri" w:cs="Calibri"/>
          <w:lang w:val="es-GT"/>
        </w:rPr>
        <w:t xml:space="preserve">Figura </w:t>
      </w:r>
      <w:r w:rsidR="00313004">
        <w:rPr>
          <w:rFonts w:ascii="Calibri" w:hAnsi="Calibri" w:cs="Calibri"/>
          <w:lang w:val="es-GT"/>
        </w:rPr>
        <w:t>49)</w:t>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405" w:name="_Toc340034517"/>
      <w:bookmarkStart w:id="406" w:name="_Toc343098431"/>
      <w:bookmarkStart w:id="407" w:name="_Toc343098539"/>
      <w:bookmarkStart w:id="408" w:name="_Toc347841272"/>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49</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Temperatura media anual, </w:t>
      </w:r>
      <w:r w:rsidR="00313004" w:rsidRPr="00224B57">
        <w:rPr>
          <w:rFonts w:ascii="Calibri" w:eastAsia="Calibri" w:hAnsi="Calibri" w:cs="Calibri"/>
          <w:b/>
          <w:color w:val="365F91"/>
          <w:sz w:val="22"/>
          <w:szCs w:val="22"/>
          <w:lang w:val="es-GT"/>
        </w:rPr>
        <w:t>escenarios A2 y B2. A</w:t>
      </w:r>
      <w:r w:rsidRPr="00224B57">
        <w:rPr>
          <w:rFonts w:ascii="Calibri" w:eastAsia="Calibri" w:hAnsi="Calibri" w:cs="Calibri"/>
          <w:b/>
          <w:color w:val="365F91"/>
          <w:sz w:val="22"/>
          <w:szCs w:val="22"/>
          <w:lang w:val="es-GT"/>
        </w:rPr>
        <w:t>ños 2020, 2050 y 208</w:t>
      </w:r>
      <w:bookmarkEnd w:id="405"/>
      <w:bookmarkEnd w:id="406"/>
      <w:bookmarkEnd w:id="407"/>
      <w:r w:rsidR="00313004" w:rsidRPr="00224B57">
        <w:rPr>
          <w:rFonts w:ascii="Calibri" w:eastAsia="Calibri" w:hAnsi="Calibri" w:cs="Calibri"/>
          <w:b/>
          <w:color w:val="365F91"/>
          <w:sz w:val="22"/>
          <w:szCs w:val="22"/>
          <w:lang w:val="es-GT"/>
        </w:rPr>
        <w:t>0</w:t>
      </w:r>
      <w:bookmarkEnd w:id="408"/>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753100" cy="3676650"/>
            <wp:effectExtent l="0" t="0" r="0" b="0"/>
            <wp:docPr id="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l="4350" t="17062" r="3450" b="9563"/>
                    <a:stretch>
                      <a:fillRect/>
                    </a:stretch>
                  </pic:blipFill>
                  <pic:spPr bwMode="auto">
                    <a:xfrm>
                      <a:off x="0" y="0"/>
                      <a:ext cx="5753100" cy="3676650"/>
                    </a:xfrm>
                    <a:prstGeom prst="rect">
                      <a:avLst/>
                    </a:prstGeom>
                    <a:noFill/>
                    <a:ln>
                      <a:noFill/>
                    </a:ln>
                  </pic:spPr>
                </pic:pic>
              </a:graphicData>
            </a:graphic>
          </wp:inline>
        </w:drawing>
      </w:r>
    </w:p>
    <w:p w:rsidR="008327B2" w:rsidRPr="001A01AB" w:rsidRDefault="008327B2" w:rsidP="008327B2">
      <w:pPr>
        <w:autoSpaceDE w:val="0"/>
        <w:autoSpaceDN w:val="0"/>
        <w:adjustRightInd w:val="0"/>
        <w:ind w:right="288"/>
        <w:jc w:val="right"/>
        <w:rPr>
          <w:rFonts w:ascii="Calibri" w:hAnsi="Calibri" w:cs="Calibri"/>
          <w:sz w:val="20"/>
          <w:lang w:val="es-GT"/>
        </w:rPr>
      </w:pPr>
      <w:r w:rsidRPr="001A01AB">
        <w:rPr>
          <w:rFonts w:ascii="Calibri" w:hAnsi="Calibri" w:cs="Calibri"/>
          <w:sz w:val="20"/>
          <w:lang w:val="es-GT"/>
        </w:rPr>
        <w:t>Fuente: IARNA</w:t>
      </w:r>
      <w:r w:rsidR="007057AF">
        <w:rPr>
          <w:rFonts w:ascii="Calibri" w:hAnsi="Calibri" w:cs="Calibri"/>
          <w:sz w:val="20"/>
          <w:lang w:val="es-GT"/>
        </w:rPr>
        <w:t>-URL (</w:t>
      </w:r>
      <w:r w:rsidRPr="001A01AB">
        <w:rPr>
          <w:rFonts w:ascii="Calibri" w:hAnsi="Calibri" w:cs="Calibri"/>
          <w:sz w:val="20"/>
          <w:lang w:val="es-GT"/>
        </w:rPr>
        <w:t>2011</w:t>
      </w:r>
      <w:r w:rsidR="007057AF">
        <w:rPr>
          <w:rFonts w:ascii="Calibri" w:hAnsi="Calibri" w:cs="Calibri"/>
          <w:sz w:val="20"/>
          <w:lang w:val="es-GT"/>
        </w:rPr>
        <w:t>)</w:t>
      </w:r>
      <w:r w:rsidRPr="001A01AB">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lastRenderedPageBreak/>
        <w:t xml:space="preserve">Las tendencias </w:t>
      </w:r>
      <w:r w:rsidR="00DB2FBB">
        <w:rPr>
          <w:rFonts w:ascii="Calibri" w:hAnsi="Calibri" w:cs="Calibri"/>
          <w:lang w:val="es-GT"/>
        </w:rPr>
        <w:t>de</w:t>
      </w:r>
      <w:r w:rsidRPr="001A01AB">
        <w:rPr>
          <w:rFonts w:ascii="Calibri" w:hAnsi="Calibri" w:cs="Calibri"/>
          <w:lang w:val="es-GT"/>
        </w:rPr>
        <w:t xml:space="preserve"> aumento de la temperatura mínima son particularmente claras, no así en las de la temperatura máxima</w:t>
      </w:r>
      <w:r w:rsidR="00DB2FBB">
        <w:rPr>
          <w:rFonts w:ascii="Calibri" w:hAnsi="Calibri" w:cs="Calibri"/>
          <w:lang w:val="es-GT"/>
        </w:rPr>
        <w:t>;</w:t>
      </w:r>
      <w:r w:rsidRPr="001A01AB">
        <w:rPr>
          <w:rFonts w:ascii="Calibri" w:hAnsi="Calibri" w:cs="Calibri"/>
          <w:lang w:val="es-GT"/>
        </w:rPr>
        <w:t xml:space="preserve"> sin embargo, en el rango diurno de temperatura (máxima menos mínima) hay un patrón general de disminución en el mismo período (Fernández, J. Amador y Campos, 2006, citados por CEPAL, 2010).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037F5B" w:rsidP="008327B2">
      <w:pPr>
        <w:autoSpaceDE w:val="0"/>
        <w:autoSpaceDN w:val="0"/>
        <w:adjustRightInd w:val="0"/>
        <w:jc w:val="both"/>
        <w:rPr>
          <w:rFonts w:ascii="Calibri" w:hAnsi="Calibri" w:cs="Calibri"/>
          <w:lang w:val="es-GT"/>
        </w:rPr>
      </w:pPr>
      <w:r>
        <w:rPr>
          <w:rFonts w:ascii="Calibri" w:hAnsi="Calibri" w:cs="Calibri"/>
          <w:lang w:val="es-GT"/>
        </w:rPr>
        <w:t>E</w:t>
      </w:r>
      <w:r w:rsidR="008327B2" w:rsidRPr="001A01AB">
        <w:rPr>
          <w:rFonts w:ascii="Calibri" w:hAnsi="Calibri" w:cs="Calibri"/>
          <w:lang w:val="es-GT"/>
        </w:rPr>
        <w:t>studios realizados por IARNA</w:t>
      </w:r>
      <w:r w:rsidR="00DB2FBB">
        <w:rPr>
          <w:rFonts w:ascii="Calibri" w:hAnsi="Calibri" w:cs="Calibri"/>
          <w:lang w:val="es-GT"/>
        </w:rPr>
        <w:t>-URL</w:t>
      </w:r>
      <w:r w:rsidR="008327B2" w:rsidRPr="001A01AB">
        <w:rPr>
          <w:rFonts w:ascii="Calibri" w:hAnsi="Calibri" w:cs="Calibri"/>
          <w:lang w:val="es-GT"/>
        </w:rPr>
        <w:t xml:space="preserve"> indican que en los ejercicios de </w:t>
      </w:r>
      <w:r w:rsidR="008327B2" w:rsidRPr="001A01AB">
        <w:rPr>
          <w:rFonts w:ascii="Calibri" w:hAnsi="Calibri" w:cs="Calibri"/>
          <w:iCs/>
          <w:lang w:val="es-GT"/>
        </w:rPr>
        <w:t>modelación del escenario A2</w:t>
      </w:r>
      <w:r w:rsidR="008327B2" w:rsidRPr="001A01AB">
        <w:rPr>
          <w:rFonts w:ascii="Calibri" w:hAnsi="Calibri" w:cs="Calibri"/>
          <w:lang w:val="es-GT"/>
        </w:rPr>
        <w:t xml:space="preserve">, al año 2050 se prevé una disminución de la precipitación </w:t>
      </w:r>
      <w:r>
        <w:rPr>
          <w:rFonts w:ascii="Calibri" w:hAnsi="Calibri" w:cs="Calibri"/>
          <w:lang w:val="es-GT"/>
        </w:rPr>
        <w:t xml:space="preserve">anual </w:t>
      </w:r>
      <w:r w:rsidR="008327B2" w:rsidRPr="001A01AB">
        <w:rPr>
          <w:rFonts w:ascii="Calibri" w:hAnsi="Calibri" w:cs="Calibri"/>
          <w:lang w:val="es-GT"/>
        </w:rPr>
        <w:t>de entre el 0-10% en la región sur, el altiplano occidental, los departamentos de Huehuetenango y Quiché, el norte de Baja Verapaz y la región occidental de Al</w:t>
      </w:r>
      <w:r w:rsidR="00DB2FBB">
        <w:rPr>
          <w:rFonts w:ascii="Calibri" w:hAnsi="Calibri" w:cs="Calibri"/>
          <w:lang w:val="es-GT"/>
        </w:rPr>
        <w:t>ta Verapaz; y de entre 10 y 20%</w:t>
      </w:r>
      <w:r w:rsidR="008327B2" w:rsidRPr="001A01AB">
        <w:rPr>
          <w:rFonts w:ascii="Calibri" w:hAnsi="Calibri" w:cs="Calibri"/>
          <w:lang w:val="es-GT"/>
        </w:rPr>
        <w:t xml:space="preserve"> en la región central (Chimaltenango, Sacatepéquez y Guatemala) y nororiente del país, decreciendo hacia el norte de Petén.</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Por otro lado, con la m</w:t>
      </w:r>
      <w:r w:rsidRPr="001A01AB">
        <w:rPr>
          <w:rFonts w:ascii="Calibri" w:hAnsi="Calibri" w:cs="Calibri"/>
          <w:iCs/>
          <w:lang w:val="es-GT"/>
        </w:rPr>
        <w:t xml:space="preserve">odelación del escenario B2 se espera </w:t>
      </w:r>
      <w:r w:rsidRPr="001A01AB">
        <w:rPr>
          <w:rFonts w:ascii="Calibri" w:hAnsi="Calibri" w:cs="Calibri"/>
          <w:lang w:val="es-GT"/>
        </w:rPr>
        <w:t>un incremento de 0% a 10% de la precipitación en la mayor parte de departamentos, así como una reducción de entre el 0% a 15% en los departamentos de Chiquimula, Zacapa, Izabal, el nororiente de Alta Verapaz y Petén, disminuyendo como en el escenario anterior hacia el norte de Petén. Estos patrones de cambio se pueden observar en los mapas generados por</w:t>
      </w:r>
      <w:r w:rsidR="00037F5B">
        <w:rPr>
          <w:rFonts w:ascii="Calibri" w:hAnsi="Calibri" w:cs="Calibri"/>
          <w:lang w:val="es-GT"/>
        </w:rPr>
        <w:t xml:space="preserve"> el</w:t>
      </w:r>
      <w:r w:rsidRPr="001A01AB">
        <w:rPr>
          <w:rFonts w:ascii="Calibri" w:hAnsi="Calibri" w:cs="Calibri"/>
          <w:lang w:val="es-GT"/>
        </w:rPr>
        <w:t xml:space="preserve"> IARNA</w:t>
      </w:r>
      <w:r w:rsidR="00037F5B">
        <w:rPr>
          <w:rFonts w:ascii="Calibri" w:hAnsi="Calibri" w:cs="Calibri"/>
          <w:lang w:val="es-GT"/>
        </w:rPr>
        <w:t>-URL</w:t>
      </w:r>
      <w:r w:rsidRPr="001A01AB">
        <w:rPr>
          <w:rFonts w:ascii="Calibri" w:hAnsi="Calibri" w:cs="Calibri"/>
          <w:lang w:val="es-GT"/>
        </w:rPr>
        <w:t xml:space="preserve"> (Figura </w:t>
      </w:r>
      <w:r w:rsidR="00037F5B">
        <w:rPr>
          <w:rFonts w:ascii="Calibri" w:hAnsi="Calibri" w:cs="Calibri"/>
          <w:lang w:val="es-GT"/>
        </w:rPr>
        <w:t>50</w:t>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409" w:name="_Toc340034518"/>
      <w:bookmarkStart w:id="410" w:name="_Toc343098432"/>
      <w:bookmarkStart w:id="411" w:name="_Toc343098540"/>
      <w:bookmarkStart w:id="412" w:name="_Toc347841273"/>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50</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Precipitación anual, </w:t>
      </w:r>
      <w:r w:rsidR="00037F5B" w:rsidRPr="00224B57">
        <w:rPr>
          <w:rFonts w:ascii="Calibri" w:eastAsia="Calibri" w:hAnsi="Calibri" w:cs="Calibri"/>
          <w:b/>
          <w:color w:val="365F91"/>
          <w:sz w:val="22"/>
          <w:szCs w:val="22"/>
          <w:lang w:val="es-GT"/>
        </w:rPr>
        <w:t>escenarios A2 y B2. A</w:t>
      </w:r>
      <w:r w:rsidRPr="00224B57">
        <w:rPr>
          <w:rFonts w:ascii="Calibri" w:eastAsia="Calibri" w:hAnsi="Calibri" w:cs="Calibri"/>
          <w:b/>
          <w:color w:val="365F91"/>
          <w:sz w:val="22"/>
          <w:szCs w:val="22"/>
          <w:lang w:val="es-GT"/>
        </w:rPr>
        <w:t>ños 2020, 2050 y 2080</w:t>
      </w:r>
      <w:bookmarkEnd w:id="412"/>
      <w:r w:rsidRPr="00224B57">
        <w:rPr>
          <w:rFonts w:ascii="Calibri" w:eastAsia="Calibri" w:hAnsi="Calibri" w:cs="Calibri"/>
          <w:b/>
          <w:color w:val="365F91"/>
          <w:sz w:val="22"/>
          <w:szCs w:val="22"/>
          <w:lang w:val="es-GT"/>
        </w:rPr>
        <w:t xml:space="preserve"> </w:t>
      </w:r>
      <w:bookmarkEnd w:id="409"/>
      <w:bookmarkEnd w:id="410"/>
      <w:bookmarkEnd w:id="411"/>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867400" cy="3733800"/>
            <wp:effectExtent l="0" t="0" r="0" b="0"/>
            <wp:docPr id="2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l="4642" t="22279" r="3032" b="4167"/>
                    <a:stretch>
                      <a:fillRect/>
                    </a:stretch>
                  </pic:blipFill>
                  <pic:spPr bwMode="auto">
                    <a:xfrm>
                      <a:off x="0" y="0"/>
                      <a:ext cx="5867400" cy="3733800"/>
                    </a:xfrm>
                    <a:prstGeom prst="rect">
                      <a:avLst/>
                    </a:prstGeom>
                    <a:noFill/>
                    <a:ln>
                      <a:noFill/>
                    </a:ln>
                  </pic:spPr>
                </pic:pic>
              </a:graphicData>
            </a:graphic>
          </wp:inline>
        </w:drawing>
      </w:r>
    </w:p>
    <w:p w:rsidR="008327B2" w:rsidRPr="001A01AB" w:rsidRDefault="008327B2" w:rsidP="008327B2">
      <w:pPr>
        <w:tabs>
          <w:tab w:val="left" w:pos="9072"/>
        </w:tabs>
        <w:autoSpaceDE w:val="0"/>
        <w:autoSpaceDN w:val="0"/>
        <w:adjustRightInd w:val="0"/>
        <w:ind w:right="288"/>
        <w:jc w:val="right"/>
        <w:rPr>
          <w:rFonts w:ascii="Calibri" w:hAnsi="Calibri" w:cs="Calibri"/>
          <w:sz w:val="20"/>
          <w:lang w:val="es-GT"/>
        </w:rPr>
      </w:pPr>
      <w:r w:rsidRPr="001A01AB">
        <w:rPr>
          <w:rFonts w:ascii="Calibri" w:hAnsi="Calibri" w:cs="Calibri"/>
          <w:sz w:val="20"/>
          <w:lang w:val="es-GT"/>
        </w:rPr>
        <w:t>Fuente</w:t>
      </w:r>
      <w:r w:rsidR="007057AF">
        <w:rPr>
          <w:rFonts w:ascii="Calibri" w:hAnsi="Calibri" w:cs="Calibri"/>
          <w:sz w:val="20"/>
          <w:lang w:val="es-GT"/>
        </w:rPr>
        <w:t>:</w:t>
      </w:r>
      <w:r w:rsidRPr="001A01AB">
        <w:rPr>
          <w:rFonts w:ascii="Calibri" w:hAnsi="Calibri" w:cs="Calibri"/>
          <w:sz w:val="20"/>
          <w:lang w:val="es-GT"/>
        </w:rPr>
        <w:t xml:space="preserve"> </w:t>
      </w:r>
      <w:r w:rsidR="007057AF">
        <w:rPr>
          <w:rFonts w:ascii="Calibri" w:hAnsi="Calibri" w:cs="Calibri"/>
          <w:sz w:val="20"/>
          <w:lang w:val="es-GT"/>
        </w:rPr>
        <w:t>IARNA-URL</w:t>
      </w:r>
      <w:r w:rsidRPr="001A01AB">
        <w:rPr>
          <w:rFonts w:ascii="Calibri" w:hAnsi="Calibri" w:cs="Calibri"/>
          <w:sz w:val="20"/>
          <w:lang w:val="es-GT"/>
        </w:rPr>
        <w:t xml:space="preserve"> </w:t>
      </w:r>
      <w:r w:rsidR="007057AF">
        <w:rPr>
          <w:rFonts w:ascii="Calibri" w:hAnsi="Calibri" w:cs="Calibri"/>
          <w:sz w:val="20"/>
          <w:lang w:val="es-GT"/>
        </w:rPr>
        <w:t>(</w:t>
      </w:r>
      <w:r w:rsidRPr="001A01AB">
        <w:rPr>
          <w:rFonts w:ascii="Calibri" w:hAnsi="Calibri" w:cs="Calibri"/>
          <w:sz w:val="20"/>
          <w:lang w:val="es-GT"/>
        </w:rPr>
        <w:t>2011</w:t>
      </w:r>
      <w:r w:rsidR="007057AF">
        <w:rPr>
          <w:rFonts w:ascii="Calibri" w:hAnsi="Calibri" w:cs="Calibri"/>
          <w:sz w:val="20"/>
          <w:lang w:val="es-GT"/>
        </w:rPr>
        <w:t>)</w:t>
      </w:r>
      <w:r w:rsidRPr="001A01AB">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El Niño–Oscilación del Sur (ENOS) es la causa principal de la variabilidad del clima en América Latina y es el fenómeno natural con mayores impactos socioeconómicos. Durante las últimas tres décadas, la región ha enfrentado impactos climáticos relacionados con la intensificación de </w:t>
      </w:r>
      <w:r w:rsidRPr="001A01AB">
        <w:rPr>
          <w:rFonts w:ascii="Calibri" w:hAnsi="Calibri" w:cs="Calibri"/>
          <w:lang w:val="es-GT"/>
        </w:rPr>
        <w:lastRenderedPageBreak/>
        <w:t xml:space="preserve">ocurrencia del ENOS, con dos eventos extremadamente intensos, principalmente para los periodos 1982-1983 y 1997-1998 </w:t>
      </w:r>
      <w:r w:rsidRPr="00465D8F">
        <w:rPr>
          <w:rFonts w:ascii="Calibri" w:hAnsi="Calibri" w:cs="Calibri"/>
          <w:highlight w:val="magenta"/>
          <w:lang w:val="es-GT"/>
        </w:rPr>
        <w:t>(Trenberth y Stepaniak, 2001).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4.2.2.</w:t>
      </w:r>
      <w:r w:rsidRPr="001A01AB">
        <w:rPr>
          <w:rFonts w:ascii="Calibri" w:hAnsi="Calibri" w:cs="Calibri"/>
          <w:b/>
          <w:color w:val="365F91"/>
          <w:lang w:val="es-GT"/>
        </w:rPr>
        <w:tab/>
        <w:t>Indicador: I</w:t>
      </w:r>
      <w:r w:rsidR="007057AF" w:rsidRPr="001A01AB">
        <w:rPr>
          <w:rFonts w:ascii="Calibri" w:hAnsi="Calibri" w:cs="Calibri"/>
          <w:b/>
          <w:color w:val="365F91"/>
          <w:lang w:val="es-GT"/>
        </w:rPr>
        <w:t>mpacto del cambio climático en los escosistemas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Se considera al cambio climático como la principal amenaza para la diversidad biológica y para los medios de vida de la población que dependen de esta (</w:t>
      </w:r>
      <w:r w:rsidR="0017736D" w:rsidRPr="00F534A7">
        <w:rPr>
          <w:rFonts w:ascii="Calibri" w:hAnsi="Calibri" w:cs="Calibri"/>
          <w:highlight w:val="magenta"/>
          <w:lang w:val="es-GT"/>
        </w:rPr>
        <w:t xml:space="preserve">Convención </w:t>
      </w:r>
      <w:r w:rsidR="002C3284" w:rsidRPr="00F534A7">
        <w:rPr>
          <w:rFonts w:ascii="Calibri" w:hAnsi="Calibri" w:cs="Calibri"/>
          <w:highlight w:val="magenta"/>
          <w:lang w:val="es-GT"/>
        </w:rPr>
        <w:t xml:space="preserve">de </w:t>
      </w:r>
      <w:r w:rsidR="0017736D" w:rsidRPr="00F534A7">
        <w:rPr>
          <w:rFonts w:ascii="Calibri" w:hAnsi="Calibri" w:cs="Calibri"/>
          <w:highlight w:val="magenta"/>
          <w:lang w:val="es-GT"/>
        </w:rPr>
        <w:t>Diversidad</w:t>
      </w:r>
      <w:r w:rsidRPr="00F534A7">
        <w:rPr>
          <w:rFonts w:ascii="Calibri" w:hAnsi="Calibri" w:cs="Calibri"/>
          <w:highlight w:val="magenta"/>
          <w:lang w:val="es-GT"/>
        </w:rPr>
        <w:t>).</w:t>
      </w:r>
      <w:r w:rsidR="002C3284">
        <w:rPr>
          <w:rFonts w:ascii="Calibri" w:hAnsi="Calibri" w:cs="Calibri"/>
          <w:lang w:val="es-GT"/>
        </w:rPr>
        <w:t xml:space="preserve"> La magnitud y</w:t>
      </w:r>
      <w:r w:rsidRPr="001A01AB">
        <w:rPr>
          <w:rFonts w:ascii="Calibri" w:hAnsi="Calibri" w:cs="Calibri"/>
          <w:lang w:val="es-GT"/>
        </w:rPr>
        <w:t xml:space="preserve"> velocidad de los cambios en el clima permiten infer</w:t>
      </w:r>
      <w:r w:rsidR="002C3284">
        <w:rPr>
          <w:rFonts w:ascii="Calibri" w:hAnsi="Calibri" w:cs="Calibri"/>
          <w:lang w:val="es-GT"/>
        </w:rPr>
        <w:t xml:space="preserve">ir los impactos potenciales </w:t>
      </w:r>
      <w:r w:rsidRPr="001A01AB">
        <w:rPr>
          <w:rFonts w:ascii="Calibri" w:hAnsi="Calibri" w:cs="Calibri"/>
          <w:lang w:val="es-GT"/>
        </w:rPr>
        <w:t>sobre los bienes y servicios ambientales que proveen los ecosistemas naturales.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Existen varios estudios que </w:t>
      </w:r>
      <w:r w:rsidR="006E5879">
        <w:rPr>
          <w:rFonts w:ascii="Calibri" w:hAnsi="Calibri" w:cs="Calibri"/>
          <w:lang w:val="es-GT"/>
        </w:rPr>
        <w:t>pretenden</w:t>
      </w:r>
      <w:r w:rsidRPr="001A01AB">
        <w:rPr>
          <w:rFonts w:ascii="Calibri" w:hAnsi="Calibri" w:cs="Calibri"/>
          <w:lang w:val="es-GT"/>
        </w:rPr>
        <w:t xml:space="preserve"> evaluar los impactos del cambio climático en la diversidad biológica de la región mesoamericana. Estos concluyen que </w:t>
      </w:r>
      <w:r w:rsidR="006E5879">
        <w:rPr>
          <w:rFonts w:ascii="Calibri" w:hAnsi="Calibri" w:cs="Calibri"/>
          <w:lang w:val="es-GT"/>
        </w:rPr>
        <w:t>hay</w:t>
      </w:r>
      <w:r w:rsidRPr="001A01AB">
        <w:rPr>
          <w:rFonts w:ascii="Calibri" w:hAnsi="Calibri" w:cs="Calibri"/>
          <w:lang w:val="es-GT"/>
        </w:rPr>
        <w:t xml:space="preserve"> gran cantidad de evidencia </w:t>
      </w:r>
      <w:r w:rsidR="00546E6B">
        <w:rPr>
          <w:rFonts w:ascii="Calibri" w:hAnsi="Calibri" w:cs="Calibri"/>
          <w:lang w:val="es-GT"/>
        </w:rPr>
        <w:t>sobre</w:t>
      </w:r>
      <w:r w:rsidRPr="001A01AB">
        <w:rPr>
          <w:rFonts w:ascii="Calibri" w:hAnsi="Calibri" w:cs="Calibri"/>
          <w:lang w:val="es-GT"/>
        </w:rPr>
        <w:t xml:space="preserve"> los impactos negativos del cambio climático </w:t>
      </w:r>
      <w:r w:rsidR="00546E6B">
        <w:rPr>
          <w:rFonts w:ascii="Calibri" w:hAnsi="Calibri" w:cs="Calibri"/>
          <w:lang w:val="es-GT"/>
        </w:rPr>
        <w:t>en</w:t>
      </w:r>
      <w:r w:rsidRPr="001A01AB">
        <w:rPr>
          <w:rFonts w:ascii="Calibri" w:hAnsi="Calibri" w:cs="Calibri"/>
          <w:lang w:val="es-GT"/>
        </w:rPr>
        <w:t xml:space="preserve"> la biodiversidad. Se han identificado cambios de tamaño y distribución de las poblaciones, </w:t>
      </w:r>
      <w:r w:rsidR="006E5879">
        <w:rPr>
          <w:rFonts w:ascii="Calibri" w:hAnsi="Calibri" w:cs="Calibri"/>
          <w:lang w:val="es-GT"/>
        </w:rPr>
        <w:t xml:space="preserve">y </w:t>
      </w:r>
      <w:r w:rsidRPr="001A01AB">
        <w:rPr>
          <w:rFonts w:ascii="Calibri" w:hAnsi="Calibri" w:cs="Calibri"/>
          <w:lang w:val="es-GT"/>
        </w:rPr>
        <w:t xml:space="preserve">de sus rangos geográficos y fenología, </w:t>
      </w:r>
      <w:r w:rsidR="006E5879">
        <w:rPr>
          <w:rFonts w:ascii="Calibri" w:hAnsi="Calibri" w:cs="Calibri"/>
          <w:lang w:val="es-GT"/>
        </w:rPr>
        <w:t>que</w:t>
      </w:r>
      <w:r w:rsidRPr="001A01AB">
        <w:rPr>
          <w:rFonts w:ascii="Calibri" w:hAnsi="Calibri" w:cs="Calibri"/>
          <w:lang w:val="es-GT"/>
        </w:rPr>
        <w:t xml:space="preserve"> ocasionan desacoplamiento de las in</w:t>
      </w:r>
      <w:r w:rsidR="006E5879">
        <w:rPr>
          <w:rFonts w:ascii="Calibri" w:hAnsi="Calibri" w:cs="Calibri"/>
          <w:lang w:val="es-GT"/>
        </w:rPr>
        <w:t>teracciones entre las especies -</w:t>
      </w:r>
      <w:r w:rsidRPr="001A01AB">
        <w:rPr>
          <w:rFonts w:ascii="Calibri" w:hAnsi="Calibri" w:cs="Calibri"/>
          <w:lang w:val="es-GT"/>
        </w:rPr>
        <w:t>que se acentúa</w:t>
      </w:r>
      <w:r w:rsidR="006E5879">
        <w:rPr>
          <w:rFonts w:ascii="Calibri" w:hAnsi="Calibri" w:cs="Calibri"/>
          <w:lang w:val="es-GT"/>
        </w:rPr>
        <w:t>n</w:t>
      </w:r>
      <w:r w:rsidRPr="001A01AB">
        <w:rPr>
          <w:rFonts w:ascii="Calibri" w:hAnsi="Calibri" w:cs="Calibri"/>
          <w:lang w:val="es-GT"/>
        </w:rPr>
        <w:t xml:space="preserve"> en la interacción de flora y fauna</w:t>
      </w:r>
      <w:r w:rsidR="006E5879">
        <w:rPr>
          <w:rFonts w:ascii="Calibri" w:hAnsi="Calibri" w:cs="Calibri"/>
          <w:lang w:val="es-GT"/>
        </w:rPr>
        <w:t>-,</w:t>
      </w:r>
      <w:r w:rsidRPr="001A01AB">
        <w:rPr>
          <w:rFonts w:ascii="Calibri" w:hAnsi="Calibri" w:cs="Calibri"/>
          <w:lang w:val="es-GT"/>
        </w:rPr>
        <w:t xml:space="preserve"> y provoca</w:t>
      </w:r>
      <w:r w:rsidR="00546E6B">
        <w:rPr>
          <w:rFonts w:ascii="Calibri" w:hAnsi="Calibri" w:cs="Calibri"/>
          <w:lang w:val="es-GT"/>
        </w:rPr>
        <w:t>n</w:t>
      </w:r>
      <w:r w:rsidRPr="001A01AB">
        <w:rPr>
          <w:rFonts w:ascii="Calibri" w:hAnsi="Calibri" w:cs="Calibri"/>
          <w:lang w:val="es-GT"/>
        </w:rPr>
        <w:t xml:space="preserve"> cambios en los procesos de evolución y aptitud por la disminución de nutrientes y otros recursos, hasta la extinción de especies (CEPAL, 2011).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17736D" w:rsidP="008327B2">
      <w:pPr>
        <w:autoSpaceDE w:val="0"/>
        <w:autoSpaceDN w:val="0"/>
        <w:adjustRightInd w:val="0"/>
        <w:jc w:val="both"/>
        <w:rPr>
          <w:rFonts w:ascii="Calibri" w:hAnsi="Calibri" w:cs="Calibri"/>
          <w:lang w:val="es-GT"/>
        </w:rPr>
      </w:pPr>
      <w:r>
        <w:rPr>
          <w:rFonts w:ascii="Calibri" w:hAnsi="Calibri" w:cs="Calibri"/>
          <w:lang w:val="es-GT"/>
        </w:rPr>
        <w:t>Mesoamé</w:t>
      </w:r>
      <w:r w:rsidR="008327B2" w:rsidRPr="001A01AB">
        <w:rPr>
          <w:rFonts w:ascii="Calibri" w:hAnsi="Calibri" w:cs="Calibri"/>
          <w:lang w:val="es-GT"/>
        </w:rPr>
        <w:t>rica presenta una de las tasas mundiales más altas de deforestación, cuya pérdida es de alrededor del 2% de los bosques/</w:t>
      </w:r>
      <w:r w:rsidR="008327B2" w:rsidRPr="00F534A7">
        <w:rPr>
          <w:rFonts w:ascii="Calibri" w:hAnsi="Calibri" w:cs="Calibri"/>
          <w:lang w:val="es-GT"/>
        </w:rPr>
        <w:t>año (FAO, 2009). Adicionalmente</w:t>
      </w:r>
      <w:r w:rsidR="008327B2" w:rsidRPr="001A01AB">
        <w:rPr>
          <w:rFonts w:ascii="Calibri" w:hAnsi="Calibri" w:cs="Calibri"/>
          <w:lang w:val="es-GT"/>
        </w:rPr>
        <w:t xml:space="preserve">, se ha evidenciado que es altamente sensible a cambios climáticos globales, especialmente por las agudas y variables sequías que la afectan. Algunos de los mayores impactos que el cambio climático tendrá sobre la biodiversidad de Guatemala y Mesoamérica, </w:t>
      </w:r>
      <w:r w:rsidR="00546E6B">
        <w:rPr>
          <w:rFonts w:ascii="Calibri" w:hAnsi="Calibri" w:cs="Calibri"/>
          <w:lang w:val="es-GT"/>
        </w:rPr>
        <w:t>son</w:t>
      </w:r>
      <w:r w:rsidR="008327B2" w:rsidRPr="001A01AB">
        <w:rPr>
          <w:rFonts w:ascii="Calibri" w:hAnsi="Calibri" w:cs="Calibri"/>
          <w:lang w:val="es-GT"/>
        </w:rPr>
        <w:t xml:space="preserve"> (IARNA</w:t>
      </w:r>
      <w:r w:rsidR="007057AF">
        <w:rPr>
          <w:rFonts w:ascii="Calibri" w:hAnsi="Calibri" w:cs="Calibri"/>
          <w:lang w:val="es-GT"/>
        </w:rPr>
        <w:t>-URL</w:t>
      </w:r>
      <w:r w:rsidR="008327B2" w:rsidRPr="001A01AB">
        <w:rPr>
          <w:rFonts w:ascii="Calibri" w:hAnsi="Calibri" w:cs="Calibri"/>
          <w:lang w:val="es-GT"/>
        </w:rPr>
        <w:t>, 2011):</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spacing w:after="60"/>
        <w:ind w:left="283" w:hanging="272"/>
        <w:jc w:val="both"/>
        <w:rPr>
          <w:rFonts w:ascii="Calibri" w:hAnsi="Calibri" w:cs="Calibri"/>
          <w:lang w:val="es-GT"/>
        </w:rPr>
      </w:pPr>
      <w:r w:rsidRPr="001A01AB">
        <w:rPr>
          <w:rFonts w:ascii="Calibri" w:hAnsi="Calibri" w:cs="Calibri"/>
          <w:lang w:val="es-GT"/>
        </w:rPr>
        <w:t>a) Cambios en la distribución de las especies a lo largo de gradientes, especialmente altitudinales, de humedad y temperatura;</w:t>
      </w:r>
    </w:p>
    <w:p w:rsidR="008327B2" w:rsidRPr="001A01AB" w:rsidRDefault="008327B2" w:rsidP="008327B2">
      <w:pPr>
        <w:autoSpaceDE w:val="0"/>
        <w:autoSpaceDN w:val="0"/>
        <w:adjustRightInd w:val="0"/>
        <w:spacing w:after="60"/>
        <w:ind w:left="283" w:hanging="272"/>
        <w:jc w:val="both"/>
        <w:rPr>
          <w:rFonts w:ascii="Calibri" w:hAnsi="Calibri" w:cs="Calibri"/>
          <w:lang w:val="es-GT"/>
        </w:rPr>
      </w:pPr>
      <w:r w:rsidRPr="001A01AB">
        <w:rPr>
          <w:rFonts w:ascii="Calibri" w:hAnsi="Calibri" w:cs="Calibri"/>
          <w:lang w:val="es-GT"/>
        </w:rPr>
        <w:t>b) Cambios particulares en el calendario de eventos del ciclo biológico, o la fenología;</w:t>
      </w:r>
    </w:p>
    <w:p w:rsidR="008327B2" w:rsidRPr="001A01AB" w:rsidRDefault="008327B2" w:rsidP="008327B2">
      <w:pPr>
        <w:autoSpaceDE w:val="0"/>
        <w:autoSpaceDN w:val="0"/>
        <w:adjustRightInd w:val="0"/>
        <w:spacing w:after="60"/>
        <w:ind w:left="283" w:hanging="272"/>
        <w:jc w:val="both"/>
        <w:rPr>
          <w:rFonts w:ascii="Calibri" w:hAnsi="Calibri" w:cs="Calibri"/>
          <w:lang w:val="es-GT"/>
        </w:rPr>
      </w:pPr>
      <w:r w:rsidRPr="001A01AB">
        <w:rPr>
          <w:rFonts w:ascii="Calibri" w:hAnsi="Calibri" w:cs="Calibri"/>
          <w:lang w:val="es-GT"/>
        </w:rPr>
        <w:t>c) Desacoplamiento de las interacciones de coevolución, como la relación planta-polinizador;</w:t>
      </w:r>
    </w:p>
    <w:p w:rsidR="008327B2" w:rsidRPr="001A01AB" w:rsidRDefault="008327B2" w:rsidP="008327B2">
      <w:pPr>
        <w:autoSpaceDE w:val="0"/>
        <w:autoSpaceDN w:val="0"/>
        <w:adjustRightInd w:val="0"/>
        <w:spacing w:after="60"/>
        <w:ind w:left="283" w:hanging="272"/>
        <w:jc w:val="both"/>
        <w:rPr>
          <w:rFonts w:ascii="Calibri" w:hAnsi="Calibri" w:cs="Calibri"/>
          <w:lang w:val="es-GT"/>
        </w:rPr>
      </w:pPr>
      <w:r w:rsidRPr="001A01AB">
        <w:rPr>
          <w:rFonts w:ascii="Calibri" w:hAnsi="Calibri" w:cs="Calibri"/>
          <w:lang w:val="es-GT"/>
        </w:rPr>
        <w:t>d) Cambios diferenciados de las tasas demográficas de las especies, tal como la supervivencia y fecundidad;</w:t>
      </w:r>
    </w:p>
    <w:p w:rsidR="008327B2" w:rsidRPr="001A01AB" w:rsidRDefault="008327B2" w:rsidP="008327B2">
      <w:pPr>
        <w:autoSpaceDE w:val="0"/>
        <w:autoSpaceDN w:val="0"/>
        <w:adjustRightInd w:val="0"/>
        <w:spacing w:after="60"/>
        <w:ind w:left="283" w:hanging="272"/>
        <w:jc w:val="both"/>
        <w:rPr>
          <w:rFonts w:ascii="Calibri" w:hAnsi="Calibri" w:cs="Calibri"/>
          <w:lang w:val="es-GT"/>
        </w:rPr>
      </w:pPr>
      <w:r w:rsidRPr="001A01AB">
        <w:rPr>
          <w:rFonts w:ascii="Calibri" w:hAnsi="Calibri" w:cs="Calibri"/>
          <w:lang w:val="es-GT"/>
        </w:rPr>
        <w:t xml:space="preserve">e) Reducciones </w:t>
      </w:r>
      <w:r w:rsidR="00546E6B">
        <w:rPr>
          <w:rFonts w:ascii="Calibri" w:hAnsi="Calibri" w:cs="Calibri"/>
          <w:lang w:val="es-GT"/>
        </w:rPr>
        <w:t>d</w:t>
      </w:r>
      <w:r w:rsidRPr="001A01AB">
        <w:rPr>
          <w:rFonts w:ascii="Calibri" w:hAnsi="Calibri" w:cs="Calibri"/>
          <w:lang w:val="es-GT"/>
        </w:rPr>
        <w:t>el tamaño de poblaciones;</w:t>
      </w:r>
    </w:p>
    <w:p w:rsidR="008327B2" w:rsidRPr="001A01AB" w:rsidRDefault="008327B2" w:rsidP="008327B2">
      <w:pPr>
        <w:autoSpaceDE w:val="0"/>
        <w:autoSpaceDN w:val="0"/>
        <w:adjustRightInd w:val="0"/>
        <w:spacing w:after="60"/>
        <w:ind w:left="283" w:hanging="272"/>
        <w:jc w:val="both"/>
        <w:rPr>
          <w:rFonts w:ascii="Calibri" w:hAnsi="Calibri" w:cs="Calibri"/>
          <w:lang w:val="es-GT"/>
        </w:rPr>
      </w:pPr>
      <w:r w:rsidRPr="001A01AB">
        <w:rPr>
          <w:rFonts w:ascii="Calibri" w:hAnsi="Calibri" w:cs="Calibri"/>
          <w:lang w:val="es-GT"/>
        </w:rPr>
        <w:t>f) Extinción o extirpación de especies con poblaciones de rango restringido o aisladas;</w:t>
      </w:r>
    </w:p>
    <w:p w:rsidR="008327B2" w:rsidRPr="001A01AB" w:rsidRDefault="008327B2" w:rsidP="008327B2">
      <w:pPr>
        <w:autoSpaceDE w:val="0"/>
        <w:autoSpaceDN w:val="0"/>
        <w:adjustRightInd w:val="0"/>
        <w:spacing w:after="60"/>
        <w:ind w:left="283" w:hanging="272"/>
        <w:jc w:val="both"/>
        <w:rPr>
          <w:rFonts w:ascii="Calibri" w:hAnsi="Calibri" w:cs="Calibri"/>
          <w:lang w:val="es-GT"/>
        </w:rPr>
      </w:pPr>
      <w:r w:rsidRPr="001A01AB">
        <w:rPr>
          <w:rFonts w:ascii="Calibri" w:hAnsi="Calibri" w:cs="Calibri"/>
          <w:lang w:val="es-GT"/>
        </w:rPr>
        <w:t>g) Pérdida directa de hábitats. Entre algunos factores de presión se encuentran el aumento del nivel del mar, los brotes de plagas y enfermedades, etc.;</w:t>
      </w:r>
    </w:p>
    <w:p w:rsidR="008327B2" w:rsidRPr="001A01AB" w:rsidRDefault="008327B2" w:rsidP="008327B2">
      <w:pPr>
        <w:autoSpaceDE w:val="0"/>
        <w:autoSpaceDN w:val="0"/>
        <w:adjustRightInd w:val="0"/>
        <w:spacing w:after="60"/>
        <w:ind w:left="283" w:hanging="272"/>
        <w:jc w:val="both"/>
        <w:rPr>
          <w:rFonts w:ascii="Calibri" w:hAnsi="Calibri" w:cs="Calibri"/>
          <w:lang w:val="es-GT"/>
        </w:rPr>
      </w:pPr>
      <w:r w:rsidRPr="001A01AB">
        <w:rPr>
          <w:rFonts w:ascii="Calibri" w:hAnsi="Calibri" w:cs="Calibri"/>
          <w:lang w:val="es-GT"/>
        </w:rPr>
        <w:t xml:space="preserve">h) Aumento </w:t>
      </w:r>
      <w:r w:rsidR="00546E6B">
        <w:rPr>
          <w:rFonts w:ascii="Calibri" w:hAnsi="Calibri" w:cs="Calibri"/>
          <w:lang w:val="es-GT"/>
        </w:rPr>
        <w:t>de</w:t>
      </w:r>
      <w:r w:rsidRPr="001A01AB">
        <w:rPr>
          <w:rFonts w:ascii="Calibri" w:hAnsi="Calibri" w:cs="Calibri"/>
          <w:lang w:val="es-GT"/>
        </w:rPr>
        <w:t xml:space="preserve"> la propagación de enfermedades de la fauna, parásitos y zoonosis;</w:t>
      </w:r>
    </w:p>
    <w:p w:rsidR="008327B2" w:rsidRPr="001A01AB" w:rsidRDefault="008327B2" w:rsidP="008327B2">
      <w:pPr>
        <w:autoSpaceDE w:val="0"/>
        <w:autoSpaceDN w:val="0"/>
        <w:adjustRightInd w:val="0"/>
        <w:spacing w:after="60"/>
        <w:ind w:left="283" w:hanging="272"/>
        <w:jc w:val="both"/>
        <w:rPr>
          <w:rFonts w:ascii="Calibri" w:hAnsi="Calibri" w:cs="Calibri"/>
          <w:lang w:val="es-GT"/>
        </w:rPr>
      </w:pPr>
      <w:r w:rsidRPr="001A01AB">
        <w:rPr>
          <w:rFonts w:ascii="Calibri" w:hAnsi="Calibri" w:cs="Calibri"/>
          <w:lang w:val="es-GT"/>
        </w:rPr>
        <w:t xml:space="preserve">i) Aumento de la propagación de especies invasoras o no nativas, incluidas plantas, animales y agentes patógenos </w:t>
      </w:r>
      <w:r w:rsidRPr="00465D8F">
        <w:rPr>
          <w:rFonts w:ascii="Calibri" w:hAnsi="Calibri" w:cs="Calibri"/>
          <w:lang w:val="es-GT"/>
        </w:rPr>
        <w:t>(Mawdsley, O´Malley y Ojima, 2009).</w:t>
      </w:r>
    </w:p>
    <w:p w:rsidR="00546E6B" w:rsidRDefault="00546E6B"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Con información climática de la base WorldClim, IARNA</w:t>
      </w:r>
      <w:r w:rsidR="00546E6B">
        <w:rPr>
          <w:rFonts w:ascii="Calibri" w:hAnsi="Calibri" w:cs="Calibri"/>
          <w:lang w:val="es-GT"/>
        </w:rPr>
        <w:t>-URL</w:t>
      </w:r>
      <w:r w:rsidRPr="001A01AB">
        <w:rPr>
          <w:rFonts w:ascii="Calibri" w:hAnsi="Calibri" w:cs="Calibri"/>
          <w:lang w:val="es-GT"/>
        </w:rPr>
        <w:t xml:space="preserve"> realiz</w:t>
      </w:r>
      <w:r w:rsidR="00546E6B">
        <w:rPr>
          <w:rFonts w:ascii="Calibri" w:hAnsi="Calibri" w:cs="Calibri"/>
          <w:lang w:val="es-GT"/>
        </w:rPr>
        <w:t>ó</w:t>
      </w:r>
      <w:r w:rsidRPr="001A01AB">
        <w:rPr>
          <w:rFonts w:ascii="Calibri" w:hAnsi="Calibri" w:cs="Calibri"/>
          <w:lang w:val="es-GT"/>
        </w:rPr>
        <w:t xml:space="preserve"> una modelación de la distribución de las zonas de vida en el país. Esto permitió generar diversos mapas </w:t>
      </w:r>
      <w:r w:rsidR="00DA21F5">
        <w:rPr>
          <w:rFonts w:ascii="Calibri" w:hAnsi="Calibri" w:cs="Calibri"/>
          <w:lang w:val="es-GT"/>
        </w:rPr>
        <w:t>sobre</w:t>
      </w:r>
      <w:r w:rsidRPr="001A01AB">
        <w:rPr>
          <w:rFonts w:ascii="Calibri" w:hAnsi="Calibri" w:cs="Calibri"/>
          <w:lang w:val="es-GT"/>
        </w:rPr>
        <w:t xml:space="preserve"> la </w:t>
      </w:r>
      <w:r w:rsidRPr="001A01AB">
        <w:rPr>
          <w:rFonts w:ascii="Calibri" w:hAnsi="Calibri" w:cs="Calibri"/>
          <w:lang w:val="es-GT"/>
        </w:rPr>
        <w:lastRenderedPageBreak/>
        <w:t xml:space="preserve">distribución futura de las zonas de vida. Tanto el </w:t>
      </w:r>
      <w:r w:rsidR="007057AF" w:rsidRPr="001A01AB">
        <w:rPr>
          <w:rFonts w:ascii="Calibri" w:hAnsi="Calibri" w:cs="Calibri"/>
          <w:lang w:val="es-GT"/>
        </w:rPr>
        <w:t xml:space="preserve">mapa actual, </w:t>
      </w:r>
      <w:r w:rsidRPr="001A01AB">
        <w:rPr>
          <w:rFonts w:ascii="Calibri" w:hAnsi="Calibri" w:cs="Calibri"/>
          <w:lang w:val="es-GT"/>
        </w:rPr>
        <w:t xml:space="preserve">como las modelaciones realizadas con los escenarios A2 y B2 </w:t>
      </w:r>
      <w:r w:rsidR="00DA21F5">
        <w:rPr>
          <w:rFonts w:ascii="Calibri" w:hAnsi="Calibri" w:cs="Calibri"/>
          <w:lang w:val="es-GT"/>
        </w:rPr>
        <w:t>al año 2050 se presentan en la Figura 51</w:t>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413" w:name="_Toc340034519"/>
      <w:bookmarkStart w:id="414" w:name="_Toc343098433"/>
      <w:bookmarkStart w:id="415" w:name="_Toc343098541"/>
      <w:bookmarkStart w:id="416" w:name="_Toc347841274"/>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51</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xml:space="preserve">. Mapa actual de </w:t>
      </w:r>
      <w:r w:rsidR="007057AF" w:rsidRPr="00224B57">
        <w:rPr>
          <w:rFonts w:ascii="Calibri" w:eastAsia="Calibri" w:hAnsi="Calibri" w:cs="Calibri"/>
          <w:b/>
          <w:color w:val="365F91"/>
          <w:sz w:val="22"/>
          <w:szCs w:val="22"/>
          <w:lang w:val="es-GT"/>
        </w:rPr>
        <w:t xml:space="preserve">zonas de vida </w:t>
      </w:r>
      <w:r w:rsidRPr="00224B57">
        <w:rPr>
          <w:rFonts w:ascii="Calibri" w:eastAsia="Calibri" w:hAnsi="Calibri" w:cs="Calibri"/>
          <w:b/>
          <w:color w:val="365F91"/>
          <w:sz w:val="22"/>
          <w:szCs w:val="22"/>
          <w:lang w:val="es-GT"/>
        </w:rPr>
        <w:t>(basado en el Sistema Holdrigde), y distribución al año 2050, de acuerdo con los escenarios A2 y B2</w:t>
      </w:r>
      <w:bookmarkEnd w:id="413"/>
      <w:bookmarkEnd w:id="414"/>
      <w:bookmarkEnd w:id="415"/>
      <w:bookmarkEnd w:id="416"/>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934075" cy="5324475"/>
            <wp:effectExtent l="0" t="0" r="9525" b="9525"/>
            <wp:docPr id="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l="16667" t="20833" r="18692" b="6886"/>
                    <a:stretch>
                      <a:fillRect/>
                    </a:stretch>
                  </pic:blipFill>
                  <pic:spPr bwMode="auto">
                    <a:xfrm>
                      <a:off x="0" y="0"/>
                      <a:ext cx="5934075" cy="5324475"/>
                    </a:xfrm>
                    <a:prstGeom prst="rect">
                      <a:avLst/>
                    </a:prstGeom>
                    <a:noFill/>
                    <a:ln>
                      <a:noFill/>
                    </a:ln>
                  </pic:spPr>
                </pic:pic>
              </a:graphicData>
            </a:graphic>
          </wp:inline>
        </w:drawing>
      </w:r>
    </w:p>
    <w:p w:rsidR="008327B2" w:rsidRPr="001A01AB" w:rsidRDefault="008327B2" w:rsidP="008327B2">
      <w:pPr>
        <w:autoSpaceDE w:val="0"/>
        <w:autoSpaceDN w:val="0"/>
        <w:adjustRightInd w:val="0"/>
        <w:ind w:right="571"/>
        <w:jc w:val="right"/>
        <w:rPr>
          <w:rFonts w:ascii="Calibri" w:hAnsi="Calibri" w:cs="Calibri"/>
          <w:sz w:val="20"/>
          <w:lang w:val="es-GT"/>
        </w:rPr>
      </w:pPr>
      <w:r w:rsidRPr="001A01AB">
        <w:rPr>
          <w:rFonts w:ascii="Calibri" w:hAnsi="Calibri" w:cs="Calibri"/>
          <w:sz w:val="20"/>
          <w:lang w:val="es-GT"/>
        </w:rPr>
        <w:t xml:space="preserve">Fuente: </w:t>
      </w:r>
      <w:r w:rsidR="007057AF">
        <w:rPr>
          <w:rFonts w:ascii="Calibri" w:hAnsi="Calibri" w:cs="Calibri"/>
          <w:sz w:val="20"/>
          <w:lang w:val="es-GT"/>
        </w:rPr>
        <w:t>IARNA-URL</w:t>
      </w:r>
      <w:r w:rsidRPr="001A01AB">
        <w:rPr>
          <w:rFonts w:ascii="Calibri" w:hAnsi="Calibri" w:cs="Calibri"/>
          <w:sz w:val="20"/>
          <w:lang w:val="es-GT"/>
        </w:rPr>
        <w:t xml:space="preserve"> </w:t>
      </w:r>
      <w:r w:rsidR="007057AF">
        <w:rPr>
          <w:rFonts w:ascii="Calibri" w:hAnsi="Calibri" w:cs="Calibri"/>
          <w:sz w:val="20"/>
          <w:lang w:val="es-GT"/>
        </w:rPr>
        <w:t>(</w:t>
      </w:r>
      <w:r w:rsidRPr="001A01AB">
        <w:rPr>
          <w:rFonts w:ascii="Calibri" w:hAnsi="Calibri" w:cs="Calibri"/>
          <w:sz w:val="20"/>
          <w:lang w:val="es-GT"/>
        </w:rPr>
        <w:t>2011</w:t>
      </w:r>
      <w:r w:rsidR="007057AF">
        <w:rPr>
          <w:rFonts w:ascii="Calibri" w:hAnsi="Calibri" w:cs="Calibri"/>
          <w:sz w:val="20"/>
          <w:lang w:val="es-GT"/>
        </w:rPr>
        <w:t>)</w:t>
      </w:r>
      <w:r w:rsidRPr="001A01AB">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Estos estudios muestran que el escenario en el que son previsibles mayores cambios para el año 2050 es, evidentemente, el A2. Para esta fecha,</w:t>
      </w:r>
      <w:r w:rsidR="00DA21F5">
        <w:rPr>
          <w:rFonts w:ascii="Calibri" w:hAnsi="Calibri" w:cs="Calibri"/>
          <w:lang w:val="es-GT"/>
        </w:rPr>
        <w:t xml:space="preserve"> las zonas de vida que presentarán</w:t>
      </w:r>
      <w:r w:rsidRPr="001A01AB">
        <w:rPr>
          <w:rFonts w:ascii="Calibri" w:hAnsi="Calibri" w:cs="Calibri"/>
          <w:lang w:val="es-GT"/>
        </w:rPr>
        <w:t xml:space="preserve"> mayores cambios son:</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6B0A31">
      <w:pPr>
        <w:numPr>
          <w:ilvl w:val="0"/>
          <w:numId w:val="37"/>
        </w:numPr>
        <w:autoSpaceDE w:val="0"/>
        <w:autoSpaceDN w:val="0"/>
        <w:adjustRightInd w:val="0"/>
        <w:ind w:left="340" w:hanging="340"/>
        <w:jc w:val="both"/>
        <w:rPr>
          <w:rFonts w:ascii="Calibri" w:hAnsi="Calibri" w:cs="Calibri"/>
          <w:lang w:val="es-GT"/>
        </w:rPr>
      </w:pPr>
      <w:r w:rsidRPr="001A01AB">
        <w:rPr>
          <w:rFonts w:ascii="Calibri" w:hAnsi="Calibri" w:cs="Calibri"/>
          <w:lang w:val="es-GT"/>
        </w:rPr>
        <w:t>Bosque Seco Tropical (bs-T)</w:t>
      </w:r>
      <w:r w:rsidR="00DA21F5">
        <w:rPr>
          <w:rFonts w:ascii="Calibri" w:hAnsi="Calibri" w:cs="Calibri"/>
          <w:lang w:val="es-GT"/>
        </w:rPr>
        <w:t>,</w:t>
      </w:r>
      <w:r w:rsidRPr="001A01AB">
        <w:rPr>
          <w:rFonts w:ascii="Calibri" w:hAnsi="Calibri" w:cs="Calibri"/>
          <w:lang w:val="es-GT"/>
        </w:rPr>
        <w:t xml:space="preserve"> que presenta la mayor expansión territorial, aumentando del 20% al 40% en el escenario A2 y a 30% en el escenario B2</w:t>
      </w:r>
      <w:r w:rsidR="007057AF">
        <w:rPr>
          <w:rFonts w:ascii="Calibri" w:hAnsi="Calibri" w:cs="Calibri"/>
          <w:lang w:val="es-GT"/>
        </w:rPr>
        <w:t>.</w:t>
      </w:r>
    </w:p>
    <w:p w:rsidR="008327B2" w:rsidRPr="001A01AB" w:rsidRDefault="008327B2" w:rsidP="006B0A31">
      <w:pPr>
        <w:numPr>
          <w:ilvl w:val="0"/>
          <w:numId w:val="37"/>
        </w:numPr>
        <w:autoSpaceDE w:val="0"/>
        <w:autoSpaceDN w:val="0"/>
        <w:adjustRightInd w:val="0"/>
        <w:ind w:left="340" w:hanging="340"/>
        <w:jc w:val="both"/>
        <w:rPr>
          <w:rFonts w:ascii="Calibri" w:hAnsi="Calibri" w:cs="Calibri"/>
          <w:lang w:val="es-GT"/>
        </w:rPr>
      </w:pPr>
      <w:r w:rsidRPr="001A01AB">
        <w:rPr>
          <w:rFonts w:ascii="Calibri" w:hAnsi="Calibri" w:cs="Calibri"/>
          <w:lang w:val="es-GT"/>
        </w:rPr>
        <w:lastRenderedPageBreak/>
        <w:t>Los</w:t>
      </w:r>
      <w:r w:rsidR="007057AF">
        <w:rPr>
          <w:rFonts w:ascii="Calibri" w:hAnsi="Calibri" w:cs="Calibri"/>
          <w:lang w:val="es-GT"/>
        </w:rPr>
        <w:t>:</w:t>
      </w:r>
      <w:r w:rsidRPr="001A01AB">
        <w:rPr>
          <w:rFonts w:ascii="Calibri" w:hAnsi="Calibri" w:cs="Calibri"/>
          <w:lang w:val="es-GT"/>
        </w:rPr>
        <w:t xml:space="preserve"> Bosque Húmedo Premontano (bh-PMT), Bosque muy Húmedo Premontano (bmh-PMT) y Bosque Húmedo Montano Bajo (bh-MBT)</w:t>
      </w:r>
      <w:r w:rsidR="00DA21F5">
        <w:rPr>
          <w:rFonts w:ascii="Calibri" w:hAnsi="Calibri" w:cs="Calibri"/>
          <w:lang w:val="es-GT"/>
        </w:rPr>
        <w:t>,</w:t>
      </w:r>
      <w:r w:rsidRPr="001A01AB">
        <w:rPr>
          <w:rFonts w:ascii="Calibri" w:hAnsi="Calibri" w:cs="Calibri"/>
          <w:lang w:val="es-GT"/>
        </w:rPr>
        <w:t xml:space="preserve"> presentan la mayor contracción de área, reduciéndose los tres en un 50% para ambos escenarios.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Se estima que para el año 2050, en ambos escenarios (A2 y B2), se observa</w:t>
      </w:r>
      <w:r w:rsidR="00D532C0">
        <w:rPr>
          <w:rFonts w:ascii="Calibri" w:hAnsi="Calibri" w:cs="Calibri"/>
          <w:lang w:val="es-GT"/>
        </w:rPr>
        <w:t>rá</w:t>
      </w:r>
      <w:r w:rsidRPr="001A01AB">
        <w:rPr>
          <w:rFonts w:ascii="Calibri" w:hAnsi="Calibri" w:cs="Calibri"/>
          <w:lang w:val="es-GT"/>
        </w:rPr>
        <w:t xml:space="preserve"> una tendencia a la expansión de las condiciones bioclimáticas propias de los bosques secos y muy secos, incluso con la aparición de zonas de vida áridas donde la evapotranspiración potencial es de 4 a 8 veces mayor que la precipitación. Esto indica un cambio drástico en las condiciones bioclimáticas del país en alrededor del 90% de su extensión, lo que disminuiría la disponibilidad hídrica de los ecosistemas, con repercusiones en los mismos, en la biodiversidad y en sistemas productivos.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Al agrupar las zonas de vida por regímenes o provincias de humedad, de acuerdo con la metodología de Holdridge, el conjunto de zonas de vida subhúmedas, semiáridas y áridas, el grupo de bosques secos (subhúmedos), muy secos (semiáridos) y </w:t>
      </w:r>
      <w:r w:rsidR="00D532C0">
        <w:rPr>
          <w:rFonts w:ascii="Calibri" w:hAnsi="Calibri" w:cs="Calibri"/>
          <w:lang w:val="es-GT"/>
        </w:rPr>
        <w:t xml:space="preserve">el </w:t>
      </w:r>
      <w:r w:rsidRPr="001A01AB">
        <w:rPr>
          <w:rFonts w:ascii="Calibri" w:hAnsi="Calibri" w:cs="Calibri"/>
          <w:lang w:val="es-GT"/>
        </w:rPr>
        <w:t>monte espinoso (áridos) aumentará</w:t>
      </w:r>
      <w:r w:rsidR="00D532C0">
        <w:rPr>
          <w:rFonts w:ascii="Calibri" w:hAnsi="Calibri" w:cs="Calibri"/>
          <w:lang w:val="es-GT"/>
        </w:rPr>
        <w:t>n</w:t>
      </w:r>
      <w:r w:rsidRPr="001A01AB">
        <w:rPr>
          <w:rFonts w:ascii="Calibri" w:hAnsi="Calibri" w:cs="Calibri"/>
          <w:lang w:val="es-GT"/>
        </w:rPr>
        <w:t xml:space="preserve"> de 3 millones de hectáreas actuales a aproximadamente 7 millones para ambos escenarios (A2 y B2). En contraposición, los bosques húmedos, muy húmedos y pluviales disminuirán en iguales proporciones.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513D2C">
        <w:rPr>
          <w:rFonts w:ascii="Calibri" w:hAnsi="Calibri" w:cs="Calibri"/>
          <w:lang w:val="es-GT"/>
        </w:rPr>
        <w:t>Bajo estos escenarios, es muy probable que Guatemala pase de ser actualmente un país excedentario de agua, a afrontar grandes déficit hídricos en el futuro cercano, debido principalmente a que la evapotranspiración potencial será mucho mayor que la precipitación. Esto traería consecuencias negativas en cuanto a abastecimiento hídrico, tanto en los ecosistemas</w:t>
      </w:r>
      <w:r w:rsidR="00513D2C">
        <w:rPr>
          <w:rFonts w:ascii="Calibri" w:hAnsi="Calibri" w:cs="Calibri"/>
          <w:lang w:val="es-GT"/>
        </w:rPr>
        <w:t>,</w:t>
      </w:r>
      <w:r w:rsidRPr="00513D2C">
        <w:rPr>
          <w:rFonts w:ascii="Calibri" w:hAnsi="Calibri" w:cs="Calibri"/>
          <w:lang w:val="es-GT"/>
        </w:rPr>
        <w:t xml:space="preserve"> como en los sistemas productivos y la sociedad.</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4.2.3.</w:t>
      </w:r>
      <w:r w:rsidRPr="001A01AB">
        <w:rPr>
          <w:rFonts w:ascii="Calibri" w:hAnsi="Calibri" w:cs="Calibri"/>
          <w:b/>
          <w:color w:val="365F91"/>
          <w:lang w:val="es-GT"/>
        </w:rPr>
        <w:tab/>
        <w:t xml:space="preserve">Indicador: </w:t>
      </w:r>
      <w:r w:rsidR="00016E8A" w:rsidRPr="001A01AB">
        <w:rPr>
          <w:rFonts w:ascii="Calibri" w:hAnsi="Calibri" w:cs="Calibri"/>
          <w:b/>
          <w:color w:val="365F91"/>
          <w:lang w:val="es-GT"/>
        </w:rPr>
        <w:t xml:space="preserve">impacto de cambio climático en el </w:t>
      </w:r>
      <w:r w:rsidRPr="001A01AB">
        <w:rPr>
          <w:rFonts w:ascii="Calibri" w:hAnsi="Calibri" w:cs="Calibri"/>
          <w:b/>
          <w:color w:val="365F91"/>
          <w:lang w:val="es-GT"/>
        </w:rPr>
        <w:t xml:space="preserve">PIB </w:t>
      </w:r>
      <w:r w:rsidR="00016E8A" w:rsidRPr="001A01AB">
        <w:rPr>
          <w:rFonts w:ascii="Calibri" w:hAnsi="Calibri" w:cs="Calibri"/>
          <w:b/>
          <w:color w:val="365F91"/>
          <w:lang w:val="es-GT"/>
        </w:rPr>
        <w:t>agrícola</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 agricultura es trascendental para el desarrollo del país, no sólo porque permite servir de suministro de alimentos básicos, sino también porque de ella dependen los ingresos de muchos hogares guatemaltecos, ya que emplea al 50% de la población económicamente activa (PEA). </w:t>
      </w:r>
      <w:r w:rsidR="00513D2C">
        <w:rPr>
          <w:rFonts w:ascii="Calibri" w:hAnsi="Calibri" w:cs="Calibri"/>
          <w:lang w:val="es-GT"/>
        </w:rPr>
        <w:t>Sin embargo,</w:t>
      </w:r>
      <w:r w:rsidRPr="001A01AB">
        <w:rPr>
          <w:rFonts w:ascii="Calibri" w:hAnsi="Calibri" w:cs="Calibri"/>
          <w:lang w:val="es-GT"/>
        </w:rPr>
        <w:t xml:space="preserve"> el sector agropecuario es altamen</w:t>
      </w:r>
      <w:r w:rsidR="00513D2C">
        <w:rPr>
          <w:rFonts w:ascii="Calibri" w:hAnsi="Calibri" w:cs="Calibri"/>
          <w:lang w:val="es-GT"/>
        </w:rPr>
        <w:t>te sensible ante los cambios d</w:t>
      </w:r>
      <w:r w:rsidRPr="001A01AB">
        <w:rPr>
          <w:rFonts w:ascii="Calibri" w:hAnsi="Calibri" w:cs="Calibri"/>
          <w:lang w:val="es-GT"/>
        </w:rPr>
        <w:t xml:space="preserve">el clima, razón por la cual es importante considerar </w:t>
      </w:r>
      <w:r w:rsidR="00513D2C">
        <w:rPr>
          <w:rFonts w:ascii="Calibri" w:hAnsi="Calibri" w:cs="Calibri"/>
          <w:lang w:val="es-GT"/>
        </w:rPr>
        <w:t>la evolución de este sector</w:t>
      </w:r>
      <w:r w:rsidRPr="001A01AB">
        <w:rPr>
          <w:rFonts w:ascii="Calibri" w:hAnsi="Calibri" w:cs="Calibri"/>
          <w:lang w:val="es-GT"/>
        </w:rPr>
        <w:t xml:space="preserve"> en </w:t>
      </w:r>
      <w:r w:rsidR="0017736D">
        <w:rPr>
          <w:rFonts w:ascii="Calibri" w:hAnsi="Calibri" w:cs="Calibri"/>
          <w:lang w:val="es-GT"/>
        </w:rPr>
        <w:t xml:space="preserve">el </w:t>
      </w:r>
      <w:r w:rsidRPr="001A01AB">
        <w:rPr>
          <w:rFonts w:ascii="Calibri" w:hAnsi="Calibri" w:cs="Calibri"/>
          <w:lang w:val="es-GT"/>
        </w:rPr>
        <w:t>que el cambio climático podría generar situaciones adversas para su desarrollo.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Por una parte, los rendimientos y </w:t>
      </w:r>
      <w:r w:rsidR="00513D2C">
        <w:rPr>
          <w:rFonts w:ascii="Calibri" w:hAnsi="Calibri" w:cs="Calibri"/>
          <w:lang w:val="es-GT"/>
        </w:rPr>
        <w:t xml:space="preserve">la </w:t>
      </w:r>
      <w:r w:rsidRPr="001A01AB">
        <w:rPr>
          <w:rFonts w:ascii="Calibri" w:hAnsi="Calibri" w:cs="Calibri"/>
          <w:lang w:val="es-GT"/>
        </w:rPr>
        <w:t>productividad de las actividades productivas del agro se ven fuertemente influenciadas por fenómenos climáticos</w:t>
      </w:r>
      <w:r w:rsidR="00513D2C">
        <w:rPr>
          <w:rFonts w:ascii="Calibri" w:hAnsi="Calibri" w:cs="Calibri"/>
          <w:lang w:val="es-GT"/>
        </w:rPr>
        <w:t>;</w:t>
      </w:r>
      <w:r w:rsidRPr="001A01AB">
        <w:rPr>
          <w:rFonts w:ascii="Calibri" w:hAnsi="Calibri" w:cs="Calibri"/>
          <w:lang w:val="es-GT"/>
        </w:rPr>
        <w:t xml:space="preserve"> pero tambi</w:t>
      </w:r>
      <w:r w:rsidR="00513D2C">
        <w:rPr>
          <w:rFonts w:ascii="Calibri" w:hAnsi="Calibri" w:cs="Calibri"/>
          <w:lang w:val="es-GT"/>
        </w:rPr>
        <w:t>én estas actividades</w:t>
      </w:r>
      <w:r w:rsidRPr="001A01AB">
        <w:rPr>
          <w:rFonts w:ascii="Calibri" w:hAnsi="Calibri" w:cs="Calibri"/>
          <w:lang w:val="es-GT"/>
        </w:rPr>
        <w:t xml:space="preserve"> afectan al clima y al ambiente mediante la emisión de metano, la contaminación de acuíferos, la erosión, la salinización de los suelos y la deforestación para el uso de suelo agropecuario, creando un grado de codependencia digno de ser considerado en la toma de decisiones de política económica que afecten al sector agropecuario.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Como se mencionó anteriormente, el sector agropecuario representa un sector muy importante para la economía de Guatemala; por ejemplo, para el 2008 el PIB agropecuario representó más del 13% del PIB total y</w:t>
      </w:r>
      <w:r w:rsidR="00513D2C">
        <w:rPr>
          <w:rFonts w:ascii="Calibri" w:hAnsi="Calibri" w:cs="Calibri"/>
          <w:lang w:val="es-GT"/>
        </w:rPr>
        <w:t>,</w:t>
      </w:r>
      <w:r w:rsidRPr="001A01AB">
        <w:rPr>
          <w:rFonts w:ascii="Calibri" w:hAnsi="Calibri" w:cs="Calibri"/>
          <w:lang w:val="es-GT"/>
        </w:rPr>
        <w:t xml:space="preserve"> si se incluye la agroindustria</w:t>
      </w:r>
      <w:r w:rsidR="00513D2C">
        <w:rPr>
          <w:rFonts w:ascii="Calibri" w:hAnsi="Calibri" w:cs="Calibri"/>
          <w:lang w:val="es-GT"/>
        </w:rPr>
        <w:t>,</w:t>
      </w:r>
      <w:r w:rsidRPr="001A01AB">
        <w:rPr>
          <w:rFonts w:ascii="Calibri" w:hAnsi="Calibri" w:cs="Calibri"/>
          <w:lang w:val="es-GT"/>
        </w:rPr>
        <w:t xml:space="preserve"> la cifra aumenta casi al 21% (</w:t>
      </w:r>
      <w:r w:rsidR="00513D2C">
        <w:rPr>
          <w:rFonts w:ascii="Calibri" w:hAnsi="Calibri" w:cs="Calibri"/>
          <w:lang w:val="es-GT"/>
        </w:rPr>
        <w:t xml:space="preserve">Cuadro </w:t>
      </w:r>
      <w:r w:rsidRPr="001A01AB">
        <w:rPr>
          <w:rFonts w:ascii="Calibri" w:hAnsi="Calibri" w:cs="Calibri"/>
          <w:lang w:val="es-GT"/>
        </w:rPr>
        <w:t>3</w:t>
      </w:r>
      <w:r w:rsidR="004C77F8">
        <w:rPr>
          <w:rFonts w:ascii="Calibri" w:hAnsi="Calibri" w:cs="Calibri"/>
          <w:lang w:val="es-GT"/>
        </w:rPr>
        <w:t>4</w:t>
      </w:r>
      <w:r w:rsidRPr="001A01AB">
        <w:rPr>
          <w:rFonts w:ascii="Calibri" w:hAnsi="Calibri" w:cs="Calibri"/>
          <w:lang w:val="es-GT"/>
        </w:rPr>
        <w:t>).</w:t>
      </w:r>
    </w:p>
    <w:p w:rsidR="007033AE" w:rsidRDefault="00C54ACC" w:rsidP="007033AE">
      <w:pPr>
        <w:pStyle w:val="Epgrafe"/>
        <w:jc w:val="center"/>
        <w:rPr>
          <w:rFonts w:asciiTheme="minorHAnsi" w:hAnsiTheme="minorHAnsi" w:cstheme="minorHAnsi"/>
          <w:color w:val="365F91" w:themeColor="accent1" w:themeShade="BF"/>
          <w:sz w:val="22"/>
          <w:szCs w:val="22"/>
          <w:lang w:val="es-GT"/>
        </w:rPr>
      </w:pPr>
      <w:bookmarkStart w:id="417" w:name="_Toc340032178"/>
      <w:bookmarkStart w:id="418" w:name="_Toc340034455"/>
      <w:bookmarkStart w:id="419" w:name="_Toc343164662"/>
      <w:bookmarkStart w:id="420" w:name="_Toc347841216"/>
      <w:r w:rsidRPr="007033AE">
        <w:rPr>
          <w:rFonts w:asciiTheme="minorHAnsi" w:hAnsiTheme="minorHAnsi" w:cstheme="minorHAnsi"/>
          <w:color w:val="365F91" w:themeColor="accent1" w:themeShade="BF"/>
          <w:sz w:val="22"/>
          <w:szCs w:val="22"/>
          <w:lang w:val="es-GT"/>
        </w:rPr>
        <w:lastRenderedPageBreak/>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34</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Participación del sector agropecuario y agroindustrial en el PIB nacional</w:t>
      </w:r>
      <w:r w:rsidR="00513D2C" w:rsidRPr="007033AE">
        <w:rPr>
          <w:rFonts w:asciiTheme="minorHAnsi" w:hAnsiTheme="minorHAnsi" w:cstheme="minorHAnsi"/>
          <w:color w:val="365F91" w:themeColor="accent1" w:themeShade="BF"/>
          <w:sz w:val="22"/>
          <w:szCs w:val="22"/>
          <w:lang w:val="es-GT"/>
        </w:rPr>
        <w:t>.</w:t>
      </w:r>
      <w:bookmarkEnd w:id="420"/>
      <w:r w:rsidR="00513D2C" w:rsidRPr="007033AE">
        <w:rPr>
          <w:rFonts w:asciiTheme="minorHAnsi" w:hAnsiTheme="minorHAnsi" w:cstheme="minorHAnsi"/>
          <w:color w:val="365F91" w:themeColor="accent1" w:themeShade="BF"/>
          <w:sz w:val="22"/>
          <w:szCs w:val="22"/>
          <w:lang w:val="es-GT"/>
        </w:rPr>
        <w:t xml:space="preserve"> </w:t>
      </w:r>
    </w:p>
    <w:p w:rsidR="008327B2" w:rsidRDefault="00513D2C" w:rsidP="007033AE">
      <w:pPr>
        <w:pStyle w:val="Epgrafe"/>
        <w:jc w:val="center"/>
        <w:rPr>
          <w:rFonts w:asciiTheme="minorHAnsi" w:hAnsiTheme="minorHAnsi" w:cstheme="minorHAnsi"/>
          <w:color w:val="365F91" w:themeColor="accent1" w:themeShade="BF"/>
          <w:sz w:val="22"/>
          <w:szCs w:val="22"/>
          <w:lang w:val="es-GT"/>
        </w:rPr>
      </w:pPr>
      <w:r w:rsidRPr="007033AE">
        <w:rPr>
          <w:rFonts w:asciiTheme="minorHAnsi" w:hAnsiTheme="minorHAnsi" w:cstheme="minorHAnsi"/>
          <w:color w:val="365F91" w:themeColor="accent1" w:themeShade="BF"/>
          <w:sz w:val="22"/>
          <w:szCs w:val="22"/>
          <w:lang w:val="es-GT"/>
        </w:rPr>
        <w:t>Periodo 2002–</w:t>
      </w:r>
      <w:r w:rsidR="008327B2" w:rsidRPr="007033AE">
        <w:rPr>
          <w:rFonts w:asciiTheme="minorHAnsi" w:hAnsiTheme="minorHAnsi" w:cstheme="minorHAnsi"/>
          <w:color w:val="365F91" w:themeColor="accent1" w:themeShade="BF"/>
          <w:sz w:val="22"/>
          <w:szCs w:val="22"/>
          <w:lang w:val="es-GT"/>
        </w:rPr>
        <w:t>2008</w:t>
      </w:r>
      <w:bookmarkEnd w:id="417"/>
      <w:bookmarkEnd w:id="418"/>
      <w:bookmarkEnd w:id="419"/>
    </w:p>
    <w:p w:rsidR="007033AE" w:rsidRPr="007033AE" w:rsidRDefault="007033AE" w:rsidP="007033AE">
      <w:pPr>
        <w:rPr>
          <w:lang w:val="es-GT"/>
        </w:rPr>
      </w:pPr>
    </w:p>
    <w:tbl>
      <w:tblPr>
        <w:tblW w:w="8877" w:type="dxa"/>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4"/>
        <w:gridCol w:w="947"/>
        <w:gridCol w:w="948"/>
        <w:gridCol w:w="947"/>
        <w:gridCol w:w="948"/>
        <w:gridCol w:w="947"/>
        <w:gridCol w:w="948"/>
        <w:gridCol w:w="948"/>
      </w:tblGrid>
      <w:tr w:rsidR="00513D2C" w:rsidRPr="004C77F8" w:rsidTr="004300B8">
        <w:trPr>
          <w:jc w:val="center"/>
        </w:trPr>
        <w:tc>
          <w:tcPr>
            <w:tcW w:w="2244" w:type="dxa"/>
            <w:vMerge w:val="restart"/>
            <w:shd w:val="clear" w:color="auto" w:fill="365F91"/>
            <w:vAlign w:val="center"/>
          </w:tcPr>
          <w:p w:rsidR="00513D2C" w:rsidRPr="001A01AB" w:rsidRDefault="00513D2C" w:rsidP="008327B2">
            <w:pPr>
              <w:autoSpaceDE w:val="0"/>
              <w:autoSpaceDN w:val="0"/>
              <w:adjustRightInd w:val="0"/>
              <w:jc w:val="center"/>
              <w:rPr>
                <w:rFonts w:ascii="Calibri" w:hAnsi="Calibri" w:cs="Calibri"/>
                <w:b/>
                <w:color w:val="FFFFFF"/>
                <w:lang w:val="es-GT"/>
              </w:rPr>
            </w:pPr>
            <w:r w:rsidRPr="001A01AB">
              <w:rPr>
                <w:rFonts w:ascii="Calibri" w:hAnsi="Calibri" w:cs="Calibri"/>
                <w:b/>
                <w:color w:val="FFFFFF"/>
                <w:lang w:val="es-GT"/>
              </w:rPr>
              <w:t>Sector</w:t>
            </w:r>
          </w:p>
        </w:tc>
        <w:tc>
          <w:tcPr>
            <w:tcW w:w="6633" w:type="dxa"/>
            <w:gridSpan w:val="7"/>
            <w:shd w:val="clear" w:color="auto" w:fill="365F91"/>
            <w:vAlign w:val="center"/>
          </w:tcPr>
          <w:p w:rsidR="00513D2C" w:rsidRPr="001A01AB" w:rsidRDefault="00513D2C" w:rsidP="008327B2">
            <w:pPr>
              <w:autoSpaceDE w:val="0"/>
              <w:autoSpaceDN w:val="0"/>
              <w:adjustRightInd w:val="0"/>
              <w:jc w:val="center"/>
              <w:rPr>
                <w:rFonts w:ascii="Calibri" w:hAnsi="Calibri" w:cs="Calibri"/>
                <w:b/>
                <w:color w:val="FFFFFF"/>
                <w:lang w:val="es-GT"/>
              </w:rPr>
            </w:pPr>
            <w:r>
              <w:rPr>
                <w:rFonts w:ascii="Calibri" w:hAnsi="Calibri" w:cs="Calibri"/>
                <w:b/>
                <w:color w:val="FFFFFF"/>
                <w:lang w:val="es-GT"/>
              </w:rPr>
              <w:t>Año</w:t>
            </w:r>
          </w:p>
        </w:tc>
      </w:tr>
      <w:tr w:rsidR="00513D2C" w:rsidRPr="004C77F8" w:rsidTr="001A01AB">
        <w:trPr>
          <w:jc w:val="center"/>
        </w:trPr>
        <w:tc>
          <w:tcPr>
            <w:tcW w:w="2244" w:type="dxa"/>
            <w:vMerge/>
            <w:shd w:val="clear" w:color="auto" w:fill="365F91"/>
            <w:vAlign w:val="center"/>
          </w:tcPr>
          <w:p w:rsidR="00513D2C" w:rsidRPr="001A01AB" w:rsidRDefault="00513D2C" w:rsidP="008327B2">
            <w:pPr>
              <w:autoSpaceDE w:val="0"/>
              <w:autoSpaceDN w:val="0"/>
              <w:adjustRightInd w:val="0"/>
              <w:jc w:val="center"/>
              <w:rPr>
                <w:rFonts w:ascii="Calibri" w:hAnsi="Calibri" w:cs="Calibri"/>
                <w:b/>
                <w:color w:val="FFFFFF"/>
                <w:lang w:val="es-GT"/>
              </w:rPr>
            </w:pPr>
          </w:p>
        </w:tc>
        <w:tc>
          <w:tcPr>
            <w:tcW w:w="947" w:type="dxa"/>
            <w:shd w:val="clear" w:color="auto" w:fill="365F91"/>
            <w:vAlign w:val="center"/>
          </w:tcPr>
          <w:p w:rsidR="00513D2C" w:rsidRPr="001A01AB" w:rsidRDefault="00513D2C" w:rsidP="008327B2">
            <w:pPr>
              <w:autoSpaceDE w:val="0"/>
              <w:autoSpaceDN w:val="0"/>
              <w:adjustRightInd w:val="0"/>
              <w:jc w:val="center"/>
              <w:rPr>
                <w:rFonts w:ascii="Calibri" w:hAnsi="Calibri" w:cs="Calibri"/>
                <w:b/>
                <w:color w:val="FFFFFF"/>
                <w:lang w:val="es-GT"/>
              </w:rPr>
            </w:pPr>
            <w:r w:rsidRPr="001A01AB">
              <w:rPr>
                <w:rFonts w:ascii="Calibri" w:hAnsi="Calibri" w:cs="Calibri"/>
                <w:b/>
                <w:color w:val="FFFFFF"/>
                <w:lang w:val="es-GT"/>
              </w:rPr>
              <w:t>2002</w:t>
            </w:r>
          </w:p>
        </w:tc>
        <w:tc>
          <w:tcPr>
            <w:tcW w:w="948" w:type="dxa"/>
            <w:shd w:val="clear" w:color="auto" w:fill="365F91"/>
            <w:vAlign w:val="center"/>
          </w:tcPr>
          <w:p w:rsidR="00513D2C" w:rsidRPr="001A01AB" w:rsidRDefault="00513D2C" w:rsidP="008327B2">
            <w:pPr>
              <w:autoSpaceDE w:val="0"/>
              <w:autoSpaceDN w:val="0"/>
              <w:adjustRightInd w:val="0"/>
              <w:jc w:val="center"/>
              <w:rPr>
                <w:rFonts w:ascii="Calibri" w:hAnsi="Calibri" w:cs="Calibri"/>
                <w:b/>
                <w:color w:val="FFFFFF"/>
                <w:lang w:val="es-GT"/>
              </w:rPr>
            </w:pPr>
            <w:r w:rsidRPr="001A01AB">
              <w:rPr>
                <w:rFonts w:ascii="Calibri" w:hAnsi="Calibri" w:cs="Calibri"/>
                <w:b/>
                <w:color w:val="FFFFFF"/>
                <w:lang w:val="es-GT"/>
              </w:rPr>
              <w:t>2003</w:t>
            </w:r>
          </w:p>
        </w:tc>
        <w:tc>
          <w:tcPr>
            <w:tcW w:w="947" w:type="dxa"/>
            <w:shd w:val="clear" w:color="auto" w:fill="365F91"/>
            <w:vAlign w:val="center"/>
          </w:tcPr>
          <w:p w:rsidR="00513D2C" w:rsidRPr="001A01AB" w:rsidRDefault="00513D2C" w:rsidP="008327B2">
            <w:pPr>
              <w:autoSpaceDE w:val="0"/>
              <w:autoSpaceDN w:val="0"/>
              <w:adjustRightInd w:val="0"/>
              <w:jc w:val="center"/>
              <w:rPr>
                <w:rFonts w:ascii="Calibri" w:hAnsi="Calibri" w:cs="Calibri"/>
                <w:b/>
                <w:color w:val="FFFFFF"/>
                <w:lang w:val="es-GT"/>
              </w:rPr>
            </w:pPr>
            <w:r w:rsidRPr="001A01AB">
              <w:rPr>
                <w:rFonts w:ascii="Calibri" w:hAnsi="Calibri" w:cs="Calibri"/>
                <w:b/>
                <w:color w:val="FFFFFF"/>
                <w:lang w:val="es-GT"/>
              </w:rPr>
              <w:t>2004</w:t>
            </w:r>
          </w:p>
        </w:tc>
        <w:tc>
          <w:tcPr>
            <w:tcW w:w="948" w:type="dxa"/>
            <w:shd w:val="clear" w:color="auto" w:fill="365F91"/>
            <w:vAlign w:val="center"/>
          </w:tcPr>
          <w:p w:rsidR="00513D2C" w:rsidRPr="001A01AB" w:rsidRDefault="00513D2C" w:rsidP="008327B2">
            <w:pPr>
              <w:autoSpaceDE w:val="0"/>
              <w:autoSpaceDN w:val="0"/>
              <w:adjustRightInd w:val="0"/>
              <w:jc w:val="center"/>
              <w:rPr>
                <w:rFonts w:ascii="Calibri" w:hAnsi="Calibri" w:cs="Calibri"/>
                <w:b/>
                <w:color w:val="FFFFFF"/>
                <w:lang w:val="es-GT"/>
              </w:rPr>
            </w:pPr>
            <w:r w:rsidRPr="001A01AB">
              <w:rPr>
                <w:rFonts w:ascii="Calibri" w:hAnsi="Calibri" w:cs="Calibri"/>
                <w:b/>
                <w:color w:val="FFFFFF"/>
                <w:lang w:val="es-GT"/>
              </w:rPr>
              <w:t>2005</w:t>
            </w:r>
          </w:p>
        </w:tc>
        <w:tc>
          <w:tcPr>
            <w:tcW w:w="947" w:type="dxa"/>
            <w:shd w:val="clear" w:color="auto" w:fill="365F91"/>
            <w:vAlign w:val="center"/>
          </w:tcPr>
          <w:p w:rsidR="00513D2C" w:rsidRPr="001A01AB" w:rsidRDefault="00513D2C" w:rsidP="008327B2">
            <w:pPr>
              <w:autoSpaceDE w:val="0"/>
              <w:autoSpaceDN w:val="0"/>
              <w:adjustRightInd w:val="0"/>
              <w:jc w:val="center"/>
              <w:rPr>
                <w:rFonts w:ascii="Calibri" w:hAnsi="Calibri" w:cs="Calibri"/>
                <w:b/>
                <w:color w:val="FFFFFF"/>
                <w:lang w:val="es-GT"/>
              </w:rPr>
            </w:pPr>
            <w:r w:rsidRPr="001A01AB">
              <w:rPr>
                <w:rFonts w:ascii="Calibri" w:hAnsi="Calibri" w:cs="Calibri"/>
                <w:b/>
                <w:color w:val="FFFFFF"/>
                <w:lang w:val="es-GT"/>
              </w:rPr>
              <w:t>2006</w:t>
            </w:r>
          </w:p>
        </w:tc>
        <w:tc>
          <w:tcPr>
            <w:tcW w:w="948" w:type="dxa"/>
            <w:shd w:val="clear" w:color="auto" w:fill="365F91"/>
            <w:vAlign w:val="center"/>
          </w:tcPr>
          <w:p w:rsidR="00513D2C" w:rsidRPr="001A01AB" w:rsidRDefault="00513D2C" w:rsidP="008327B2">
            <w:pPr>
              <w:autoSpaceDE w:val="0"/>
              <w:autoSpaceDN w:val="0"/>
              <w:adjustRightInd w:val="0"/>
              <w:jc w:val="center"/>
              <w:rPr>
                <w:rFonts w:ascii="Calibri" w:hAnsi="Calibri" w:cs="Calibri"/>
                <w:b/>
                <w:color w:val="FFFFFF"/>
                <w:lang w:val="es-GT"/>
              </w:rPr>
            </w:pPr>
            <w:r w:rsidRPr="001A01AB">
              <w:rPr>
                <w:rFonts w:ascii="Calibri" w:hAnsi="Calibri" w:cs="Calibri"/>
                <w:b/>
                <w:color w:val="FFFFFF"/>
                <w:lang w:val="es-GT"/>
              </w:rPr>
              <w:t>2007</w:t>
            </w:r>
            <w:r w:rsidRPr="001A01AB">
              <w:rPr>
                <w:rFonts w:ascii="Calibri" w:hAnsi="Calibri" w:cs="Calibri"/>
                <w:b/>
                <w:color w:val="FFFFFF"/>
                <w:vertAlign w:val="superscript"/>
                <w:lang w:val="es-GT"/>
              </w:rPr>
              <w:t>a</w:t>
            </w:r>
          </w:p>
        </w:tc>
        <w:tc>
          <w:tcPr>
            <w:tcW w:w="948" w:type="dxa"/>
            <w:shd w:val="clear" w:color="auto" w:fill="365F91"/>
            <w:vAlign w:val="center"/>
          </w:tcPr>
          <w:p w:rsidR="00513D2C" w:rsidRPr="001A01AB" w:rsidRDefault="00513D2C" w:rsidP="008327B2">
            <w:pPr>
              <w:autoSpaceDE w:val="0"/>
              <w:autoSpaceDN w:val="0"/>
              <w:adjustRightInd w:val="0"/>
              <w:jc w:val="center"/>
              <w:rPr>
                <w:rFonts w:ascii="Calibri" w:hAnsi="Calibri" w:cs="Calibri"/>
                <w:b/>
                <w:color w:val="FFFFFF"/>
                <w:lang w:val="es-GT"/>
              </w:rPr>
            </w:pPr>
            <w:r w:rsidRPr="001A01AB">
              <w:rPr>
                <w:rFonts w:ascii="Calibri" w:hAnsi="Calibri" w:cs="Calibri"/>
                <w:b/>
                <w:color w:val="FFFFFF"/>
                <w:lang w:val="es-GT"/>
              </w:rPr>
              <w:t>2008</w:t>
            </w:r>
            <w:r w:rsidRPr="001A01AB">
              <w:rPr>
                <w:rFonts w:ascii="Calibri" w:hAnsi="Calibri" w:cs="Calibri"/>
                <w:b/>
                <w:color w:val="FFFFFF"/>
                <w:vertAlign w:val="superscript"/>
                <w:lang w:val="es-GT"/>
              </w:rPr>
              <w:t>a</w:t>
            </w:r>
          </w:p>
        </w:tc>
      </w:tr>
      <w:tr w:rsidR="008327B2" w:rsidRPr="004C77F8" w:rsidTr="008327B2">
        <w:trPr>
          <w:jc w:val="center"/>
        </w:trPr>
        <w:tc>
          <w:tcPr>
            <w:tcW w:w="2244" w:type="dxa"/>
            <w:vAlign w:val="center"/>
          </w:tcPr>
          <w:p w:rsidR="008327B2" w:rsidRPr="001A01AB" w:rsidRDefault="008327B2" w:rsidP="008327B2">
            <w:pPr>
              <w:autoSpaceDE w:val="0"/>
              <w:autoSpaceDN w:val="0"/>
              <w:adjustRightInd w:val="0"/>
              <w:rPr>
                <w:rFonts w:ascii="Calibri" w:hAnsi="Calibri" w:cs="Calibri"/>
                <w:lang w:val="es-GT"/>
              </w:rPr>
            </w:pPr>
            <w:r w:rsidRPr="001A01AB">
              <w:rPr>
                <w:rFonts w:ascii="Calibri" w:hAnsi="Calibri" w:cs="Calibri"/>
                <w:lang w:val="es-GT"/>
              </w:rPr>
              <w:t>PIB agropecuario / PIB total</w:t>
            </w:r>
          </w:p>
        </w:tc>
        <w:tc>
          <w:tcPr>
            <w:tcW w:w="947"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14.1</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14.1</w:t>
            </w:r>
          </w:p>
        </w:tc>
        <w:tc>
          <w:tcPr>
            <w:tcW w:w="947"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14.3</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14.1</w:t>
            </w:r>
          </w:p>
        </w:tc>
        <w:tc>
          <w:tcPr>
            <w:tcW w:w="947"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13.6</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13.5</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13.3</w:t>
            </w:r>
          </w:p>
        </w:tc>
      </w:tr>
      <w:tr w:rsidR="008327B2" w:rsidRPr="00F87CDF" w:rsidTr="008327B2">
        <w:trPr>
          <w:jc w:val="center"/>
        </w:trPr>
        <w:tc>
          <w:tcPr>
            <w:tcW w:w="2244" w:type="dxa"/>
            <w:vAlign w:val="center"/>
          </w:tcPr>
          <w:p w:rsidR="008327B2" w:rsidRPr="001A01AB" w:rsidRDefault="008327B2" w:rsidP="008327B2">
            <w:pPr>
              <w:autoSpaceDE w:val="0"/>
              <w:autoSpaceDN w:val="0"/>
              <w:adjustRightInd w:val="0"/>
              <w:rPr>
                <w:rFonts w:ascii="Calibri" w:hAnsi="Calibri" w:cs="Calibri"/>
                <w:lang w:val="es-GT"/>
              </w:rPr>
            </w:pPr>
            <w:r w:rsidRPr="001A01AB">
              <w:rPr>
                <w:rFonts w:ascii="Calibri" w:hAnsi="Calibri" w:cs="Calibri"/>
                <w:lang w:val="es-GT"/>
              </w:rPr>
              <w:t>PIB agroindustrial / PIB total</w:t>
            </w:r>
          </w:p>
        </w:tc>
        <w:tc>
          <w:tcPr>
            <w:tcW w:w="947"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8.0</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8.1</w:t>
            </w:r>
          </w:p>
        </w:tc>
        <w:tc>
          <w:tcPr>
            <w:tcW w:w="947"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8.0</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8.0</w:t>
            </w:r>
          </w:p>
        </w:tc>
        <w:tc>
          <w:tcPr>
            <w:tcW w:w="947"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7.8</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7.6</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7.6</w:t>
            </w:r>
          </w:p>
        </w:tc>
      </w:tr>
      <w:tr w:rsidR="008327B2" w:rsidRPr="00F87CDF" w:rsidTr="008327B2">
        <w:trPr>
          <w:jc w:val="center"/>
        </w:trPr>
        <w:tc>
          <w:tcPr>
            <w:tcW w:w="2244" w:type="dxa"/>
            <w:vAlign w:val="center"/>
          </w:tcPr>
          <w:p w:rsidR="008327B2" w:rsidRPr="001A01AB" w:rsidRDefault="008327B2" w:rsidP="008327B2">
            <w:pPr>
              <w:autoSpaceDE w:val="0"/>
              <w:autoSpaceDN w:val="0"/>
              <w:adjustRightInd w:val="0"/>
              <w:rPr>
                <w:rFonts w:ascii="Calibri" w:hAnsi="Calibri" w:cs="Calibri"/>
                <w:lang w:val="es-GT"/>
              </w:rPr>
            </w:pPr>
            <w:r w:rsidRPr="001A01AB">
              <w:rPr>
                <w:rFonts w:ascii="Calibri" w:hAnsi="Calibri" w:cs="Calibri"/>
                <w:lang w:val="es-GT"/>
              </w:rPr>
              <w:t>PIBA ampliado / PIB total</w:t>
            </w:r>
          </w:p>
        </w:tc>
        <w:tc>
          <w:tcPr>
            <w:tcW w:w="947"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22.2</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22.2</w:t>
            </w:r>
          </w:p>
        </w:tc>
        <w:tc>
          <w:tcPr>
            <w:tcW w:w="947"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22.3</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22.1</w:t>
            </w:r>
          </w:p>
        </w:tc>
        <w:tc>
          <w:tcPr>
            <w:tcW w:w="947"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21.4</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21.2</w:t>
            </w:r>
          </w:p>
        </w:tc>
        <w:tc>
          <w:tcPr>
            <w:tcW w:w="948" w:type="dxa"/>
            <w:vAlign w:val="center"/>
          </w:tcPr>
          <w:p w:rsidR="008327B2" w:rsidRPr="001A01AB" w:rsidRDefault="008327B2" w:rsidP="008327B2">
            <w:pPr>
              <w:autoSpaceDE w:val="0"/>
              <w:autoSpaceDN w:val="0"/>
              <w:adjustRightInd w:val="0"/>
              <w:jc w:val="center"/>
              <w:rPr>
                <w:rFonts w:ascii="Calibri" w:hAnsi="Calibri" w:cs="Calibri"/>
                <w:lang w:val="es-GT"/>
              </w:rPr>
            </w:pPr>
            <w:r w:rsidRPr="001A01AB">
              <w:rPr>
                <w:rFonts w:ascii="Calibri" w:hAnsi="Calibri" w:cs="Calibri"/>
                <w:lang w:val="es-GT"/>
              </w:rPr>
              <w:t>20.8</w:t>
            </w:r>
          </w:p>
        </w:tc>
      </w:tr>
    </w:tbl>
    <w:p w:rsidR="008327B2" w:rsidRPr="001A01AB" w:rsidRDefault="008327B2" w:rsidP="008327B2">
      <w:pPr>
        <w:autoSpaceDE w:val="0"/>
        <w:autoSpaceDN w:val="0"/>
        <w:adjustRightInd w:val="0"/>
        <w:ind w:right="288"/>
        <w:jc w:val="right"/>
        <w:rPr>
          <w:rFonts w:ascii="Calibri" w:hAnsi="Calibri" w:cs="Calibri"/>
          <w:sz w:val="20"/>
          <w:lang w:val="es-GT"/>
        </w:rPr>
      </w:pPr>
      <w:r w:rsidRPr="001A01AB">
        <w:rPr>
          <w:rFonts w:ascii="Calibri" w:hAnsi="Calibri" w:cs="Calibri"/>
          <w:sz w:val="20"/>
          <w:lang w:val="es-GT"/>
        </w:rPr>
        <w:t xml:space="preserve">Fuente: </w:t>
      </w:r>
      <w:r w:rsidRPr="001A01AB">
        <w:rPr>
          <w:rFonts w:ascii="Calibri" w:hAnsi="Calibri" w:cs="Calibri"/>
          <w:sz w:val="20"/>
          <w:lang w:val="es-GT" w:eastAsia="es-GT"/>
        </w:rPr>
        <w:t>CEPAL</w:t>
      </w:r>
      <w:r w:rsidR="007057AF">
        <w:rPr>
          <w:rFonts w:ascii="Calibri" w:hAnsi="Calibri" w:cs="Calibri"/>
          <w:sz w:val="20"/>
          <w:lang w:val="es-GT" w:eastAsia="es-GT"/>
        </w:rPr>
        <w:t xml:space="preserve"> (</w:t>
      </w:r>
      <w:r w:rsidRPr="001A01AB">
        <w:rPr>
          <w:rFonts w:ascii="Calibri" w:hAnsi="Calibri" w:cs="Calibri"/>
          <w:sz w:val="20"/>
          <w:lang w:val="es-GT" w:eastAsia="es-GT"/>
        </w:rPr>
        <w:t>2010</w:t>
      </w:r>
      <w:r w:rsidR="007057AF">
        <w:rPr>
          <w:rFonts w:ascii="Calibri" w:hAnsi="Calibri" w:cs="Calibri"/>
          <w:sz w:val="20"/>
          <w:lang w:val="es-GT" w:eastAsia="es-GT"/>
        </w:rPr>
        <w:t>)</w:t>
      </w:r>
      <w:r w:rsidRPr="001A01AB">
        <w:rPr>
          <w:rFonts w:ascii="Calibri" w:hAnsi="Calibri" w:cs="Calibri"/>
          <w:sz w:val="20"/>
          <w:lang w:val="es-GT" w:eastAsia="es-GT"/>
        </w:rPr>
        <w:t>.</w:t>
      </w:r>
    </w:p>
    <w:p w:rsidR="008327B2" w:rsidRPr="00513D2C" w:rsidRDefault="00513D2C" w:rsidP="008327B2">
      <w:pPr>
        <w:autoSpaceDE w:val="0"/>
        <w:autoSpaceDN w:val="0"/>
        <w:adjustRightInd w:val="0"/>
        <w:jc w:val="both"/>
        <w:rPr>
          <w:rFonts w:ascii="Calibri" w:hAnsi="Calibri" w:cs="Calibri"/>
          <w:lang w:val="es-GT"/>
        </w:rPr>
      </w:pPr>
      <w:r w:rsidRPr="00513D2C">
        <w:rPr>
          <w:rFonts w:ascii="Calibri" w:hAnsi="Calibri" w:cs="Calibri"/>
          <w:highlight w:val="red"/>
          <w:lang w:val="es-GT"/>
        </w:rPr>
        <w:t>Falta significado de superíndice a, correspondiente a los años 2007 y 2008</w:t>
      </w:r>
    </w:p>
    <w:p w:rsidR="00513D2C" w:rsidRPr="001A01AB" w:rsidRDefault="00513D2C"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estimación de los costos futuros en el sector agropecuario oc</w:t>
      </w:r>
      <w:r w:rsidR="00513D2C">
        <w:rPr>
          <w:rFonts w:ascii="Calibri" w:hAnsi="Calibri" w:cs="Calibri"/>
          <w:lang w:val="es-GT"/>
        </w:rPr>
        <w:t>asionados por las variaciones de</w:t>
      </w:r>
      <w:r w:rsidRPr="001A01AB">
        <w:rPr>
          <w:rFonts w:ascii="Calibri" w:hAnsi="Calibri" w:cs="Calibri"/>
          <w:lang w:val="es-GT"/>
        </w:rPr>
        <w:t xml:space="preserve"> precipitación y temperatura, como consecuencia del cambio cli</w:t>
      </w:r>
      <w:r w:rsidR="00513D2C">
        <w:rPr>
          <w:rFonts w:ascii="Calibri" w:hAnsi="Calibri" w:cs="Calibri"/>
          <w:lang w:val="es-GT"/>
        </w:rPr>
        <w:t>mático, se realizaron con base en</w:t>
      </w:r>
      <w:r w:rsidRPr="001A01AB">
        <w:rPr>
          <w:rFonts w:ascii="Calibri" w:hAnsi="Calibri" w:cs="Calibri"/>
          <w:lang w:val="es-GT"/>
        </w:rPr>
        <w:t xml:space="preserve"> escenarios climáticos elaborados por el Grupo de Cambio Climático y Radiación Solar del Centro de Ciencias de la Atmósfera de la UNAM. Con estos escenarios se calcularon los costos, que se mantuvieron constantes a valores de 2005, a excepción de las variables climáticas, las que fueron modeladas. Este procedimiento tom</w:t>
      </w:r>
      <w:r w:rsidR="006D7016">
        <w:rPr>
          <w:rFonts w:ascii="Calibri" w:hAnsi="Calibri" w:cs="Calibri"/>
          <w:lang w:val="es-GT"/>
        </w:rPr>
        <w:t>ó</w:t>
      </w:r>
      <w:r w:rsidRPr="001A01AB">
        <w:rPr>
          <w:rFonts w:ascii="Calibri" w:hAnsi="Calibri" w:cs="Calibri"/>
          <w:lang w:val="es-GT"/>
        </w:rPr>
        <w:t xml:space="preserve"> el supuesto de la inexistencia de cambios tecnológicos y de adaptación ante los efectos del cambio climático por parte de los agricultores.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Estas estimaciones consideraron d</w:t>
      </w:r>
      <w:r w:rsidR="006D7016">
        <w:rPr>
          <w:rFonts w:ascii="Calibri" w:hAnsi="Calibri" w:cs="Calibri"/>
          <w:lang w:val="es-GT"/>
        </w:rPr>
        <w:t>iferentes tasas de descuento (0.</w:t>
      </w:r>
      <w:r w:rsidRPr="001A01AB">
        <w:rPr>
          <w:rFonts w:ascii="Calibri" w:hAnsi="Calibri" w:cs="Calibri"/>
          <w:lang w:val="es-GT"/>
        </w:rPr>
        <w:t>5%, 2%, 4% y 8%), distintos horizontes temporales y los escenarios A2 y B2. La derivación de los modelos d</w:t>
      </w:r>
      <w:r w:rsidR="006D7016">
        <w:rPr>
          <w:rFonts w:ascii="Calibri" w:hAnsi="Calibri" w:cs="Calibri"/>
          <w:lang w:val="es-GT"/>
        </w:rPr>
        <w:t>e funciones de producción mostró</w:t>
      </w:r>
      <w:r w:rsidRPr="001A01AB">
        <w:rPr>
          <w:rFonts w:ascii="Calibri" w:hAnsi="Calibri" w:cs="Calibri"/>
          <w:lang w:val="es-GT"/>
        </w:rPr>
        <w:t xml:space="preserve"> las pérdidas económicas ocasionad</w:t>
      </w:r>
      <w:r w:rsidR="006D7016">
        <w:rPr>
          <w:rFonts w:ascii="Calibri" w:hAnsi="Calibri" w:cs="Calibri"/>
          <w:lang w:val="es-GT"/>
        </w:rPr>
        <w:t>as por el cambio climático. El Cuadro 3</w:t>
      </w:r>
      <w:r w:rsidR="004C77F8">
        <w:rPr>
          <w:rFonts w:ascii="Calibri" w:hAnsi="Calibri" w:cs="Calibri"/>
          <w:lang w:val="es-GT"/>
        </w:rPr>
        <w:t>5</w:t>
      </w:r>
      <w:r w:rsidRPr="001A01AB">
        <w:rPr>
          <w:rFonts w:ascii="Calibri" w:hAnsi="Calibri" w:cs="Calibri"/>
          <w:lang w:val="es-GT"/>
        </w:rPr>
        <w:t xml:space="preserve"> presenta las estimaciones de los impactos económicos. </w:t>
      </w:r>
    </w:p>
    <w:p w:rsidR="008327B2" w:rsidRPr="001A01AB" w:rsidRDefault="008327B2" w:rsidP="008327B2">
      <w:pPr>
        <w:autoSpaceDE w:val="0"/>
        <w:autoSpaceDN w:val="0"/>
        <w:adjustRightInd w:val="0"/>
        <w:jc w:val="both"/>
        <w:rPr>
          <w:rFonts w:ascii="Calibri" w:hAnsi="Calibri" w:cs="Calibri"/>
          <w:lang w:val="es-GT"/>
        </w:rPr>
      </w:pPr>
    </w:p>
    <w:p w:rsidR="007033AE" w:rsidRDefault="00C54ACC" w:rsidP="007033AE">
      <w:pPr>
        <w:pStyle w:val="Epgrafe"/>
        <w:jc w:val="center"/>
        <w:rPr>
          <w:rFonts w:asciiTheme="minorHAnsi" w:hAnsiTheme="minorHAnsi" w:cstheme="minorHAnsi"/>
          <w:color w:val="365F91" w:themeColor="accent1" w:themeShade="BF"/>
          <w:sz w:val="22"/>
          <w:szCs w:val="22"/>
          <w:lang w:val="es-GT"/>
        </w:rPr>
      </w:pPr>
      <w:bookmarkStart w:id="421" w:name="_Toc340032179"/>
      <w:bookmarkStart w:id="422" w:name="_Toc340034456"/>
      <w:bookmarkStart w:id="423" w:name="_Toc343164663"/>
      <w:bookmarkStart w:id="424" w:name="_Toc347841217"/>
      <w:r w:rsidRPr="007033AE">
        <w:rPr>
          <w:rFonts w:asciiTheme="minorHAnsi" w:hAnsiTheme="minorHAnsi" w:cstheme="minorHAnsi"/>
          <w:color w:val="365F91" w:themeColor="accent1" w:themeShade="BF"/>
          <w:sz w:val="22"/>
          <w:szCs w:val="22"/>
          <w:lang w:val="es-GT"/>
        </w:rPr>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35</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 xml:space="preserve">Impactos económicos </w:t>
      </w:r>
      <w:r w:rsidR="006D7016" w:rsidRPr="007033AE">
        <w:rPr>
          <w:rFonts w:asciiTheme="minorHAnsi" w:hAnsiTheme="minorHAnsi" w:cstheme="minorHAnsi"/>
          <w:color w:val="365F91" w:themeColor="accent1" w:themeShade="BF"/>
          <w:sz w:val="22"/>
          <w:szCs w:val="22"/>
          <w:lang w:val="es-GT"/>
        </w:rPr>
        <w:t>por</w:t>
      </w:r>
      <w:r w:rsidR="008327B2" w:rsidRPr="007033AE">
        <w:rPr>
          <w:rFonts w:asciiTheme="minorHAnsi" w:hAnsiTheme="minorHAnsi" w:cstheme="minorHAnsi"/>
          <w:color w:val="365F91" w:themeColor="accent1" w:themeShade="BF"/>
          <w:sz w:val="22"/>
          <w:szCs w:val="22"/>
          <w:lang w:val="es-GT"/>
        </w:rPr>
        <w:t xml:space="preserve"> cambios en precipitac</w:t>
      </w:r>
      <w:r w:rsidR="006D7016" w:rsidRPr="007033AE">
        <w:rPr>
          <w:rFonts w:asciiTheme="minorHAnsi" w:hAnsiTheme="minorHAnsi" w:cstheme="minorHAnsi"/>
          <w:color w:val="365F91" w:themeColor="accent1" w:themeShade="BF"/>
          <w:sz w:val="22"/>
          <w:szCs w:val="22"/>
          <w:lang w:val="es-GT"/>
        </w:rPr>
        <w:t>ión y temperatura en Guatemala.</w:t>
      </w:r>
      <w:bookmarkEnd w:id="424"/>
      <w:r w:rsidR="006D7016" w:rsidRPr="007033AE">
        <w:rPr>
          <w:rFonts w:asciiTheme="minorHAnsi" w:hAnsiTheme="minorHAnsi" w:cstheme="minorHAnsi"/>
          <w:color w:val="365F91" w:themeColor="accent1" w:themeShade="BF"/>
          <w:sz w:val="22"/>
          <w:szCs w:val="22"/>
          <w:lang w:val="es-GT"/>
        </w:rPr>
        <w:t xml:space="preserve"> </w:t>
      </w:r>
    </w:p>
    <w:p w:rsidR="008327B2" w:rsidRDefault="006D7016" w:rsidP="007033AE">
      <w:pPr>
        <w:pStyle w:val="Epgrafe"/>
        <w:jc w:val="center"/>
        <w:rPr>
          <w:rFonts w:asciiTheme="minorHAnsi" w:hAnsiTheme="minorHAnsi" w:cstheme="minorHAnsi"/>
          <w:color w:val="365F91" w:themeColor="accent1" w:themeShade="BF"/>
          <w:sz w:val="22"/>
          <w:szCs w:val="22"/>
          <w:lang w:val="es-GT"/>
        </w:rPr>
      </w:pPr>
      <w:r w:rsidRPr="007033AE">
        <w:rPr>
          <w:rFonts w:asciiTheme="minorHAnsi" w:hAnsiTheme="minorHAnsi" w:cstheme="minorHAnsi"/>
          <w:color w:val="365F91" w:themeColor="accent1" w:themeShade="BF"/>
          <w:sz w:val="22"/>
          <w:szCs w:val="22"/>
          <w:lang w:val="es-GT"/>
        </w:rPr>
        <w:t>Periodo 2020–</w:t>
      </w:r>
      <w:r w:rsidR="008327B2" w:rsidRPr="007033AE">
        <w:rPr>
          <w:rFonts w:asciiTheme="minorHAnsi" w:hAnsiTheme="minorHAnsi" w:cstheme="minorHAnsi"/>
          <w:color w:val="365F91" w:themeColor="accent1" w:themeShade="BF"/>
          <w:sz w:val="22"/>
          <w:szCs w:val="22"/>
          <w:lang w:val="es-GT"/>
        </w:rPr>
        <w:t>2100</w:t>
      </w:r>
      <w:bookmarkEnd w:id="421"/>
      <w:bookmarkEnd w:id="422"/>
      <w:bookmarkEnd w:id="423"/>
    </w:p>
    <w:p w:rsidR="007033AE" w:rsidRPr="007033AE" w:rsidRDefault="007033AE" w:rsidP="007033AE">
      <w:pPr>
        <w:rPr>
          <w:lang w:val="es-GT"/>
        </w:rPr>
      </w:pPr>
    </w:p>
    <w:tbl>
      <w:tblPr>
        <w:tblW w:w="9373" w:type="dxa"/>
        <w:tblInd w:w="57"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960"/>
        <w:gridCol w:w="934"/>
        <w:gridCol w:w="56"/>
        <w:gridCol w:w="879"/>
        <w:gridCol w:w="81"/>
        <w:gridCol w:w="854"/>
        <w:gridCol w:w="106"/>
        <w:gridCol w:w="829"/>
        <w:gridCol w:w="131"/>
        <w:gridCol w:w="803"/>
        <w:gridCol w:w="157"/>
        <w:gridCol w:w="778"/>
        <w:gridCol w:w="182"/>
        <w:gridCol w:w="753"/>
        <w:gridCol w:w="207"/>
        <w:gridCol w:w="728"/>
        <w:gridCol w:w="232"/>
        <w:gridCol w:w="703"/>
      </w:tblGrid>
      <w:tr w:rsidR="008327B2" w:rsidRPr="004C77F8" w:rsidTr="001A01AB">
        <w:trPr>
          <w:trHeight w:val="20"/>
          <w:tblHeader/>
        </w:trPr>
        <w:tc>
          <w:tcPr>
            <w:tcW w:w="960" w:type="dxa"/>
            <w:vMerge w:val="restart"/>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eastAsia="es-GT"/>
              </w:rPr>
              <w:t>Año</w:t>
            </w:r>
          </w:p>
        </w:tc>
        <w:tc>
          <w:tcPr>
            <w:tcW w:w="3870" w:type="dxa"/>
            <w:gridSpan w:val="8"/>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Escenario A2</w:t>
            </w:r>
          </w:p>
        </w:tc>
        <w:tc>
          <w:tcPr>
            <w:tcW w:w="960" w:type="dxa"/>
            <w:gridSpan w:val="2"/>
            <w:vMerge w:val="restart"/>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eastAsia="es-GT"/>
              </w:rPr>
              <w:t>Año</w:t>
            </w:r>
          </w:p>
        </w:tc>
        <w:tc>
          <w:tcPr>
            <w:tcW w:w="3583" w:type="dxa"/>
            <w:gridSpan w:val="7"/>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Escenario B2</w:t>
            </w:r>
          </w:p>
        </w:tc>
      </w:tr>
      <w:tr w:rsidR="008327B2" w:rsidRPr="004C77F8" w:rsidTr="001A01AB">
        <w:trPr>
          <w:trHeight w:val="20"/>
          <w:tblHeader/>
        </w:trPr>
        <w:tc>
          <w:tcPr>
            <w:tcW w:w="960" w:type="dxa"/>
            <w:vMerge/>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p>
        </w:tc>
        <w:tc>
          <w:tcPr>
            <w:tcW w:w="3870" w:type="dxa"/>
            <w:gridSpan w:val="8"/>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Tasa de descuento (r)</w:t>
            </w:r>
          </w:p>
        </w:tc>
        <w:tc>
          <w:tcPr>
            <w:tcW w:w="960" w:type="dxa"/>
            <w:gridSpan w:val="2"/>
            <w:vMerge/>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p>
        </w:tc>
        <w:tc>
          <w:tcPr>
            <w:tcW w:w="3583" w:type="dxa"/>
            <w:gridSpan w:val="7"/>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Tasa de descuento (r)</w:t>
            </w:r>
          </w:p>
        </w:tc>
      </w:tr>
      <w:tr w:rsidR="008327B2" w:rsidRPr="004C77F8" w:rsidTr="001A01AB">
        <w:trPr>
          <w:trHeight w:val="20"/>
          <w:tblHeader/>
        </w:trPr>
        <w:tc>
          <w:tcPr>
            <w:tcW w:w="960" w:type="dxa"/>
            <w:vMerge/>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p>
        </w:tc>
        <w:tc>
          <w:tcPr>
            <w:tcW w:w="990" w:type="dxa"/>
            <w:gridSpan w:val="2"/>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0.005</w:t>
            </w:r>
          </w:p>
        </w:tc>
        <w:tc>
          <w:tcPr>
            <w:tcW w:w="960" w:type="dxa"/>
            <w:gridSpan w:val="2"/>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0.02</w:t>
            </w:r>
          </w:p>
        </w:tc>
        <w:tc>
          <w:tcPr>
            <w:tcW w:w="960" w:type="dxa"/>
            <w:gridSpan w:val="2"/>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0.04</w:t>
            </w:r>
          </w:p>
        </w:tc>
        <w:tc>
          <w:tcPr>
            <w:tcW w:w="960" w:type="dxa"/>
            <w:gridSpan w:val="2"/>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0.08</w:t>
            </w:r>
          </w:p>
        </w:tc>
        <w:tc>
          <w:tcPr>
            <w:tcW w:w="960" w:type="dxa"/>
            <w:gridSpan w:val="2"/>
            <w:vMerge/>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p>
        </w:tc>
        <w:tc>
          <w:tcPr>
            <w:tcW w:w="960" w:type="dxa"/>
            <w:gridSpan w:val="2"/>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0.005</w:t>
            </w:r>
          </w:p>
        </w:tc>
        <w:tc>
          <w:tcPr>
            <w:tcW w:w="960" w:type="dxa"/>
            <w:gridSpan w:val="2"/>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0.02</w:t>
            </w:r>
          </w:p>
        </w:tc>
        <w:tc>
          <w:tcPr>
            <w:tcW w:w="960" w:type="dxa"/>
            <w:gridSpan w:val="2"/>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0.04</w:t>
            </w:r>
          </w:p>
        </w:tc>
        <w:tc>
          <w:tcPr>
            <w:tcW w:w="703" w:type="dxa"/>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3"/>
                <w:szCs w:val="23"/>
                <w:lang w:val="es-GT"/>
              </w:rPr>
            </w:pPr>
            <w:r w:rsidRPr="001A01AB">
              <w:rPr>
                <w:rFonts w:ascii="Calibri" w:hAnsi="Calibri" w:cs="Calibri"/>
                <w:color w:val="FFFFFF"/>
                <w:sz w:val="23"/>
                <w:szCs w:val="23"/>
                <w:lang w:val="es-GT"/>
              </w:rPr>
              <w:t>0.08</w:t>
            </w:r>
          </w:p>
        </w:tc>
      </w:tr>
      <w:tr w:rsidR="008327B2" w:rsidRPr="00DD3CB1" w:rsidTr="006D7016">
        <w:trPr>
          <w:trHeight w:val="20"/>
        </w:trPr>
        <w:tc>
          <w:tcPr>
            <w:tcW w:w="9373" w:type="dxa"/>
            <w:gridSpan w:val="18"/>
            <w:tcBorders>
              <w:bottom w:val="dotted" w:sz="4" w:space="0" w:color="auto"/>
            </w:tcBorders>
            <w:shd w:val="clear" w:color="auto" w:fill="DBE5F1" w:themeFill="accent1" w:themeFillTint="33"/>
            <w:noWrap/>
            <w:vAlign w:val="bottom"/>
            <w:hideMark/>
          </w:tcPr>
          <w:p w:rsidR="008327B2" w:rsidRPr="001A01AB" w:rsidRDefault="008327B2" w:rsidP="008327B2">
            <w:pPr>
              <w:jc w:val="both"/>
              <w:rPr>
                <w:rFonts w:ascii="Calibri" w:hAnsi="Calibri" w:cs="Calibri"/>
                <w:b/>
                <w:color w:val="365F91"/>
                <w:sz w:val="23"/>
                <w:szCs w:val="23"/>
                <w:lang w:val="es-GT"/>
              </w:rPr>
            </w:pPr>
            <w:r w:rsidRPr="001A01AB">
              <w:rPr>
                <w:rFonts w:ascii="Calibri" w:hAnsi="Calibri" w:cs="Calibri"/>
                <w:b/>
                <w:color w:val="365F91"/>
                <w:sz w:val="23"/>
                <w:szCs w:val="23"/>
                <w:lang w:val="es-GT"/>
              </w:rPr>
              <w:t>Producción agropecuaria</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color w:val="000000"/>
                <w:sz w:val="23"/>
                <w:szCs w:val="23"/>
                <w:lang w:val="es-GT"/>
              </w:rPr>
            </w:pPr>
            <w:r w:rsidRPr="001A01AB">
              <w:rPr>
                <w:rFonts w:ascii="Calibri" w:hAnsi="Calibri" w:cs="Calibri"/>
                <w:color w:val="000000"/>
                <w:sz w:val="23"/>
                <w:szCs w:val="23"/>
                <w:lang w:val="es-GT"/>
              </w:rPr>
              <w:t>2020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-0.01</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0.01</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0.03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0.07</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2020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-0.49</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-0.45</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-0.4</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-0.32</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color w:val="000000"/>
                <w:sz w:val="23"/>
                <w:szCs w:val="23"/>
                <w:lang w:val="es-GT"/>
              </w:rPr>
            </w:pPr>
            <w:r w:rsidRPr="001A01AB">
              <w:rPr>
                <w:rFonts w:ascii="Calibri" w:hAnsi="Calibri" w:cs="Calibri"/>
                <w:color w:val="000000"/>
                <w:sz w:val="23"/>
                <w:szCs w:val="23"/>
                <w:lang w:val="es-GT"/>
              </w:rPr>
              <w:t>2030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-0.13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-0.07</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-0.02</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0.05</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2030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-0.93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-0.78</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-0.62</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-0.43</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color w:val="000000"/>
                <w:sz w:val="23"/>
                <w:szCs w:val="23"/>
                <w:lang w:val="es-GT"/>
              </w:rPr>
            </w:pPr>
            <w:r w:rsidRPr="001A01AB">
              <w:rPr>
                <w:rFonts w:ascii="Calibri" w:hAnsi="Calibri" w:cs="Calibri"/>
                <w:color w:val="000000"/>
                <w:sz w:val="23"/>
                <w:szCs w:val="23"/>
                <w:lang w:val="es-GT"/>
              </w:rPr>
              <w:t>2050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2.32</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1.3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0.63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0.2</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2050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-1.3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-1.01</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-0.76</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-0.47</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color w:val="000000"/>
                <w:sz w:val="23"/>
                <w:szCs w:val="23"/>
                <w:lang w:val="es-GT"/>
              </w:rPr>
            </w:pPr>
            <w:r w:rsidRPr="001A01AB">
              <w:rPr>
                <w:rFonts w:ascii="Calibri" w:hAnsi="Calibri" w:cs="Calibri"/>
                <w:color w:val="000000"/>
                <w:sz w:val="23"/>
                <w:szCs w:val="23"/>
                <w:lang w:val="es-GT"/>
              </w:rPr>
              <w:t>2070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10.48</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4.83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1.82</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0.35</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2070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1.35</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0.13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-0.37</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-0.43</w:t>
            </w:r>
          </w:p>
        </w:tc>
      </w:tr>
      <w:tr w:rsidR="008327B2" w:rsidRPr="00DD3CB1" w:rsidTr="008327B2">
        <w:trPr>
          <w:trHeight w:val="20"/>
        </w:trPr>
        <w:tc>
          <w:tcPr>
            <w:tcW w:w="960"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color w:val="000000"/>
                <w:sz w:val="23"/>
                <w:szCs w:val="23"/>
                <w:lang w:val="es-GT"/>
              </w:rPr>
            </w:pPr>
            <w:r w:rsidRPr="001A01AB">
              <w:rPr>
                <w:rFonts w:ascii="Calibri" w:hAnsi="Calibri" w:cs="Calibri"/>
                <w:color w:val="000000"/>
                <w:sz w:val="23"/>
                <w:szCs w:val="23"/>
                <w:lang w:val="es-GT"/>
              </w:rPr>
              <w:t>2100</w:t>
            </w:r>
          </w:p>
        </w:tc>
        <w:tc>
          <w:tcPr>
            <w:tcW w:w="934" w:type="dxa"/>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57.51</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18.77</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4.71</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0.5</w:t>
            </w:r>
          </w:p>
        </w:tc>
        <w:tc>
          <w:tcPr>
            <w:tcW w:w="934"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2100</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13.85</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3.93</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0.45</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color w:val="000000"/>
                <w:sz w:val="23"/>
                <w:szCs w:val="23"/>
                <w:lang w:val="es-GT"/>
              </w:rPr>
            </w:pPr>
            <w:r w:rsidRPr="001A01AB">
              <w:rPr>
                <w:rFonts w:ascii="Calibri" w:hAnsi="Calibri" w:cs="Calibri"/>
                <w:color w:val="000000"/>
                <w:sz w:val="23"/>
                <w:szCs w:val="23"/>
                <w:lang w:val="es-GT"/>
              </w:rPr>
              <w:t>-0.38</w:t>
            </w:r>
          </w:p>
        </w:tc>
      </w:tr>
      <w:tr w:rsidR="008327B2" w:rsidRPr="00DD3CB1" w:rsidTr="006D7016">
        <w:trPr>
          <w:trHeight w:val="20"/>
        </w:trPr>
        <w:tc>
          <w:tcPr>
            <w:tcW w:w="9373" w:type="dxa"/>
            <w:gridSpan w:val="18"/>
            <w:tcBorders>
              <w:bottom w:val="dotted" w:sz="4" w:space="0" w:color="auto"/>
            </w:tcBorders>
            <w:shd w:val="clear" w:color="auto" w:fill="DBE5F1" w:themeFill="accent1" w:themeFillTint="33"/>
            <w:noWrap/>
            <w:vAlign w:val="bottom"/>
            <w:hideMark/>
          </w:tcPr>
          <w:p w:rsidR="008327B2" w:rsidRPr="001A01AB" w:rsidRDefault="008327B2" w:rsidP="008327B2">
            <w:pPr>
              <w:jc w:val="both"/>
              <w:rPr>
                <w:rFonts w:ascii="Calibri" w:hAnsi="Calibri" w:cs="Calibri"/>
                <w:b/>
                <w:color w:val="365F91"/>
                <w:sz w:val="23"/>
                <w:szCs w:val="23"/>
                <w:lang w:val="es-GT"/>
              </w:rPr>
            </w:pPr>
            <w:r w:rsidRPr="001A01AB">
              <w:rPr>
                <w:rFonts w:ascii="Calibri" w:hAnsi="Calibri" w:cs="Calibri"/>
                <w:b/>
                <w:color w:val="365F91"/>
                <w:sz w:val="23"/>
                <w:szCs w:val="23"/>
                <w:lang w:val="es-GT"/>
              </w:rPr>
              <w:t>Producción de cultivos</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3"/>
                <w:szCs w:val="23"/>
                <w:lang w:val="es-GT"/>
              </w:rPr>
            </w:pPr>
            <w:r w:rsidRPr="001A01AB">
              <w:rPr>
                <w:rFonts w:ascii="Calibri" w:hAnsi="Calibri" w:cs="Calibri"/>
                <w:sz w:val="23"/>
                <w:szCs w:val="23"/>
                <w:lang w:val="es-GT"/>
              </w:rPr>
              <w:t>2020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-0.47</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-0.39</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-0.31</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-0.19</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2020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-0.77</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-0.45</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-0.4</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-0.51</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3"/>
                <w:szCs w:val="23"/>
                <w:lang w:val="es-GT"/>
              </w:rPr>
            </w:pPr>
            <w:r w:rsidRPr="001A01AB">
              <w:rPr>
                <w:rFonts w:ascii="Calibri" w:hAnsi="Calibri" w:cs="Calibri"/>
                <w:sz w:val="23"/>
                <w:szCs w:val="23"/>
                <w:lang w:val="es-GT"/>
              </w:rPr>
              <w:t>2030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-0.93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-0.73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-0.53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-0.29</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2030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-1.44</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-0.78</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-0.62</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-0.67</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3"/>
                <w:szCs w:val="23"/>
                <w:lang w:val="es-GT"/>
              </w:rPr>
            </w:pPr>
            <w:r w:rsidRPr="001A01AB">
              <w:rPr>
                <w:rFonts w:ascii="Calibri" w:hAnsi="Calibri" w:cs="Calibri"/>
                <w:sz w:val="23"/>
                <w:szCs w:val="23"/>
                <w:lang w:val="es-GT"/>
              </w:rPr>
              <w:t>2050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-0.15</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-0.34</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-0.38</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-0.27</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2050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-2.74</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-1.01</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-0.76</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-0.8</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3"/>
                <w:szCs w:val="23"/>
                <w:lang w:val="es-GT"/>
              </w:rPr>
            </w:pPr>
            <w:r w:rsidRPr="001A01AB">
              <w:rPr>
                <w:rFonts w:ascii="Calibri" w:hAnsi="Calibri" w:cs="Calibri"/>
                <w:sz w:val="23"/>
                <w:szCs w:val="23"/>
                <w:lang w:val="es-GT"/>
              </w:rPr>
              <w:t>2070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5.09</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1.9</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0.36</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-0.18</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2070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-1.79</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-0.37</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-0.79</w:t>
            </w:r>
          </w:p>
        </w:tc>
      </w:tr>
      <w:tr w:rsidR="008327B2" w:rsidRPr="00DD3CB1" w:rsidTr="008327B2">
        <w:trPr>
          <w:trHeight w:val="20"/>
        </w:trPr>
        <w:tc>
          <w:tcPr>
            <w:tcW w:w="960"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3"/>
                <w:szCs w:val="23"/>
                <w:lang w:val="es-GT"/>
              </w:rPr>
            </w:pPr>
            <w:r w:rsidRPr="001A01AB">
              <w:rPr>
                <w:rFonts w:ascii="Calibri" w:hAnsi="Calibri" w:cs="Calibri"/>
                <w:sz w:val="23"/>
                <w:szCs w:val="23"/>
                <w:lang w:val="es-GT"/>
              </w:rPr>
              <w:lastRenderedPageBreak/>
              <w:t>2100</w:t>
            </w:r>
          </w:p>
        </w:tc>
        <w:tc>
          <w:tcPr>
            <w:tcW w:w="934" w:type="dxa"/>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43.92</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13.36</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2.73</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-0.06</w:t>
            </w:r>
          </w:p>
        </w:tc>
        <w:tc>
          <w:tcPr>
            <w:tcW w:w="934"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2100</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6.58</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3.93</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0.45</w:t>
            </w:r>
          </w:p>
        </w:tc>
        <w:tc>
          <w:tcPr>
            <w:tcW w:w="935" w:type="dxa"/>
            <w:gridSpan w:val="2"/>
            <w:tcBorders>
              <w:top w:val="dotted" w:sz="4" w:space="0" w:color="auto"/>
              <w:bottom w:val="single"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-0.76</w:t>
            </w:r>
          </w:p>
        </w:tc>
      </w:tr>
      <w:tr w:rsidR="008327B2" w:rsidRPr="00DD3CB1" w:rsidTr="006D7016">
        <w:trPr>
          <w:trHeight w:val="20"/>
        </w:trPr>
        <w:tc>
          <w:tcPr>
            <w:tcW w:w="9373" w:type="dxa"/>
            <w:gridSpan w:val="18"/>
            <w:tcBorders>
              <w:bottom w:val="dotted" w:sz="4" w:space="0" w:color="auto"/>
            </w:tcBorders>
            <w:shd w:val="clear" w:color="auto" w:fill="DBE5F1" w:themeFill="accent1" w:themeFillTint="33"/>
            <w:noWrap/>
            <w:vAlign w:val="bottom"/>
            <w:hideMark/>
          </w:tcPr>
          <w:p w:rsidR="008327B2" w:rsidRPr="001A01AB" w:rsidRDefault="008327B2" w:rsidP="008327B2">
            <w:pPr>
              <w:jc w:val="both"/>
              <w:rPr>
                <w:rFonts w:ascii="Calibri" w:hAnsi="Calibri" w:cs="Calibri"/>
                <w:b/>
                <w:color w:val="365F91"/>
                <w:sz w:val="23"/>
                <w:szCs w:val="23"/>
                <w:lang w:val="es-GT"/>
              </w:rPr>
            </w:pPr>
            <w:r w:rsidRPr="001A01AB">
              <w:rPr>
                <w:rFonts w:ascii="Calibri" w:hAnsi="Calibri" w:cs="Calibri"/>
                <w:b/>
                <w:color w:val="365F91"/>
                <w:sz w:val="23"/>
                <w:szCs w:val="23"/>
                <w:lang w:val="es-GT"/>
              </w:rPr>
              <w:t>Producción pecuaria</w:t>
            </w:r>
            <w:r w:rsidRPr="001A01AB">
              <w:rPr>
                <w:rFonts w:ascii="Calibri" w:hAnsi="Calibri" w:cs="Calibri"/>
                <w:b/>
                <w:color w:val="365F91"/>
                <w:sz w:val="23"/>
                <w:szCs w:val="23"/>
                <w:vertAlign w:val="superscript"/>
                <w:lang w:val="es-GT"/>
              </w:rPr>
              <w:t>a</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3"/>
                <w:szCs w:val="23"/>
                <w:lang w:val="es-GT"/>
              </w:rPr>
            </w:pPr>
            <w:r w:rsidRPr="001A01AB">
              <w:rPr>
                <w:rFonts w:ascii="Calibri" w:hAnsi="Calibri" w:cs="Calibri"/>
                <w:sz w:val="23"/>
                <w:szCs w:val="23"/>
                <w:lang w:val="es-GT"/>
              </w:rPr>
              <w:t>2020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-0.09</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-0.08</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-0.07</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-0.05</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2020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-0.09</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-0.08</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-0.07</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3"/>
                <w:szCs w:val="23"/>
                <w:lang w:val="es-GT"/>
              </w:rPr>
            </w:pPr>
            <w:r w:rsidRPr="001A01AB">
              <w:rPr>
                <w:rFonts w:ascii="Calibri" w:hAnsi="Calibri" w:cs="Calibri"/>
                <w:sz w:val="23"/>
                <w:szCs w:val="23"/>
                <w:lang w:val="es-GT"/>
              </w:rPr>
              <w:t>2030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-0.17</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-0.14</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-0.11</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-0.07</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2030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-0.19</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-0.16</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-0.13</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-0.09</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3"/>
                <w:szCs w:val="23"/>
                <w:lang w:val="es-GT"/>
              </w:rPr>
            </w:pPr>
            <w:r w:rsidRPr="001A01AB">
              <w:rPr>
                <w:rFonts w:ascii="Calibri" w:hAnsi="Calibri" w:cs="Calibri"/>
                <w:sz w:val="23"/>
                <w:szCs w:val="23"/>
                <w:lang w:val="es-GT"/>
              </w:rPr>
              <w:t>2050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0.01</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-0.05</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-0.07</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-0.07</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2050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-0.25</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-0.2</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-0.15</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3"/>
                <w:szCs w:val="23"/>
                <w:lang w:val="es-GT"/>
              </w:rPr>
            </w:pPr>
            <w:r w:rsidRPr="001A01AB">
              <w:rPr>
                <w:rFonts w:ascii="Calibri" w:hAnsi="Calibri" w:cs="Calibri"/>
                <w:sz w:val="23"/>
                <w:szCs w:val="23"/>
                <w:lang w:val="es-GT"/>
              </w:rPr>
              <w:t>2070</w:t>
            </w:r>
          </w:p>
        </w:tc>
        <w:tc>
          <w:tcPr>
            <w:tcW w:w="934" w:type="dxa"/>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1.24</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0.49</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0.11</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-0.04</w:t>
            </w:r>
          </w:p>
        </w:tc>
        <w:tc>
          <w:tcPr>
            <w:tcW w:w="934"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2070</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0.17</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-0.02</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-0.09</w:t>
            </w:r>
          </w:p>
        </w:tc>
        <w:tc>
          <w:tcPr>
            <w:tcW w:w="935" w:type="dxa"/>
            <w:gridSpan w:val="2"/>
            <w:tcBorders>
              <w:top w:val="dotted" w:sz="4" w:space="0" w:color="auto"/>
              <w:bottom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-0.09</w:t>
            </w:r>
          </w:p>
        </w:tc>
      </w:tr>
      <w:tr w:rsidR="008327B2" w:rsidRPr="00DD3CB1" w:rsidTr="008327B2">
        <w:trPr>
          <w:trHeight w:val="20"/>
        </w:trPr>
        <w:tc>
          <w:tcPr>
            <w:tcW w:w="960"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3"/>
                <w:szCs w:val="23"/>
                <w:lang w:val="es-GT"/>
              </w:rPr>
            </w:pPr>
            <w:r w:rsidRPr="001A01AB">
              <w:rPr>
                <w:rFonts w:ascii="Calibri" w:hAnsi="Calibri" w:cs="Calibri"/>
                <w:sz w:val="23"/>
                <w:szCs w:val="23"/>
                <w:lang w:val="es-GT"/>
              </w:rPr>
              <w:t>2100</w:t>
            </w:r>
          </w:p>
        </w:tc>
        <w:tc>
          <w:tcPr>
            <w:tcW w:w="934" w:type="dxa"/>
            <w:tcBorders>
              <w:top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8.46</w:t>
            </w:r>
          </w:p>
        </w:tc>
        <w:tc>
          <w:tcPr>
            <w:tcW w:w="935" w:type="dxa"/>
            <w:gridSpan w:val="2"/>
            <w:tcBorders>
              <w:top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2.62</w:t>
            </w:r>
          </w:p>
        </w:tc>
        <w:tc>
          <w:tcPr>
            <w:tcW w:w="935" w:type="dxa"/>
            <w:gridSpan w:val="2"/>
            <w:tcBorders>
              <w:top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0.55</w:t>
            </w:r>
          </w:p>
        </w:tc>
        <w:tc>
          <w:tcPr>
            <w:tcW w:w="935" w:type="dxa"/>
            <w:gridSpan w:val="2"/>
            <w:tcBorders>
              <w:top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-0.02</w:t>
            </w:r>
          </w:p>
        </w:tc>
        <w:tc>
          <w:tcPr>
            <w:tcW w:w="934" w:type="dxa"/>
            <w:gridSpan w:val="2"/>
            <w:tcBorders>
              <w:top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2100</w:t>
            </w:r>
          </w:p>
        </w:tc>
        <w:tc>
          <w:tcPr>
            <w:tcW w:w="935" w:type="dxa"/>
            <w:gridSpan w:val="2"/>
            <w:tcBorders>
              <w:top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2.13</w:t>
            </w:r>
          </w:p>
        </w:tc>
        <w:tc>
          <w:tcPr>
            <w:tcW w:w="935" w:type="dxa"/>
            <w:gridSpan w:val="2"/>
            <w:tcBorders>
              <w:top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0.58</w:t>
            </w:r>
          </w:p>
        </w:tc>
        <w:tc>
          <w:tcPr>
            <w:tcW w:w="935" w:type="dxa"/>
            <w:gridSpan w:val="2"/>
            <w:tcBorders>
              <w:top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0.04</w:t>
            </w:r>
          </w:p>
        </w:tc>
        <w:tc>
          <w:tcPr>
            <w:tcW w:w="935" w:type="dxa"/>
            <w:gridSpan w:val="2"/>
            <w:tcBorders>
              <w:top w:val="dotted" w:sz="4" w:space="0" w:color="auto"/>
            </w:tcBorders>
            <w:shd w:val="clear" w:color="auto" w:fill="auto"/>
            <w:noWrap/>
            <w:vAlign w:val="center"/>
            <w:hideMark/>
          </w:tcPr>
          <w:p w:rsidR="008327B2" w:rsidRPr="001A01AB" w:rsidRDefault="008327B2" w:rsidP="008327B2">
            <w:pPr>
              <w:jc w:val="center"/>
              <w:rPr>
                <w:rFonts w:ascii="Calibri" w:hAnsi="Calibri" w:cs="Calibri"/>
                <w:sz w:val="23"/>
                <w:szCs w:val="23"/>
                <w:lang w:val="es-GT"/>
              </w:rPr>
            </w:pPr>
            <w:r w:rsidRPr="001A01AB">
              <w:rPr>
                <w:rFonts w:ascii="Calibri" w:hAnsi="Calibri" w:cs="Calibri"/>
                <w:sz w:val="23"/>
                <w:szCs w:val="23"/>
                <w:lang w:val="es-GT"/>
              </w:rPr>
              <w:t>-0.08</w:t>
            </w:r>
          </w:p>
        </w:tc>
      </w:tr>
    </w:tbl>
    <w:p w:rsidR="008327B2" w:rsidRPr="001A01AB" w:rsidRDefault="008327B2" w:rsidP="008327B2">
      <w:pPr>
        <w:autoSpaceDE w:val="0"/>
        <w:autoSpaceDN w:val="0"/>
        <w:adjustRightInd w:val="0"/>
        <w:ind w:right="288"/>
        <w:jc w:val="right"/>
        <w:rPr>
          <w:rFonts w:ascii="Calibri" w:hAnsi="Calibri" w:cs="Calibri"/>
          <w:sz w:val="20"/>
          <w:lang w:val="es-GT"/>
        </w:rPr>
      </w:pPr>
      <w:r w:rsidRPr="001A01AB">
        <w:rPr>
          <w:rFonts w:ascii="Calibri" w:hAnsi="Calibri" w:cs="Calibri"/>
          <w:sz w:val="20"/>
          <w:lang w:val="es-GT"/>
        </w:rPr>
        <w:t xml:space="preserve">Fuente: </w:t>
      </w:r>
      <w:r w:rsidRPr="001A01AB">
        <w:rPr>
          <w:rFonts w:ascii="Calibri" w:hAnsi="Calibri" w:cs="Calibri"/>
          <w:sz w:val="20"/>
          <w:lang w:val="es-GT" w:eastAsia="es-GT"/>
        </w:rPr>
        <w:t>CEPAL</w:t>
      </w:r>
      <w:r w:rsidR="007057AF">
        <w:rPr>
          <w:rFonts w:ascii="Calibri" w:hAnsi="Calibri" w:cs="Calibri"/>
          <w:sz w:val="20"/>
          <w:lang w:val="es-GT" w:eastAsia="es-GT"/>
        </w:rPr>
        <w:t xml:space="preserve"> (</w:t>
      </w:r>
      <w:r w:rsidRPr="001A01AB">
        <w:rPr>
          <w:rFonts w:ascii="Calibri" w:hAnsi="Calibri" w:cs="Calibri"/>
          <w:sz w:val="20"/>
          <w:lang w:val="es-GT" w:eastAsia="es-GT"/>
        </w:rPr>
        <w:t>2010</w:t>
      </w:r>
      <w:r w:rsidR="007057AF">
        <w:rPr>
          <w:rFonts w:ascii="Calibri" w:hAnsi="Calibri" w:cs="Calibri"/>
          <w:sz w:val="20"/>
          <w:lang w:val="es-GT" w:eastAsia="es-GT"/>
        </w:rPr>
        <w:t>)</w:t>
      </w:r>
      <w:r w:rsidRPr="001A01AB">
        <w:rPr>
          <w:rFonts w:ascii="Calibri" w:hAnsi="Calibri" w:cs="Calibri"/>
          <w:sz w:val="20"/>
          <w:lang w:val="es-GT" w:eastAsia="es-GT"/>
        </w:rPr>
        <w:t>.</w:t>
      </w:r>
    </w:p>
    <w:p w:rsidR="008327B2" w:rsidRPr="001A01AB" w:rsidRDefault="008327B2" w:rsidP="008327B2">
      <w:pPr>
        <w:autoSpaceDE w:val="0"/>
        <w:autoSpaceDN w:val="0"/>
        <w:adjustRightInd w:val="0"/>
        <w:ind w:right="288"/>
        <w:jc w:val="right"/>
        <w:rPr>
          <w:rFonts w:ascii="Calibri" w:hAnsi="Calibri" w:cs="Calibri"/>
          <w:sz w:val="20"/>
          <w:lang w:val="es-GT"/>
        </w:rPr>
      </w:pPr>
      <w:r w:rsidRPr="001A01AB">
        <w:rPr>
          <w:rFonts w:ascii="Calibri" w:hAnsi="Calibri" w:cs="Calibri"/>
          <w:sz w:val="20"/>
          <w:vertAlign w:val="superscript"/>
          <w:lang w:val="es-GT"/>
        </w:rPr>
        <w:t>a</w:t>
      </w:r>
      <w:r w:rsidR="00436502">
        <w:rPr>
          <w:rFonts w:ascii="Calibri" w:hAnsi="Calibri" w:cs="Calibri"/>
          <w:sz w:val="20"/>
          <w:lang w:val="es-GT"/>
        </w:rPr>
        <w:t xml:space="preserve"> Só</w:t>
      </w:r>
      <w:r w:rsidRPr="001A01AB">
        <w:rPr>
          <w:rFonts w:ascii="Calibri" w:hAnsi="Calibri" w:cs="Calibri"/>
          <w:sz w:val="20"/>
          <w:lang w:val="es-GT"/>
        </w:rPr>
        <w:t>lo se consideraron cambios</w:t>
      </w:r>
      <w:r w:rsidR="006D7016">
        <w:rPr>
          <w:rFonts w:ascii="Calibri" w:hAnsi="Calibri" w:cs="Calibri"/>
          <w:sz w:val="20"/>
          <w:lang w:val="es-GT"/>
        </w:rPr>
        <w:t xml:space="preserve"> de</w:t>
      </w:r>
      <w:r w:rsidRPr="001A01AB">
        <w:rPr>
          <w:rFonts w:ascii="Calibri" w:hAnsi="Calibri" w:cs="Calibri"/>
          <w:sz w:val="20"/>
          <w:lang w:val="es-GT"/>
        </w:rPr>
        <w:t xml:space="preserve"> temperatura.</w:t>
      </w:r>
    </w:p>
    <w:p w:rsidR="008327B2" w:rsidRPr="00B556CF" w:rsidRDefault="008327B2" w:rsidP="008327B2">
      <w:pPr>
        <w:autoSpaceDE w:val="0"/>
        <w:autoSpaceDN w:val="0"/>
        <w:adjustRightInd w:val="0"/>
        <w:jc w:val="both"/>
        <w:rPr>
          <w:rFonts w:ascii="Calibri" w:hAnsi="Calibri" w:cs="Calibri"/>
          <w:sz w:val="12"/>
          <w:szCs w:val="12"/>
          <w:lang w:val="es-GT" w:eastAsia="es-GT"/>
        </w:rPr>
      </w:pPr>
    </w:p>
    <w:p w:rsidR="008327B2" w:rsidRPr="001A01AB" w:rsidRDefault="006D7016" w:rsidP="008327B2">
      <w:pPr>
        <w:autoSpaceDE w:val="0"/>
        <w:autoSpaceDN w:val="0"/>
        <w:adjustRightInd w:val="0"/>
        <w:jc w:val="both"/>
        <w:rPr>
          <w:rFonts w:ascii="Calibri" w:hAnsi="Calibri" w:cs="Calibri"/>
          <w:lang w:val="es-GT" w:eastAsia="es-GT"/>
        </w:rPr>
      </w:pPr>
      <w:r>
        <w:rPr>
          <w:rFonts w:ascii="Calibri" w:hAnsi="Calibri" w:cs="Calibri"/>
          <w:lang w:val="es-GT" w:eastAsia="es-GT"/>
        </w:rPr>
        <w:t>L</w:t>
      </w:r>
      <w:r w:rsidR="008327B2" w:rsidRPr="001A01AB">
        <w:rPr>
          <w:rFonts w:ascii="Calibri" w:hAnsi="Calibri" w:cs="Calibri"/>
          <w:lang w:val="es-GT" w:eastAsia="es-GT"/>
        </w:rPr>
        <w:t>os costos de la producción agropecuaria hasta el 2100 con relación al PIB de 2007,</w:t>
      </w:r>
      <w:r w:rsidR="00436502">
        <w:rPr>
          <w:rFonts w:ascii="Calibri" w:hAnsi="Calibri" w:cs="Calibri"/>
          <w:lang w:val="es-GT" w:eastAsia="es-GT"/>
        </w:rPr>
        <w:t xml:space="preserve"> </w:t>
      </w:r>
      <w:r>
        <w:rPr>
          <w:rFonts w:ascii="Calibri" w:hAnsi="Calibri" w:cs="Calibri"/>
          <w:lang w:val="es-GT" w:eastAsia="es-GT"/>
        </w:rPr>
        <w:t xml:space="preserve">representó el 4.71% del PIB para el escenario A2 y 0.45% para el B2 </w:t>
      </w:r>
      <w:r w:rsidR="008327B2" w:rsidRPr="001A01AB">
        <w:rPr>
          <w:rFonts w:ascii="Calibri" w:hAnsi="Calibri" w:cs="Calibri"/>
          <w:lang w:val="es-GT" w:eastAsia="es-GT"/>
        </w:rPr>
        <w:t>(suponiendo una tasa de descuento de 4%). Ambos escenarios sugieren pé</w:t>
      </w:r>
      <w:r>
        <w:rPr>
          <w:rFonts w:ascii="Calibri" w:hAnsi="Calibri" w:cs="Calibri"/>
          <w:lang w:val="es-GT" w:eastAsia="es-GT"/>
        </w:rPr>
        <w:t>rdidas económicas importantes para</w:t>
      </w:r>
      <w:r w:rsidR="008327B2" w:rsidRPr="001A01AB">
        <w:rPr>
          <w:rFonts w:ascii="Calibri" w:hAnsi="Calibri" w:cs="Calibri"/>
          <w:lang w:val="es-GT" w:eastAsia="es-GT"/>
        </w:rPr>
        <w:t xml:space="preserve"> la producción agropecuaria. Se espera que en el corto plazo la producción se mantenga alrededor de sus niveles actuales, sin embargo, a largo plazo la producción disminuirá. La caída más abrupta se obs</w:t>
      </w:r>
      <w:r w:rsidR="007057AF">
        <w:rPr>
          <w:rFonts w:ascii="Calibri" w:hAnsi="Calibri" w:cs="Calibri"/>
          <w:lang w:val="es-GT" w:eastAsia="es-GT"/>
        </w:rPr>
        <w:t>erva en el escenario A2. En el C</w:t>
      </w:r>
      <w:r w:rsidR="008327B2" w:rsidRPr="001A01AB">
        <w:rPr>
          <w:rFonts w:ascii="Calibri" w:hAnsi="Calibri" w:cs="Calibri"/>
          <w:lang w:val="es-GT" w:eastAsia="es-GT"/>
        </w:rPr>
        <w:t xml:space="preserve">uadro </w:t>
      </w:r>
      <w:r>
        <w:rPr>
          <w:rFonts w:ascii="Calibri" w:hAnsi="Calibri" w:cs="Calibri"/>
          <w:lang w:val="es-GT" w:eastAsia="es-GT"/>
        </w:rPr>
        <w:t>3</w:t>
      </w:r>
      <w:r w:rsidR="004C77F8">
        <w:rPr>
          <w:rFonts w:ascii="Calibri" w:hAnsi="Calibri" w:cs="Calibri"/>
          <w:lang w:val="es-GT" w:eastAsia="es-GT"/>
        </w:rPr>
        <w:t>6</w:t>
      </w:r>
      <w:r w:rsidR="008327B2" w:rsidRPr="001A01AB">
        <w:rPr>
          <w:rFonts w:ascii="Calibri" w:hAnsi="Calibri" w:cs="Calibri"/>
          <w:lang w:val="es-GT" w:eastAsia="es-GT"/>
        </w:rPr>
        <w:t xml:space="preserve"> se observa</w:t>
      </w:r>
      <w:r>
        <w:rPr>
          <w:rFonts w:ascii="Calibri" w:hAnsi="Calibri" w:cs="Calibri"/>
          <w:lang w:val="es-GT" w:eastAsia="es-GT"/>
        </w:rPr>
        <w:t>n</w:t>
      </w:r>
      <w:r w:rsidR="008327B2" w:rsidRPr="001A01AB">
        <w:rPr>
          <w:rFonts w:ascii="Calibri" w:hAnsi="Calibri" w:cs="Calibri"/>
          <w:lang w:val="es-GT" w:eastAsia="es-GT"/>
        </w:rPr>
        <w:t xml:space="preserve"> las pérdidas económicas debid</w:t>
      </w:r>
      <w:r>
        <w:rPr>
          <w:rFonts w:ascii="Calibri" w:hAnsi="Calibri" w:cs="Calibri"/>
          <w:lang w:val="es-GT" w:eastAsia="es-GT"/>
        </w:rPr>
        <w:t>as</w:t>
      </w:r>
      <w:r w:rsidR="008327B2" w:rsidRPr="001A01AB">
        <w:rPr>
          <w:rFonts w:ascii="Calibri" w:hAnsi="Calibri" w:cs="Calibri"/>
          <w:lang w:val="es-GT" w:eastAsia="es-GT"/>
        </w:rPr>
        <w:t xml:space="preserve"> a cambios en la temperatura y precipitación.</w:t>
      </w:r>
    </w:p>
    <w:p w:rsidR="008327B2" w:rsidRPr="00B556CF" w:rsidRDefault="008327B2" w:rsidP="008327B2">
      <w:pPr>
        <w:autoSpaceDE w:val="0"/>
        <w:autoSpaceDN w:val="0"/>
        <w:adjustRightInd w:val="0"/>
        <w:jc w:val="both"/>
        <w:rPr>
          <w:rFonts w:ascii="Calibri" w:hAnsi="Calibri" w:cs="Calibri"/>
          <w:sz w:val="12"/>
          <w:szCs w:val="12"/>
          <w:lang w:val="es-GT" w:eastAsia="es-GT"/>
        </w:rPr>
      </w:pPr>
    </w:p>
    <w:p w:rsidR="007033AE" w:rsidRDefault="00C54ACC" w:rsidP="007033AE">
      <w:pPr>
        <w:pStyle w:val="Epgrafe"/>
        <w:jc w:val="center"/>
        <w:rPr>
          <w:rFonts w:asciiTheme="minorHAnsi" w:hAnsiTheme="minorHAnsi" w:cstheme="minorHAnsi"/>
          <w:color w:val="365F91" w:themeColor="accent1" w:themeShade="BF"/>
          <w:sz w:val="22"/>
          <w:szCs w:val="22"/>
          <w:lang w:val="es-GT"/>
        </w:rPr>
      </w:pPr>
      <w:bookmarkStart w:id="425" w:name="_Toc340032180"/>
      <w:bookmarkStart w:id="426" w:name="_Toc340034457"/>
      <w:bookmarkStart w:id="427" w:name="_Toc343164664"/>
      <w:bookmarkStart w:id="428" w:name="_Toc347841218"/>
      <w:r w:rsidRPr="007033AE">
        <w:rPr>
          <w:rFonts w:asciiTheme="minorHAnsi" w:hAnsiTheme="minorHAnsi" w:cstheme="minorHAnsi"/>
          <w:color w:val="365F91" w:themeColor="accent1" w:themeShade="BF"/>
          <w:sz w:val="22"/>
          <w:szCs w:val="22"/>
          <w:lang w:val="es-GT"/>
        </w:rPr>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36</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Impactos económicos del cambio climático</w:t>
      </w:r>
      <w:r w:rsidR="006D7016" w:rsidRPr="007033AE">
        <w:rPr>
          <w:rFonts w:asciiTheme="minorHAnsi" w:hAnsiTheme="minorHAnsi" w:cstheme="minorHAnsi"/>
          <w:color w:val="365F91" w:themeColor="accent1" w:themeShade="BF"/>
          <w:sz w:val="22"/>
          <w:szCs w:val="22"/>
          <w:lang w:val="es-GT"/>
        </w:rPr>
        <w:t xml:space="preserve"> en Guatemala.</w:t>
      </w:r>
      <w:bookmarkEnd w:id="428"/>
      <w:r w:rsidR="006D7016" w:rsidRPr="007033AE">
        <w:rPr>
          <w:rFonts w:asciiTheme="minorHAnsi" w:hAnsiTheme="minorHAnsi" w:cstheme="minorHAnsi"/>
          <w:color w:val="365F91" w:themeColor="accent1" w:themeShade="BF"/>
          <w:sz w:val="22"/>
          <w:szCs w:val="22"/>
          <w:lang w:val="es-GT"/>
        </w:rPr>
        <w:t xml:space="preserve"> </w:t>
      </w:r>
    </w:p>
    <w:p w:rsidR="008327B2" w:rsidRDefault="006D7016" w:rsidP="007033AE">
      <w:pPr>
        <w:pStyle w:val="Epgrafe"/>
        <w:jc w:val="center"/>
        <w:rPr>
          <w:rFonts w:asciiTheme="minorHAnsi" w:hAnsiTheme="minorHAnsi" w:cstheme="minorHAnsi"/>
          <w:color w:val="365F91" w:themeColor="accent1" w:themeShade="BF"/>
          <w:sz w:val="22"/>
          <w:szCs w:val="22"/>
          <w:lang w:val="es-GT"/>
        </w:rPr>
      </w:pPr>
      <w:r w:rsidRPr="007033AE">
        <w:rPr>
          <w:rFonts w:asciiTheme="minorHAnsi" w:hAnsiTheme="minorHAnsi" w:cstheme="minorHAnsi"/>
          <w:color w:val="365F91" w:themeColor="accent1" w:themeShade="BF"/>
          <w:sz w:val="22"/>
          <w:szCs w:val="22"/>
          <w:lang w:val="es-GT"/>
        </w:rPr>
        <w:t>Años</w:t>
      </w:r>
      <w:r w:rsidR="008327B2" w:rsidRPr="007033AE">
        <w:rPr>
          <w:rFonts w:asciiTheme="minorHAnsi" w:hAnsiTheme="minorHAnsi" w:cstheme="minorHAnsi"/>
          <w:color w:val="365F91" w:themeColor="accent1" w:themeShade="BF"/>
          <w:sz w:val="22"/>
          <w:szCs w:val="22"/>
          <w:lang w:val="es-GT"/>
        </w:rPr>
        <w:t xml:space="preserve"> 2020, 2030, 2050, 2070 y 2100 </w:t>
      </w:r>
      <w:bookmarkEnd w:id="425"/>
      <w:bookmarkEnd w:id="426"/>
      <w:bookmarkEnd w:id="427"/>
    </w:p>
    <w:p w:rsidR="007033AE" w:rsidRPr="00B556CF" w:rsidRDefault="007033AE" w:rsidP="007033AE">
      <w:pPr>
        <w:rPr>
          <w:sz w:val="6"/>
          <w:szCs w:val="6"/>
          <w:lang w:val="es-GT"/>
        </w:rPr>
      </w:pPr>
    </w:p>
    <w:tbl>
      <w:tblPr>
        <w:tblW w:w="9377" w:type="dxa"/>
        <w:tblInd w:w="53" w:type="dxa"/>
        <w:tblBorders>
          <w:top w:val="single" w:sz="4" w:space="0" w:color="auto"/>
          <w:bottom w:val="single" w:sz="4" w:space="0" w:color="auto"/>
          <w:insideH w:val="single" w:sz="4" w:space="0" w:color="auto"/>
        </w:tblBorders>
        <w:tblLayout w:type="fixed"/>
        <w:tblCellMar>
          <w:left w:w="70" w:type="dxa"/>
          <w:right w:w="70" w:type="dxa"/>
        </w:tblCellMar>
        <w:tblLook w:val="04A0" w:firstRow="1" w:lastRow="0" w:firstColumn="1" w:lastColumn="0" w:noHBand="0" w:noVBand="1"/>
      </w:tblPr>
      <w:tblGrid>
        <w:gridCol w:w="960"/>
        <w:gridCol w:w="935"/>
        <w:gridCol w:w="935"/>
        <w:gridCol w:w="935"/>
        <w:gridCol w:w="935"/>
        <w:gridCol w:w="936"/>
        <w:gridCol w:w="935"/>
        <w:gridCol w:w="935"/>
        <w:gridCol w:w="935"/>
        <w:gridCol w:w="936"/>
      </w:tblGrid>
      <w:tr w:rsidR="008327B2" w:rsidRPr="00DD3CB1" w:rsidTr="001A01AB">
        <w:trPr>
          <w:trHeight w:val="20"/>
        </w:trPr>
        <w:tc>
          <w:tcPr>
            <w:tcW w:w="960" w:type="dxa"/>
            <w:vMerge w:val="restart"/>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eastAsia="es-GT"/>
              </w:rPr>
              <w:t>Año</w:t>
            </w:r>
          </w:p>
        </w:tc>
        <w:tc>
          <w:tcPr>
            <w:tcW w:w="3740" w:type="dxa"/>
            <w:gridSpan w:val="4"/>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Escenario A2</w:t>
            </w:r>
          </w:p>
          <w:p w:rsidR="008327B2" w:rsidRPr="001A01AB" w:rsidRDefault="008327B2" w:rsidP="008327B2">
            <w:pPr>
              <w:jc w:val="center"/>
              <w:rPr>
                <w:rFonts w:ascii="Calibri" w:hAnsi="Calibri" w:cs="Calibri"/>
                <w:color w:val="FFFFFF"/>
                <w:sz w:val="22"/>
                <w:szCs w:val="22"/>
                <w:lang w:val="es-GT" w:eastAsia="es-GT"/>
              </w:rPr>
            </w:pPr>
            <w:r w:rsidRPr="001A01AB">
              <w:rPr>
                <w:rFonts w:ascii="Calibri" w:hAnsi="Calibri" w:cs="Calibri"/>
                <w:color w:val="FFFFFF"/>
                <w:sz w:val="22"/>
                <w:szCs w:val="22"/>
                <w:lang w:val="es-GT" w:eastAsia="es-GT"/>
              </w:rPr>
              <w:t>(ECHAM, GFDL, HADGEM)</w:t>
            </w:r>
          </w:p>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eastAsia="es-GT"/>
              </w:rPr>
              <w:t>Tasa de descuento (r)</w:t>
            </w:r>
          </w:p>
        </w:tc>
        <w:tc>
          <w:tcPr>
            <w:tcW w:w="936" w:type="dxa"/>
            <w:vMerge w:val="restart"/>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eastAsia="es-GT"/>
              </w:rPr>
              <w:t>Año</w:t>
            </w:r>
          </w:p>
        </w:tc>
        <w:tc>
          <w:tcPr>
            <w:tcW w:w="3741" w:type="dxa"/>
            <w:gridSpan w:val="4"/>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Escenario B2</w:t>
            </w:r>
          </w:p>
          <w:p w:rsidR="008327B2" w:rsidRPr="001A01AB" w:rsidRDefault="008327B2" w:rsidP="008327B2">
            <w:pPr>
              <w:jc w:val="center"/>
              <w:rPr>
                <w:rFonts w:ascii="Calibri" w:hAnsi="Calibri" w:cs="Calibri"/>
                <w:color w:val="FFFFFF"/>
                <w:sz w:val="22"/>
                <w:szCs w:val="22"/>
                <w:lang w:val="es-GT" w:eastAsia="es-GT"/>
              </w:rPr>
            </w:pPr>
            <w:r w:rsidRPr="001A01AB">
              <w:rPr>
                <w:rFonts w:ascii="Calibri" w:hAnsi="Calibri" w:cs="Calibri"/>
                <w:color w:val="FFFFFF"/>
                <w:sz w:val="22"/>
                <w:szCs w:val="22"/>
                <w:lang w:val="es-GT" w:eastAsia="es-GT"/>
              </w:rPr>
              <w:t>(ECHAM, GFDL, HADGEM)</w:t>
            </w:r>
          </w:p>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eastAsia="es-GT"/>
              </w:rPr>
              <w:t>Tasa de descuento (r)</w:t>
            </w:r>
          </w:p>
        </w:tc>
      </w:tr>
      <w:tr w:rsidR="008327B2" w:rsidRPr="00DD3CB1" w:rsidTr="001A01AB">
        <w:trPr>
          <w:trHeight w:val="20"/>
        </w:trPr>
        <w:tc>
          <w:tcPr>
            <w:tcW w:w="960" w:type="dxa"/>
            <w:vMerge/>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p>
        </w:tc>
        <w:tc>
          <w:tcPr>
            <w:tcW w:w="1870" w:type="dxa"/>
            <w:gridSpan w:val="2"/>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Sector</w:t>
            </w:r>
          </w:p>
        </w:tc>
        <w:tc>
          <w:tcPr>
            <w:tcW w:w="1870" w:type="dxa"/>
            <w:gridSpan w:val="2"/>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Sector</w:t>
            </w:r>
          </w:p>
        </w:tc>
        <w:tc>
          <w:tcPr>
            <w:tcW w:w="936" w:type="dxa"/>
            <w:vMerge/>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p>
        </w:tc>
        <w:tc>
          <w:tcPr>
            <w:tcW w:w="1870" w:type="dxa"/>
            <w:gridSpan w:val="2"/>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Sector</w:t>
            </w:r>
          </w:p>
        </w:tc>
        <w:tc>
          <w:tcPr>
            <w:tcW w:w="1871" w:type="dxa"/>
            <w:gridSpan w:val="2"/>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Sector</w:t>
            </w:r>
          </w:p>
        </w:tc>
      </w:tr>
      <w:tr w:rsidR="008327B2" w:rsidRPr="00DD3CB1" w:rsidTr="001A01AB">
        <w:trPr>
          <w:trHeight w:val="20"/>
        </w:trPr>
        <w:tc>
          <w:tcPr>
            <w:tcW w:w="960" w:type="dxa"/>
            <w:vMerge/>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p>
        </w:tc>
        <w:tc>
          <w:tcPr>
            <w:tcW w:w="935" w:type="dxa"/>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0.02</w:t>
            </w:r>
          </w:p>
        </w:tc>
        <w:tc>
          <w:tcPr>
            <w:tcW w:w="935" w:type="dxa"/>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0.04</w:t>
            </w:r>
          </w:p>
        </w:tc>
        <w:tc>
          <w:tcPr>
            <w:tcW w:w="935" w:type="dxa"/>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0.02</w:t>
            </w:r>
          </w:p>
        </w:tc>
        <w:tc>
          <w:tcPr>
            <w:tcW w:w="935" w:type="dxa"/>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0.04</w:t>
            </w:r>
          </w:p>
        </w:tc>
        <w:tc>
          <w:tcPr>
            <w:tcW w:w="936" w:type="dxa"/>
            <w:vMerge/>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p>
        </w:tc>
        <w:tc>
          <w:tcPr>
            <w:tcW w:w="935" w:type="dxa"/>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0.02</w:t>
            </w:r>
          </w:p>
        </w:tc>
        <w:tc>
          <w:tcPr>
            <w:tcW w:w="935" w:type="dxa"/>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0.04</w:t>
            </w:r>
          </w:p>
        </w:tc>
        <w:tc>
          <w:tcPr>
            <w:tcW w:w="935" w:type="dxa"/>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0.02</w:t>
            </w:r>
          </w:p>
        </w:tc>
        <w:tc>
          <w:tcPr>
            <w:tcW w:w="936" w:type="dxa"/>
            <w:tcBorders>
              <w:bottom w:val="single" w:sz="4" w:space="0" w:color="auto"/>
            </w:tcBorders>
            <w:shd w:val="clear" w:color="auto" w:fill="365F91"/>
            <w:noWrap/>
            <w:vAlign w:val="center"/>
            <w:hideMark/>
          </w:tcPr>
          <w:p w:rsidR="008327B2" w:rsidRPr="001A01AB" w:rsidRDefault="008327B2" w:rsidP="008327B2">
            <w:pPr>
              <w:jc w:val="center"/>
              <w:rPr>
                <w:rFonts w:ascii="Calibri" w:hAnsi="Calibri" w:cs="Calibri"/>
                <w:color w:val="FFFFFF"/>
                <w:sz w:val="22"/>
                <w:szCs w:val="22"/>
                <w:lang w:val="es-GT"/>
              </w:rPr>
            </w:pPr>
            <w:r w:rsidRPr="001A01AB">
              <w:rPr>
                <w:rFonts w:ascii="Calibri" w:hAnsi="Calibri" w:cs="Calibri"/>
                <w:color w:val="FFFFFF"/>
                <w:sz w:val="22"/>
                <w:szCs w:val="22"/>
                <w:lang w:val="es-GT"/>
              </w:rPr>
              <w:t>0.04</w:t>
            </w:r>
          </w:p>
        </w:tc>
      </w:tr>
      <w:tr w:rsidR="008327B2" w:rsidRPr="000364C9" w:rsidTr="006D7016">
        <w:trPr>
          <w:trHeight w:val="20"/>
        </w:trPr>
        <w:tc>
          <w:tcPr>
            <w:tcW w:w="9377" w:type="dxa"/>
            <w:gridSpan w:val="10"/>
            <w:tcBorders>
              <w:bottom w:val="dotted" w:sz="4" w:space="0" w:color="auto"/>
            </w:tcBorders>
            <w:shd w:val="clear" w:color="auto" w:fill="DBE5F1" w:themeFill="accent1" w:themeFillTint="33"/>
            <w:noWrap/>
            <w:vAlign w:val="center"/>
            <w:hideMark/>
          </w:tcPr>
          <w:p w:rsidR="008327B2" w:rsidRPr="001A01AB" w:rsidRDefault="008327B2" w:rsidP="008327B2">
            <w:pPr>
              <w:jc w:val="both"/>
              <w:rPr>
                <w:rFonts w:ascii="Calibri" w:hAnsi="Calibri" w:cs="Calibri"/>
                <w:b/>
                <w:color w:val="365F91"/>
                <w:sz w:val="22"/>
                <w:szCs w:val="22"/>
                <w:lang w:val="es-GT"/>
              </w:rPr>
            </w:pPr>
            <w:r w:rsidRPr="001A01AB">
              <w:rPr>
                <w:rFonts w:ascii="Calibri" w:hAnsi="Calibri" w:cs="Calibri"/>
                <w:b/>
                <w:color w:val="365F91"/>
                <w:sz w:val="22"/>
                <w:szCs w:val="22"/>
                <w:lang w:val="es-GT"/>
              </w:rPr>
              <w:t xml:space="preserve">Cambios en </w:t>
            </w:r>
            <w:r w:rsidR="006D7016">
              <w:rPr>
                <w:rFonts w:ascii="Calibri" w:hAnsi="Calibri" w:cs="Calibri"/>
                <w:b/>
                <w:color w:val="365F91"/>
                <w:sz w:val="22"/>
                <w:szCs w:val="22"/>
                <w:lang w:val="es-GT"/>
              </w:rPr>
              <w:t xml:space="preserve">la </w:t>
            </w:r>
            <w:r w:rsidRPr="001A01AB">
              <w:rPr>
                <w:rFonts w:ascii="Calibri" w:hAnsi="Calibri" w:cs="Calibri"/>
                <w:b/>
                <w:color w:val="365F91"/>
                <w:sz w:val="22"/>
                <w:szCs w:val="22"/>
                <w:lang w:val="es-GT"/>
              </w:rPr>
              <w:t>temperatura y precipitación</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0.01</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0.03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-0.39</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-0.31</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-0.45</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-0.07</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-0.02</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-0.73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-0.53</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-0.78</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-0.62</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-0.78</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color w:val="000000"/>
                <w:sz w:val="22"/>
                <w:szCs w:val="22"/>
                <w:lang w:val="es-GT"/>
              </w:rPr>
            </w:pPr>
            <w:r w:rsidRPr="001A01AB">
              <w:rPr>
                <w:rFonts w:ascii="Calibri" w:hAnsi="Calibri" w:cs="Calibri"/>
                <w:sz w:val="22"/>
                <w:szCs w:val="22"/>
                <w:lang w:val="es-GT"/>
              </w:rPr>
              <w:t>-0.62</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0.63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-0.34</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-0.38</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-1.01</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-0.76</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-1.01</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-0.76</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4.83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1.82</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1.9</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0.36</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0.13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-0.37</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0.13</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-0.37</w:t>
            </w:r>
          </w:p>
        </w:tc>
      </w:tr>
      <w:tr w:rsidR="008327B2" w:rsidRPr="00DD3CB1" w:rsidTr="008327B2">
        <w:trPr>
          <w:trHeight w:val="20"/>
        </w:trPr>
        <w:tc>
          <w:tcPr>
            <w:tcW w:w="960"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2100</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18.77</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4.71</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13.36</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2.73</w:t>
            </w:r>
          </w:p>
        </w:tc>
        <w:tc>
          <w:tcPr>
            <w:tcW w:w="936"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2100</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3.93</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0.45</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3.93</w:t>
            </w:r>
          </w:p>
        </w:tc>
        <w:tc>
          <w:tcPr>
            <w:tcW w:w="936"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0.45</w:t>
            </w:r>
          </w:p>
        </w:tc>
      </w:tr>
      <w:tr w:rsidR="008327B2" w:rsidRPr="00DD3CB1" w:rsidTr="006D7016">
        <w:trPr>
          <w:trHeight w:val="20"/>
        </w:trPr>
        <w:tc>
          <w:tcPr>
            <w:tcW w:w="9377" w:type="dxa"/>
            <w:gridSpan w:val="10"/>
            <w:tcBorders>
              <w:bottom w:val="dotted" w:sz="4" w:space="0" w:color="auto"/>
            </w:tcBorders>
            <w:shd w:val="clear" w:color="auto" w:fill="DBE5F1" w:themeFill="accent1" w:themeFillTint="33"/>
            <w:noWrap/>
            <w:vAlign w:val="bottom"/>
            <w:hideMark/>
          </w:tcPr>
          <w:p w:rsidR="008327B2" w:rsidRPr="001A01AB" w:rsidRDefault="008327B2" w:rsidP="008327B2">
            <w:pPr>
              <w:jc w:val="both"/>
              <w:rPr>
                <w:rFonts w:ascii="Calibri" w:hAnsi="Calibri" w:cs="Calibri"/>
                <w:b/>
                <w:color w:val="365F91"/>
                <w:sz w:val="22"/>
                <w:szCs w:val="22"/>
                <w:lang w:val="es-GT"/>
              </w:rPr>
            </w:pPr>
            <w:r w:rsidRPr="001A01AB">
              <w:rPr>
                <w:rFonts w:ascii="Calibri" w:hAnsi="Calibri" w:cs="Calibri"/>
                <w:b/>
                <w:color w:val="365F91"/>
                <w:sz w:val="22"/>
                <w:szCs w:val="22"/>
                <w:lang w:val="es-GT"/>
              </w:rPr>
              <w:t xml:space="preserve">Cambios en </w:t>
            </w:r>
            <w:r w:rsidR="006D7016">
              <w:rPr>
                <w:rFonts w:ascii="Calibri" w:hAnsi="Calibri" w:cs="Calibri"/>
                <w:b/>
                <w:color w:val="365F91"/>
                <w:sz w:val="22"/>
                <w:szCs w:val="22"/>
                <w:lang w:val="es-GT"/>
              </w:rPr>
              <w:t xml:space="preserve">la </w:t>
            </w:r>
            <w:r w:rsidRPr="001A01AB">
              <w:rPr>
                <w:rFonts w:ascii="Calibri" w:hAnsi="Calibri" w:cs="Calibri"/>
                <w:b/>
                <w:color w:val="365F91"/>
                <w:sz w:val="22"/>
                <w:szCs w:val="22"/>
                <w:lang w:val="es-GT"/>
              </w:rPr>
              <w:t xml:space="preserve">temperatura </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-0.57</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-0.49</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-0.95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-0.81</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-0.62</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-0.55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-0.88</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-0.79</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-0.98</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-0.77</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-1.66</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-1.3</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-1.05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-0.85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-1.57</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-1.26</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-0.55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-0.6</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-2.12</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-1.57</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-1.43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-1.05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-2.6</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-1.8</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2.52</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-0.24</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-0.96</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-0.44</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-0.72</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-2.43</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-1.75</w:t>
            </w:r>
          </w:p>
        </w:tc>
      </w:tr>
      <w:tr w:rsidR="008327B2" w:rsidRPr="00DD3CB1" w:rsidTr="008327B2">
        <w:trPr>
          <w:trHeight w:val="20"/>
        </w:trPr>
        <w:tc>
          <w:tcPr>
            <w:tcW w:w="960"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2100</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15.29</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3.08</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10.14</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1.18</w:t>
            </w:r>
          </w:p>
        </w:tc>
        <w:tc>
          <w:tcPr>
            <w:tcW w:w="936"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2100</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3.03</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0.02</w:t>
            </w:r>
          </w:p>
        </w:tc>
        <w:tc>
          <w:tcPr>
            <w:tcW w:w="935"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-0.18</w:t>
            </w:r>
          </w:p>
        </w:tc>
        <w:tc>
          <w:tcPr>
            <w:tcW w:w="936" w:type="dxa"/>
            <w:tcBorders>
              <w:top w:val="dotted" w:sz="4" w:space="0" w:color="auto"/>
              <w:bottom w:val="single"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-1.27</w:t>
            </w:r>
          </w:p>
        </w:tc>
      </w:tr>
      <w:tr w:rsidR="008327B2" w:rsidRPr="00DD3CB1" w:rsidTr="006D7016">
        <w:trPr>
          <w:trHeight w:val="20"/>
        </w:trPr>
        <w:tc>
          <w:tcPr>
            <w:tcW w:w="9377" w:type="dxa"/>
            <w:gridSpan w:val="10"/>
            <w:tcBorders>
              <w:bottom w:val="dotted" w:sz="4" w:space="0" w:color="auto"/>
            </w:tcBorders>
            <w:shd w:val="clear" w:color="auto" w:fill="DBE5F1" w:themeFill="accent1" w:themeFillTint="33"/>
            <w:noWrap/>
            <w:vAlign w:val="bottom"/>
            <w:hideMark/>
          </w:tcPr>
          <w:p w:rsidR="008327B2" w:rsidRPr="001A01AB" w:rsidRDefault="008327B2" w:rsidP="008327B2">
            <w:pPr>
              <w:jc w:val="both"/>
              <w:rPr>
                <w:rFonts w:ascii="Calibri" w:hAnsi="Calibri" w:cs="Calibri"/>
                <w:b/>
                <w:color w:val="365F91"/>
                <w:sz w:val="22"/>
                <w:szCs w:val="22"/>
                <w:lang w:val="es-GT"/>
              </w:rPr>
            </w:pPr>
            <w:r w:rsidRPr="001A01AB">
              <w:rPr>
                <w:rFonts w:ascii="Calibri" w:hAnsi="Calibri" w:cs="Calibri"/>
                <w:b/>
                <w:color w:val="365F91"/>
                <w:sz w:val="22"/>
                <w:szCs w:val="22"/>
                <w:lang w:val="es-GT"/>
              </w:rPr>
              <w:t xml:space="preserve">Cambios en </w:t>
            </w:r>
            <w:r w:rsidR="006D7016">
              <w:rPr>
                <w:rFonts w:ascii="Calibri" w:hAnsi="Calibri" w:cs="Calibri"/>
                <w:b/>
                <w:color w:val="365F91"/>
                <w:sz w:val="22"/>
                <w:szCs w:val="22"/>
                <w:lang w:val="es-GT"/>
              </w:rPr>
              <w:t xml:space="preserve">la </w:t>
            </w:r>
            <w:r w:rsidRPr="001A01AB">
              <w:rPr>
                <w:rFonts w:ascii="Calibri" w:hAnsi="Calibri" w:cs="Calibri"/>
                <w:b/>
                <w:color w:val="365F91"/>
                <w:sz w:val="22"/>
                <w:szCs w:val="22"/>
                <w:lang w:val="es-GT"/>
              </w:rPr>
              <w:t>precipitación</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0.58</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0.52</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0.56</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0.5</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2020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0.17</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0.16</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0.18</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0.16</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0.91</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0.75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0.93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0.77</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2030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0.28</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0.23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0.38</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1.85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1.23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1.78</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1.19</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2050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0.42</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0.6</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0.41</w:t>
            </w:r>
          </w:p>
        </w:tc>
      </w:tr>
      <w:tr w:rsidR="008327B2" w:rsidRPr="00DD3CB1" w:rsidTr="008327B2">
        <w:trPr>
          <w:trHeight w:val="20"/>
        </w:trPr>
        <w:tc>
          <w:tcPr>
            <w:tcW w:w="960"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2.3</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1.39</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2.15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1.32</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2070</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0.57</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0.35</w:t>
            </w:r>
          </w:p>
        </w:tc>
        <w:tc>
          <w:tcPr>
            <w:tcW w:w="935"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0.82</w:t>
            </w:r>
          </w:p>
        </w:tc>
        <w:tc>
          <w:tcPr>
            <w:tcW w:w="936" w:type="dxa"/>
            <w:tcBorders>
              <w:top w:val="dotted" w:sz="4" w:space="0" w:color="auto"/>
              <w:bottom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0.49</w:t>
            </w:r>
          </w:p>
        </w:tc>
      </w:tr>
      <w:tr w:rsidR="008327B2" w:rsidRPr="00DD3CB1" w:rsidTr="008327B2">
        <w:trPr>
          <w:trHeight w:val="20"/>
        </w:trPr>
        <w:tc>
          <w:tcPr>
            <w:tcW w:w="960"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2100</w:t>
            </w:r>
          </w:p>
        </w:tc>
        <w:tc>
          <w:tcPr>
            <w:tcW w:w="935"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3.47</w:t>
            </w:r>
          </w:p>
        </w:tc>
        <w:tc>
          <w:tcPr>
            <w:tcW w:w="935"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1.64</w:t>
            </w:r>
          </w:p>
        </w:tc>
        <w:tc>
          <w:tcPr>
            <w:tcW w:w="935"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3.22</w:t>
            </w:r>
          </w:p>
        </w:tc>
        <w:tc>
          <w:tcPr>
            <w:tcW w:w="935"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1.55</w:t>
            </w:r>
          </w:p>
        </w:tc>
        <w:tc>
          <w:tcPr>
            <w:tcW w:w="936"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2100</w:t>
            </w:r>
          </w:p>
        </w:tc>
        <w:tc>
          <w:tcPr>
            <w:tcW w:w="935"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0.91</w:t>
            </w:r>
          </w:p>
        </w:tc>
        <w:tc>
          <w:tcPr>
            <w:tcW w:w="935"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0.42</w:t>
            </w:r>
          </w:p>
        </w:tc>
        <w:tc>
          <w:tcPr>
            <w:tcW w:w="935"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1.1</w:t>
            </w:r>
          </w:p>
        </w:tc>
        <w:tc>
          <w:tcPr>
            <w:tcW w:w="936" w:type="dxa"/>
            <w:tcBorders>
              <w:top w:val="dotted" w:sz="4" w:space="0" w:color="auto"/>
            </w:tcBorders>
            <w:shd w:val="clear" w:color="auto" w:fill="auto"/>
            <w:noWrap/>
            <w:vAlign w:val="center"/>
            <w:hideMark/>
          </w:tcPr>
          <w:p w:rsidR="008327B2" w:rsidRPr="001A01AB" w:rsidRDefault="008327B2" w:rsidP="008327B2">
            <w:pPr>
              <w:jc w:val="both"/>
              <w:rPr>
                <w:rFonts w:ascii="Calibri" w:hAnsi="Calibri" w:cs="Calibri"/>
                <w:sz w:val="22"/>
                <w:szCs w:val="22"/>
                <w:lang w:val="es-GT"/>
              </w:rPr>
            </w:pPr>
            <w:r w:rsidRPr="001A01AB">
              <w:rPr>
                <w:rFonts w:ascii="Calibri" w:hAnsi="Calibri" w:cs="Calibri"/>
                <w:sz w:val="22"/>
                <w:szCs w:val="22"/>
                <w:lang w:val="es-GT"/>
              </w:rPr>
              <w:t>0.55</w:t>
            </w:r>
          </w:p>
        </w:tc>
      </w:tr>
    </w:tbl>
    <w:p w:rsidR="008327B2" w:rsidRPr="001A01AB" w:rsidRDefault="008327B2" w:rsidP="008327B2">
      <w:pPr>
        <w:autoSpaceDE w:val="0"/>
        <w:autoSpaceDN w:val="0"/>
        <w:adjustRightInd w:val="0"/>
        <w:ind w:right="288"/>
        <w:jc w:val="right"/>
        <w:rPr>
          <w:rFonts w:ascii="Calibri" w:hAnsi="Calibri" w:cs="Calibri"/>
          <w:sz w:val="20"/>
          <w:lang w:val="es-GT"/>
        </w:rPr>
      </w:pPr>
      <w:r w:rsidRPr="001A01AB">
        <w:rPr>
          <w:rFonts w:ascii="Calibri" w:hAnsi="Calibri" w:cs="Calibri"/>
          <w:sz w:val="20"/>
          <w:lang w:val="es-GT"/>
        </w:rPr>
        <w:t xml:space="preserve">Fuente: </w:t>
      </w:r>
      <w:r w:rsidR="007057AF">
        <w:rPr>
          <w:rFonts w:ascii="Calibri" w:hAnsi="Calibri" w:cs="Calibri"/>
          <w:sz w:val="20"/>
          <w:lang w:val="es-GT" w:eastAsia="es-GT"/>
        </w:rPr>
        <w:t>CEPAL</w:t>
      </w:r>
      <w:r w:rsidRPr="001A01AB">
        <w:rPr>
          <w:rFonts w:ascii="Calibri" w:hAnsi="Calibri" w:cs="Calibri"/>
          <w:sz w:val="20"/>
          <w:lang w:val="es-GT" w:eastAsia="es-GT"/>
        </w:rPr>
        <w:t xml:space="preserve"> </w:t>
      </w:r>
      <w:r w:rsidR="007057AF">
        <w:rPr>
          <w:rFonts w:ascii="Calibri" w:hAnsi="Calibri" w:cs="Calibri"/>
          <w:sz w:val="20"/>
          <w:lang w:val="es-GT" w:eastAsia="es-GT"/>
        </w:rPr>
        <w:t>(</w:t>
      </w:r>
      <w:r w:rsidRPr="001A01AB">
        <w:rPr>
          <w:rFonts w:ascii="Calibri" w:hAnsi="Calibri" w:cs="Calibri"/>
          <w:sz w:val="20"/>
          <w:lang w:val="es-GT" w:eastAsia="es-GT"/>
        </w:rPr>
        <w:t>2010</w:t>
      </w:r>
      <w:r w:rsidR="007057AF">
        <w:rPr>
          <w:rFonts w:ascii="Calibri" w:hAnsi="Calibri" w:cs="Calibri"/>
          <w:sz w:val="20"/>
          <w:lang w:val="es-GT" w:eastAsia="es-GT"/>
        </w:rPr>
        <w:t>)</w:t>
      </w:r>
      <w:r w:rsidRPr="001A01AB">
        <w:rPr>
          <w:rFonts w:ascii="Calibri" w:hAnsi="Calibri" w:cs="Calibri"/>
          <w:sz w:val="20"/>
          <w:lang w:val="es-GT" w:eastAsia="es-GT"/>
        </w:rPr>
        <w:t>.</w:t>
      </w: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lastRenderedPageBreak/>
        <w:t xml:space="preserve">Para el escenario A2 </w:t>
      </w:r>
      <w:r w:rsidRPr="006D7016">
        <w:rPr>
          <w:rFonts w:ascii="Calibri" w:hAnsi="Calibri" w:cs="Calibri"/>
          <w:highlight w:val="yellow"/>
          <w:lang w:val="es-GT"/>
        </w:rPr>
        <w:t>incrementos en l</w:t>
      </w:r>
      <w:r w:rsidR="006D7016" w:rsidRPr="006D7016">
        <w:rPr>
          <w:rFonts w:ascii="Calibri" w:hAnsi="Calibri" w:cs="Calibri"/>
          <w:highlight w:val="yellow"/>
          <w:lang w:val="es-GT"/>
        </w:rPr>
        <w:t>a temperatura representan el 15.</w:t>
      </w:r>
      <w:r w:rsidRPr="006D7016">
        <w:rPr>
          <w:rFonts w:ascii="Calibri" w:hAnsi="Calibri" w:cs="Calibri"/>
          <w:highlight w:val="yellow"/>
          <w:lang w:val="es-GT"/>
        </w:rPr>
        <w:t>3% del PIB</w:t>
      </w:r>
      <w:r w:rsidRPr="001A01AB">
        <w:rPr>
          <w:rFonts w:ascii="Calibri" w:hAnsi="Calibri" w:cs="Calibri"/>
          <w:lang w:val="es-GT"/>
        </w:rPr>
        <w:t xml:space="preserve"> de 2007 y 3% para el escenario B2 (considerando una tasa de descuento de 2%). En el caso de la precipitación</w:t>
      </w:r>
      <w:r w:rsidR="006D7016">
        <w:rPr>
          <w:rFonts w:ascii="Calibri" w:hAnsi="Calibri" w:cs="Calibri"/>
          <w:lang w:val="es-GT"/>
        </w:rPr>
        <w:t>, las pérdidas representan el 3.5% en el escenario A2, y 0.</w:t>
      </w:r>
      <w:r w:rsidRPr="001A01AB">
        <w:rPr>
          <w:rFonts w:ascii="Calibri" w:hAnsi="Calibri" w:cs="Calibri"/>
          <w:lang w:val="es-GT"/>
        </w:rPr>
        <w:t>9 % en el escenario B2, estimando la tasa de descuento de 2%.</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Estos escenarios dan un panorama general </w:t>
      </w:r>
      <w:r w:rsidR="006D7016">
        <w:rPr>
          <w:rFonts w:ascii="Calibri" w:hAnsi="Calibri" w:cs="Calibri"/>
          <w:lang w:val="es-GT"/>
        </w:rPr>
        <w:t>del</w:t>
      </w:r>
      <w:r w:rsidRPr="001A01AB">
        <w:rPr>
          <w:rFonts w:ascii="Calibri" w:hAnsi="Calibri" w:cs="Calibri"/>
          <w:lang w:val="es-GT"/>
        </w:rPr>
        <w:t xml:space="preserve"> comportamiento de la producción agropecuaria ante cambios </w:t>
      </w:r>
      <w:r w:rsidR="006D7016">
        <w:rPr>
          <w:rFonts w:ascii="Calibri" w:hAnsi="Calibri" w:cs="Calibri"/>
          <w:lang w:val="es-GT"/>
        </w:rPr>
        <w:t>de</w:t>
      </w:r>
      <w:r w:rsidRPr="001A01AB">
        <w:rPr>
          <w:rFonts w:ascii="Calibri" w:hAnsi="Calibri" w:cs="Calibri"/>
          <w:lang w:val="es-GT"/>
        </w:rPr>
        <w:t xml:space="preserve"> precipitación y temperatura, pero </w:t>
      </w:r>
      <w:r w:rsidR="006D7016">
        <w:rPr>
          <w:rFonts w:ascii="Calibri" w:hAnsi="Calibri" w:cs="Calibri"/>
          <w:lang w:val="es-GT"/>
        </w:rPr>
        <w:t>debe contemplarse</w:t>
      </w:r>
      <w:r w:rsidRPr="001A01AB">
        <w:rPr>
          <w:rFonts w:ascii="Calibri" w:hAnsi="Calibri" w:cs="Calibri"/>
          <w:lang w:val="es-GT"/>
        </w:rPr>
        <w:t xml:space="preserve"> que las estimaciones aquí presentadas no incluyen ninguna adaptación ni cambios externos, como uso de nuevas tecnologías. A pesar de ello, el ejercicio realizado indica cuál será la situación del sector si no se hace algo para contrarrestar los efectos adversos del cambio climático.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760D64">
      <w:pPr>
        <w:jc w:val="both"/>
        <w:rPr>
          <w:rFonts w:ascii="Calibri" w:hAnsi="Calibri" w:cs="Calibri"/>
          <w:b/>
          <w:color w:val="365F91"/>
          <w:sz w:val="28"/>
          <w:lang w:val="es-GT"/>
        </w:rPr>
      </w:pPr>
      <w:r w:rsidRPr="001A01AB">
        <w:rPr>
          <w:rFonts w:ascii="Calibri" w:hAnsi="Calibri" w:cs="Calibri"/>
          <w:lang w:val="es-GT"/>
        </w:rPr>
        <w:br w:type="page"/>
      </w:r>
      <w:r w:rsidRPr="001A01AB">
        <w:rPr>
          <w:rFonts w:ascii="Calibri" w:hAnsi="Calibri" w:cs="Calibri"/>
          <w:b/>
          <w:color w:val="365F91"/>
          <w:sz w:val="28"/>
          <w:lang w:val="es-GT"/>
        </w:rPr>
        <w:lastRenderedPageBreak/>
        <w:t>Evaluación del FCD 4: Vulnerabilidad sistémica y cambio climático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Derivado del análisis realizado, se </w:t>
      </w:r>
      <w:r w:rsidR="006D7016">
        <w:rPr>
          <w:rFonts w:ascii="Calibri" w:hAnsi="Calibri" w:cs="Calibri"/>
          <w:lang w:val="es-GT"/>
        </w:rPr>
        <w:t>determinaron</w:t>
      </w:r>
      <w:r w:rsidRPr="001A01AB">
        <w:rPr>
          <w:rFonts w:ascii="Calibri" w:hAnsi="Calibri" w:cs="Calibri"/>
          <w:lang w:val="es-GT"/>
        </w:rPr>
        <w:t xml:space="preserve"> las fortalezas, oportunidades, debilidades y amenazas (FODA) para este FCD. Adicionalmente</w:t>
      </w:r>
      <w:r w:rsidR="006D7016">
        <w:rPr>
          <w:rFonts w:ascii="Calibri" w:hAnsi="Calibri" w:cs="Calibri"/>
          <w:lang w:val="es-GT"/>
        </w:rPr>
        <w:t>,</w:t>
      </w:r>
      <w:r w:rsidRPr="001A01AB">
        <w:rPr>
          <w:rFonts w:ascii="Calibri" w:hAnsi="Calibri" w:cs="Calibri"/>
          <w:lang w:val="es-GT"/>
        </w:rPr>
        <w:t xml:space="preserve"> se </w:t>
      </w:r>
      <w:r w:rsidR="00436502" w:rsidRPr="001A01AB">
        <w:rPr>
          <w:rFonts w:ascii="Calibri" w:hAnsi="Calibri" w:cs="Calibri"/>
          <w:lang w:val="es-GT"/>
        </w:rPr>
        <w:t>analizó</w:t>
      </w:r>
      <w:r w:rsidRPr="001A01AB">
        <w:rPr>
          <w:rFonts w:ascii="Calibri" w:hAnsi="Calibri" w:cs="Calibri"/>
          <w:lang w:val="es-GT"/>
        </w:rPr>
        <w:t xml:space="preserve"> la tendencia que se espera de estos factores, considerando e</w:t>
      </w:r>
      <w:r w:rsidR="006D7016">
        <w:rPr>
          <w:rFonts w:ascii="Calibri" w:hAnsi="Calibri" w:cs="Calibri"/>
          <w:lang w:val="es-GT"/>
        </w:rPr>
        <w:t>l</w:t>
      </w:r>
      <w:r w:rsidRPr="001A01AB">
        <w:rPr>
          <w:rFonts w:ascii="Calibri" w:hAnsi="Calibri" w:cs="Calibri"/>
          <w:lang w:val="es-GT"/>
        </w:rPr>
        <w:t xml:space="preserve"> escenario tendencial que a la fecha se ha evaluado en el país. Los resultados para este FCD se presentan a continuación.</w:t>
      </w:r>
    </w:p>
    <w:p w:rsidR="008327B2" w:rsidRPr="001A01AB" w:rsidRDefault="008327B2" w:rsidP="008327B2">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4788"/>
        <w:gridCol w:w="4788"/>
      </w:tblGrid>
      <w:tr w:rsidR="008327B2" w:rsidRPr="000364C9" w:rsidTr="001A01AB">
        <w:trPr>
          <w:jc w:val="center"/>
        </w:trPr>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Fortalezas:</w:t>
            </w:r>
          </w:p>
          <w:p w:rsidR="008327B2" w:rsidRPr="001A01AB" w:rsidRDefault="006D7016"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En</w:t>
            </w:r>
            <w:r w:rsidR="008327B2" w:rsidRPr="001A01AB">
              <w:rPr>
                <w:rFonts w:ascii="Calibri" w:hAnsi="Calibri" w:cs="Calibri"/>
                <w:sz w:val="20"/>
                <w:szCs w:val="22"/>
                <w:lang w:val="es-GT"/>
              </w:rPr>
              <w:t xml:space="preserve"> el caso de </w:t>
            </w:r>
            <w:r>
              <w:rPr>
                <w:rFonts w:ascii="Calibri" w:hAnsi="Calibri" w:cs="Calibri"/>
                <w:sz w:val="20"/>
                <w:szCs w:val="22"/>
                <w:lang w:val="es-GT"/>
              </w:rPr>
              <w:t xml:space="preserve">la </w:t>
            </w:r>
            <w:r w:rsidR="008327B2" w:rsidRPr="001A01AB">
              <w:rPr>
                <w:rFonts w:ascii="Calibri" w:hAnsi="Calibri" w:cs="Calibri"/>
                <w:sz w:val="20"/>
                <w:szCs w:val="22"/>
                <w:lang w:val="es-GT"/>
              </w:rPr>
              <w:t xml:space="preserve">adaptación, se trata de </w:t>
            </w:r>
            <w:r w:rsidRPr="001A01AB">
              <w:rPr>
                <w:rFonts w:ascii="Calibri" w:hAnsi="Calibri" w:cs="Calibri"/>
                <w:sz w:val="20"/>
                <w:szCs w:val="22"/>
                <w:lang w:val="es-GT"/>
              </w:rPr>
              <w:t>atender</w:t>
            </w:r>
            <w:r w:rsidR="008327B2" w:rsidRPr="001A01AB">
              <w:rPr>
                <w:rFonts w:ascii="Calibri" w:hAnsi="Calibri" w:cs="Calibri"/>
                <w:sz w:val="20"/>
                <w:szCs w:val="22"/>
                <w:lang w:val="es-GT"/>
              </w:rPr>
              <w:t xml:space="preserve"> medidas para mejorar la capacidad de resiliencia de los ecosistemas y comunidades, es decir, mejorar su capacidad de asimilar alteraciones drásticas.</w:t>
            </w:r>
          </w:p>
          <w:p w:rsidR="008327B2" w:rsidRPr="001A01AB" w:rsidRDefault="002669E1"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C</w:t>
            </w:r>
            <w:r w:rsidR="008327B2" w:rsidRPr="001A01AB">
              <w:rPr>
                <w:rFonts w:ascii="Calibri" w:hAnsi="Calibri" w:cs="Calibri"/>
                <w:sz w:val="20"/>
                <w:szCs w:val="22"/>
                <w:lang w:val="es-GT"/>
              </w:rPr>
              <w:t>orriente generadora de conocimientos e información que muestr</w:t>
            </w:r>
            <w:r>
              <w:rPr>
                <w:rFonts w:ascii="Calibri" w:hAnsi="Calibri" w:cs="Calibri"/>
                <w:sz w:val="20"/>
                <w:szCs w:val="22"/>
                <w:lang w:val="es-GT"/>
              </w:rPr>
              <w:t>a</w:t>
            </w:r>
            <w:r w:rsidR="008327B2" w:rsidRPr="001A01AB">
              <w:rPr>
                <w:rFonts w:ascii="Calibri" w:hAnsi="Calibri" w:cs="Calibri"/>
                <w:sz w:val="20"/>
                <w:szCs w:val="22"/>
                <w:lang w:val="es-GT"/>
              </w:rPr>
              <w:t xml:space="preserve"> las implicaciones del cambio climático en el país</w:t>
            </w:r>
            <w:r>
              <w:rPr>
                <w:rFonts w:ascii="Calibri" w:hAnsi="Calibri" w:cs="Calibri"/>
                <w:sz w:val="20"/>
                <w:szCs w:val="22"/>
                <w:lang w:val="es-GT"/>
              </w:rPr>
              <w:t>,</w:t>
            </w:r>
            <w:r w:rsidR="008327B2" w:rsidRPr="001A01AB">
              <w:rPr>
                <w:rFonts w:ascii="Calibri" w:hAnsi="Calibri" w:cs="Calibri"/>
                <w:sz w:val="20"/>
                <w:szCs w:val="22"/>
                <w:lang w:val="es-GT"/>
              </w:rPr>
              <w:t xml:space="preserve"> y permit</w:t>
            </w:r>
            <w:r>
              <w:rPr>
                <w:rFonts w:ascii="Calibri" w:hAnsi="Calibri" w:cs="Calibri"/>
                <w:sz w:val="20"/>
                <w:szCs w:val="22"/>
                <w:lang w:val="es-GT"/>
              </w:rPr>
              <w:t>e</w:t>
            </w:r>
            <w:r w:rsidR="008327B2" w:rsidRPr="001A01AB">
              <w:rPr>
                <w:rFonts w:ascii="Calibri" w:hAnsi="Calibri" w:cs="Calibri"/>
                <w:sz w:val="20"/>
                <w:szCs w:val="22"/>
                <w:lang w:val="es-GT"/>
              </w:rPr>
              <w:t xml:space="preserve"> tomar decisiones con certeza y oportunidad.</w:t>
            </w:r>
          </w:p>
          <w:p w:rsidR="008327B2" w:rsidRPr="001A01AB" w:rsidRDefault="002669E1"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w:t>
            </w:r>
            <w:r w:rsidR="008327B2" w:rsidRPr="001A01AB">
              <w:rPr>
                <w:rFonts w:ascii="Calibri" w:hAnsi="Calibri" w:cs="Calibri"/>
                <w:sz w:val="20"/>
                <w:szCs w:val="22"/>
                <w:lang w:val="es-GT"/>
              </w:rPr>
              <w:t>l programa de Incentivos Forestales para Poseedores de Pequeñas Extensiones de Tierra de Vocación Forestal o Agroforestal (PINPEP)</w:t>
            </w:r>
            <w:r>
              <w:rPr>
                <w:rFonts w:ascii="Calibri" w:hAnsi="Calibri" w:cs="Calibri"/>
                <w:sz w:val="20"/>
                <w:szCs w:val="22"/>
                <w:lang w:val="es-GT"/>
              </w:rPr>
              <w:t xml:space="preserve"> s</w:t>
            </w:r>
            <w:r w:rsidRPr="001A01AB">
              <w:rPr>
                <w:rFonts w:ascii="Calibri" w:hAnsi="Calibri" w:cs="Calibri"/>
                <w:sz w:val="20"/>
                <w:szCs w:val="22"/>
                <w:lang w:val="es-GT"/>
              </w:rPr>
              <w:t>e encuentra en operación</w:t>
            </w:r>
            <w:r w:rsidR="008327B2" w:rsidRPr="001A01AB">
              <w:rPr>
                <w:rFonts w:ascii="Calibri" w:hAnsi="Calibri" w:cs="Calibri"/>
                <w:sz w:val="20"/>
                <w:szCs w:val="22"/>
                <w:lang w:val="es-GT"/>
              </w:rPr>
              <w:t>.</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En el periodo 1998-2010, las plantaciones incentivadas por el INAB registraron un crecimient</w:t>
            </w:r>
            <w:r w:rsidR="002669E1">
              <w:rPr>
                <w:rFonts w:ascii="Calibri" w:hAnsi="Calibri" w:cs="Calibri"/>
                <w:sz w:val="20"/>
                <w:szCs w:val="22"/>
                <w:lang w:val="es-GT"/>
              </w:rPr>
              <w:t xml:space="preserve">o promedio de 7,520 ha por año, </w:t>
            </w:r>
            <w:r w:rsidRPr="001A01AB">
              <w:rPr>
                <w:rFonts w:ascii="Calibri" w:hAnsi="Calibri" w:cs="Calibri"/>
                <w:sz w:val="20"/>
                <w:szCs w:val="22"/>
                <w:lang w:val="es-GT"/>
              </w:rPr>
              <w:t>como resultado de una política pública de largo plazo.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Se infiere que el mayor porcentaje de los incrementos en la cobertura forestal corresponde a la regeneración natural.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condiciones naturales favorecen la regeneración natural de los bosques.</w:t>
            </w:r>
          </w:p>
        </w:tc>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Oportunidades: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Diversos espacios de discusión nacional e internacional tratan asuntos relacionados con el cambio climático en Guatemala, lo </w:t>
            </w:r>
            <w:r w:rsidR="002669E1">
              <w:rPr>
                <w:rFonts w:ascii="Calibri" w:hAnsi="Calibri" w:cs="Calibri"/>
                <w:sz w:val="20"/>
                <w:szCs w:val="22"/>
                <w:lang w:val="es-GT"/>
              </w:rPr>
              <w:t>cual</w:t>
            </w:r>
            <w:r w:rsidRPr="001A01AB">
              <w:rPr>
                <w:rFonts w:ascii="Calibri" w:hAnsi="Calibri" w:cs="Calibri"/>
                <w:sz w:val="20"/>
                <w:szCs w:val="22"/>
                <w:lang w:val="es-GT"/>
              </w:rPr>
              <w:t xml:space="preserve"> implica desplegar acciones para la mitigación y la adaptación.</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debates mundiales sobre cambio climático se centran cada vez más en la necesidad de reducir las emisiones de gases de efecto invernadero generadas por la deforestación y la degradación de los bosques en los países en vías de desarrollo.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Para el caso de la adaptación, se trata de crear o fortalecer capacidades sociales locales, para internalizar y administrar los efectos adversos del cambio climático que se manifiestan como inundaciones, tormentas y sequías.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Una nueva red hidrometeorológica se ha implementado en el año 2000, por lo que habrá registros disponibles a futuro.</w:t>
            </w:r>
          </w:p>
        </w:tc>
      </w:tr>
      <w:tr w:rsidR="008327B2" w:rsidRPr="000364C9" w:rsidTr="001A01AB">
        <w:trPr>
          <w:jc w:val="center"/>
        </w:trPr>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Pérdidas por un valor de 3,166.9 millones de dólares en todos los sectores (sociales, productivos, infraestructura y ambientales).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Poca capacidad de resiliencia </w:t>
            </w:r>
            <w:r w:rsidR="002669E1">
              <w:rPr>
                <w:rFonts w:ascii="Calibri" w:hAnsi="Calibri" w:cs="Calibri"/>
                <w:sz w:val="20"/>
                <w:szCs w:val="22"/>
                <w:lang w:val="es-GT"/>
              </w:rPr>
              <w:t>ante</w:t>
            </w:r>
            <w:r w:rsidRPr="001A01AB">
              <w:rPr>
                <w:rFonts w:ascii="Calibri" w:hAnsi="Calibri" w:cs="Calibri"/>
                <w:sz w:val="20"/>
                <w:szCs w:val="22"/>
                <w:lang w:val="es-GT"/>
              </w:rPr>
              <w:t xml:space="preserve"> la</w:t>
            </w:r>
            <w:r w:rsidR="002669E1">
              <w:rPr>
                <w:rFonts w:ascii="Calibri" w:hAnsi="Calibri" w:cs="Calibri"/>
                <w:sz w:val="20"/>
                <w:szCs w:val="22"/>
                <w:lang w:val="es-GT"/>
              </w:rPr>
              <w:t>s</w:t>
            </w:r>
            <w:r w:rsidRPr="001A01AB">
              <w:rPr>
                <w:rFonts w:ascii="Calibri" w:hAnsi="Calibri" w:cs="Calibri"/>
                <w:sz w:val="20"/>
                <w:szCs w:val="22"/>
                <w:lang w:val="es-GT"/>
              </w:rPr>
              <w:t xml:space="preserve"> pérdidas económicas causadas por desastres ocurridos (inundaciones de 19</w:t>
            </w:r>
            <w:r w:rsidR="002669E1">
              <w:rPr>
                <w:rFonts w:ascii="Calibri" w:hAnsi="Calibri" w:cs="Calibri"/>
                <w:sz w:val="20"/>
                <w:szCs w:val="22"/>
                <w:lang w:val="es-GT"/>
              </w:rPr>
              <w:t>82, Huracán Mitch en 1998, sequí</w:t>
            </w:r>
            <w:r w:rsidRPr="001A01AB">
              <w:rPr>
                <w:rFonts w:ascii="Calibri" w:hAnsi="Calibri" w:cs="Calibri"/>
                <w:sz w:val="20"/>
                <w:szCs w:val="22"/>
                <w:lang w:val="es-GT"/>
              </w:rPr>
              <w:t>as en 2001, Tormenta Stan en 2005 y la Tormenta Agatha en 2010).</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Pérdidas parciales de las </w:t>
            </w:r>
            <w:r w:rsidR="002669E1">
              <w:rPr>
                <w:rFonts w:ascii="Calibri" w:hAnsi="Calibri" w:cs="Calibri"/>
                <w:sz w:val="20"/>
                <w:szCs w:val="22"/>
                <w:lang w:val="es-GT"/>
              </w:rPr>
              <w:t>cosechas por efectos del clima. L</w:t>
            </w:r>
            <w:r w:rsidRPr="001A01AB">
              <w:rPr>
                <w:rFonts w:ascii="Calibri" w:hAnsi="Calibri" w:cs="Calibri"/>
                <w:sz w:val="20"/>
                <w:szCs w:val="22"/>
                <w:lang w:val="es-GT"/>
              </w:rPr>
              <w:t>os productores consideran no esta</w:t>
            </w:r>
            <w:r w:rsidR="002669E1">
              <w:rPr>
                <w:rFonts w:ascii="Calibri" w:hAnsi="Calibri" w:cs="Calibri"/>
                <w:sz w:val="20"/>
                <w:szCs w:val="22"/>
                <w:lang w:val="es-GT"/>
              </w:rPr>
              <w:t>r adaptados al cambio climático</w:t>
            </w:r>
            <w:r w:rsidRPr="001A01AB">
              <w:rPr>
                <w:rFonts w:ascii="Calibri" w:hAnsi="Calibri" w:cs="Calibri"/>
                <w:sz w:val="20"/>
                <w:szCs w:val="22"/>
                <w:lang w:val="es-GT"/>
              </w:rPr>
              <w:t xml:space="preserve"> con culti</w:t>
            </w:r>
            <w:r w:rsidR="002669E1">
              <w:rPr>
                <w:rFonts w:ascii="Calibri" w:hAnsi="Calibri" w:cs="Calibri"/>
                <w:sz w:val="20"/>
                <w:szCs w:val="22"/>
                <w:lang w:val="es-GT"/>
              </w:rPr>
              <w:t>vos resistentes a heladas, sequí</w:t>
            </w:r>
            <w:r w:rsidRPr="001A01AB">
              <w:rPr>
                <w:rFonts w:ascii="Calibri" w:hAnsi="Calibri" w:cs="Calibri"/>
                <w:sz w:val="20"/>
                <w:szCs w:val="22"/>
                <w:lang w:val="es-GT"/>
              </w:rPr>
              <w:t>as e inundaciones, lo cual los hace más vulnerables.</w:t>
            </w:r>
          </w:p>
          <w:p w:rsidR="008327B2" w:rsidRPr="001A01AB" w:rsidRDefault="002669E1"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Poco conocimiento sobre</w:t>
            </w:r>
            <w:r w:rsidR="008327B2" w:rsidRPr="001A01AB">
              <w:rPr>
                <w:rFonts w:ascii="Calibri" w:hAnsi="Calibri" w:cs="Calibri"/>
                <w:sz w:val="20"/>
                <w:szCs w:val="22"/>
                <w:lang w:val="es-GT"/>
              </w:rPr>
              <w:t xml:space="preserve"> las implicaciones del cambio climático en el subsistema institucional limita las posibilidades de orientar acciones con la pertinencia, suficiencia y oportunidad, para minimizar sus consecuencias negativas en otros </w:t>
            </w:r>
            <w:r w:rsidR="008327B2" w:rsidRPr="001A01AB">
              <w:rPr>
                <w:rFonts w:ascii="Calibri" w:hAnsi="Calibri" w:cs="Calibri"/>
                <w:sz w:val="20"/>
                <w:szCs w:val="22"/>
                <w:lang w:val="es-GT"/>
              </w:rPr>
              <w:lastRenderedPageBreak/>
              <w:t>subsistemas.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ineficiencia productiva y los enfoques extractivos del subsistema económico, así como las crecientes presiones sociales, son elementos que promueven y </w:t>
            </w:r>
            <w:r w:rsidR="00436502" w:rsidRPr="001A01AB">
              <w:rPr>
                <w:rFonts w:ascii="Calibri" w:hAnsi="Calibri" w:cs="Calibri"/>
                <w:sz w:val="20"/>
                <w:szCs w:val="22"/>
                <w:lang w:val="es-GT"/>
              </w:rPr>
              <w:t>acentúan</w:t>
            </w:r>
            <w:r w:rsidRPr="001A01AB">
              <w:rPr>
                <w:rFonts w:ascii="Calibri" w:hAnsi="Calibri" w:cs="Calibri"/>
                <w:sz w:val="20"/>
                <w:szCs w:val="22"/>
                <w:lang w:val="es-GT"/>
              </w:rPr>
              <w:t xml:space="preserve"> el deterioro natural, que merma la capacidad de resiliencia de los ecosistemas.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Necesidad de impulsar acciones integrales amparadas por lo menos en la emisión explícita de una política y una estrategia nacional de cambio climático de aplicación inmediata.</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Para enfrentar el </w:t>
            </w:r>
            <w:r w:rsidR="002669E1">
              <w:rPr>
                <w:rFonts w:ascii="Calibri" w:hAnsi="Calibri" w:cs="Calibri"/>
                <w:sz w:val="20"/>
                <w:szCs w:val="22"/>
                <w:lang w:val="es-GT"/>
              </w:rPr>
              <w:t>cambio climático</w:t>
            </w:r>
            <w:r w:rsidRPr="001A01AB">
              <w:rPr>
                <w:rFonts w:ascii="Calibri" w:hAnsi="Calibri" w:cs="Calibri"/>
                <w:sz w:val="20"/>
                <w:szCs w:val="22"/>
                <w:lang w:val="es-GT"/>
              </w:rPr>
              <w:t xml:space="preserve"> aún es débil el liderazgo institucional público que promueva inversiones, tanto estatales como privadas, para enfoques de restauración y conservación del territorio sobre los enfoques de uso extractivo.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Débil liderazgo para mejorar la capacidad de negociación para obtener financiamiento internacional complementario al nacional.</w:t>
            </w:r>
          </w:p>
          <w:p w:rsidR="008327B2" w:rsidRPr="001A01AB" w:rsidRDefault="002669E1"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Las a</w:t>
            </w:r>
            <w:r w:rsidR="008327B2" w:rsidRPr="001A01AB">
              <w:rPr>
                <w:rFonts w:ascii="Calibri" w:hAnsi="Calibri" w:cs="Calibri"/>
                <w:sz w:val="20"/>
                <w:szCs w:val="22"/>
                <w:lang w:val="es-GT"/>
              </w:rPr>
              <w:t xml:space="preserve">ctividades económicas aún no </w:t>
            </w:r>
            <w:r>
              <w:rPr>
                <w:rFonts w:ascii="Calibri" w:hAnsi="Calibri" w:cs="Calibri"/>
                <w:sz w:val="20"/>
                <w:szCs w:val="22"/>
                <w:lang w:val="es-GT"/>
              </w:rPr>
              <w:t xml:space="preserve">se </w:t>
            </w:r>
            <w:r w:rsidR="008327B2" w:rsidRPr="001A01AB">
              <w:rPr>
                <w:rFonts w:ascii="Calibri" w:hAnsi="Calibri" w:cs="Calibri"/>
                <w:sz w:val="20"/>
                <w:szCs w:val="22"/>
                <w:lang w:val="es-GT"/>
              </w:rPr>
              <w:t xml:space="preserve">transforman </w:t>
            </w:r>
            <w:r>
              <w:rPr>
                <w:rFonts w:ascii="Calibri" w:hAnsi="Calibri" w:cs="Calibri"/>
                <w:sz w:val="20"/>
                <w:szCs w:val="22"/>
                <w:lang w:val="es-GT"/>
              </w:rPr>
              <w:t>haci</w:t>
            </w:r>
            <w:r w:rsidR="008327B2" w:rsidRPr="001A01AB">
              <w:rPr>
                <w:rFonts w:ascii="Calibri" w:hAnsi="Calibri" w:cs="Calibri"/>
                <w:sz w:val="20"/>
                <w:szCs w:val="22"/>
                <w:lang w:val="es-GT"/>
              </w:rPr>
              <w:t>a tecnologías modernas y limpias, para mejorar su desempeño ambiental en actividades de generación y distribución de energía, silvicultura, agricultura, ganadería, transporte e industria.</w:t>
            </w:r>
          </w:p>
          <w:p w:rsidR="008327B2" w:rsidRPr="001A01AB" w:rsidRDefault="008327B2" w:rsidP="002669E1">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En la actualidad</w:t>
            </w:r>
            <w:r w:rsidR="002669E1">
              <w:rPr>
                <w:rFonts w:ascii="Calibri" w:hAnsi="Calibri" w:cs="Calibri"/>
                <w:sz w:val="20"/>
                <w:szCs w:val="22"/>
                <w:lang w:val="es-GT"/>
              </w:rPr>
              <w:t>,</w:t>
            </w:r>
            <w:r w:rsidRPr="001A01AB">
              <w:rPr>
                <w:rFonts w:ascii="Calibri" w:hAnsi="Calibri" w:cs="Calibri"/>
                <w:sz w:val="20"/>
                <w:szCs w:val="22"/>
                <w:lang w:val="es-GT"/>
              </w:rPr>
              <w:t xml:space="preserve"> el conoc</w:t>
            </w:r>
            <w:r w:rsidR="002669E1">
              <w:rPr>
                <w:rFonts w:ascii="Calibri" w:hAnsi="Calibri" w:cs="Calibri"/>
                <w:sz w:val="20"/>
                <w:szCs w:val="22"/>
                <w:lang w:val="es-GT"/>
              </w:rPr>
              <w:t>imiento del recurso es limitado.</w:t>
            </w:r>
            <w:r w:rsidR="00141A70">
              <w:rPr>
                <w:rFonts w:ascii="Calibri" w:hAnsi="Calibri" w:cs="Calibri"/>
                <w:sz w:val="20"/>
                <w:szCs w:val="22"/>
                <w:lang w:val="es-GT"/>
              </w:rPr>
              <w:t xml:space="preserve"> </w:t>
            </w:r>
            <w:r w:rsidR="002669E1">
              <w:rPr>
                <w:rFonts w:ascii="Calibri" w:hAnsi="Calibri" w:cs="Calibri"/>
                <w:sz w:val="20"/>
                <w:szCs w:val="22"/>
                <w:lang w:val="es-GT"/>
              </w:rPr>
              <w:t>L</w:t>
            </w:r>
            <w:r w:rsidRPr="001A01AB">
              <w:rPr>
                <w:rFonts w:ascii="Calibri" w:hAnsi="Calibri" w:cs="Calibri"/>
                <w:sz w:val="20"/>
                <w:szCs w:val="22"/>
                <w:lang w:val="es-GT"/>
              </w:rPr>
              <w:t>a mayoría de las estaciones que conformaban la red h</w:t>
            </w:r>
            <w:r w:rsidR="002669E1">
              <w:rPr>
                <w:rFonts w:ascii="Calibri" w:hAnsi="Calibri" w:cs="Calibri"/>
                <w:sz w:val="20"/>
                <w:szCs w:val="22"/>
                <w:lang w:val="es-GT"/>
              </w:rPr>
              <w:t>idrometeorológica nacional</w:t>
            </w:r>
            <w:r w:rsidRPr="001A01AB">
              <w:rPr>
                <w:rFonts w:ascii="Calibri" w:hAnsi="Calibri" w:cs="Calibri"/>
                <w:sz w:val="20"/>
                <w:szCs w:val="22"/>
                <w:lang w:val="es-GT"/>
              </w:rPr>
              <w:t xml:space="preserve"> han operado irregularmente desde </w:t>
            </w:r>
            <w:r w:rsidR="002669E1">
              <w:rPr>
                <w:rFonts w:ascii="Calibri" w:hAnsi="Calibri" w:cs="Calibri"/>
                <w:sz w:val="20"/>
                <w:szCs w:val="22"/>
                <w:lang w:val="es-GT"/>
              </w:rPr>
              <w:t>inicios de la década de los</w:t>
            </w:r>
            <w:r w:rsidRPr="001A01AB">
              <w:rPr>
                <w:rFonts w:ascii="Calibri" w:hAnsi="Calibri" w:cs="Calibri"/>
                <w:sz w:val="20"/>
                <w:szCs w:val="22"/>
                <w:lang w:val="es-GT"/>
              </w:rPr>
              <w:t xml:space="preserve"> ochenta.</w:t>
            </w:r>
          </w:p>
        </w:tc>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Reducciones de la productividad de los ecosistemas, con repercusiones sociales en los procesos de empobrecimiento, migración, desplazamientos internos y deterioro de la calidad de vida de la población, tanto rural </w:t>
            </w:r>
            <w:r w:rsidR="002669E1">
              <w:rPr>
                <w:rFonts w:ascii="Calibri" w:hAnsi="Calibri" w:cs="Calibri"/>
                <w:sz w:val="20"/>
                <w:szCs w:val="22"/>
                <w:lang w:val="es-GT"/>
              </w:rPr>
              <w:t>como</w:t>
            </w:r>
            <w:r w:rsidRPr="001A01AB">
              <w:rPr>
                <w:rFonts w:ascii="Calibri" w:hAnsi="Calibri" w:cs="Calibri"/>
                <w:sz w:val="20"/>
                <w:szCs w:val="22"/>
                <w:lang w:val="es-GT"/>
              </w:rPr>
              <w:t xml:space="preserve"> urbano-marginal.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falta de ac</w:t>
            </w:r>
            <w:r w:rsidR="002669E1">
              <w:rPr>
                <w:rFonts w:ascii="Calibri" w:hAnsi="Calibri" w:cs="Calibri"/>
                <w:sz w:val="20"/>
                <w:szCs w:val="22"/>
                <w:lang w:val="es-GT"/>
              </w:rPr>
              <w:t>ceso a los medios de producción y la</w:t>
            </w:r>
            <w:r w:rsidRPr="001A01AB">
              <w:rPr>
                <w:rFonts w:ascii="Calibri" w:hAnsi="Calibri" w:cs="Calibri"/>
                <w:sz w:val="20"/>
                <w:szCs w:val="22"/>
                <w:lang w:val="es-GT"/>
              </w:rPr>
              <w:t xml:space="preserve"> falta de certeza jurídica sobre la tenencia y propiedad de la misma, dificulta </w:t>
            </w:r>
            <w:r w:rsidR="002669E1">
              <w:rPr>
                <w:rFonts w:ascii="Calibri" w:hAnsi="Calibri" w:cs="Calibri"/>
                <w:sz w:val="20"/>
                <w:szCs w:val="22"/>
                <w:lang w:val="es-GT"/>
              </w:rPr>
              <w:t xml:space="preserve">el </w:t>
            </w:r>
            <w:r w:rsidRPr="001A01AB">
              <w:rPr>
                <w:rFonts w:ascii="Calibri" w:hAnsi="Calibri" w:cs="Calibri"/>
                <w:sz w:val="20"/>
                <w:szCs w:val="22"/>
                <w:lang w:val="es-GT"/>
              </w:rPr>
              <w:t>acceso al crédito</w:t>
            </w:r>
            <w:r w:rsidR="002669E1">
              <w:rPr>
                <w:rFonts w:ascii="Calibri" w:hAnsi="Calibri" w:cs="Calibri"/>
                <w:sz w:val="20"/>
                <w:szCs w:val="22"/>
                <w:lang w:val="es-GT"/>
              </w:rPr>
              <w:t>. Esto</w:t>
            </w:r>
            <w:r w:rsidRPr="001A01AB">
              <w:rPr>
                <w:rFonts w:ascii="Calibri" w:hAnsi="Calibri" w:cs="Calibri"/>
                <w:sz w:val="20"/>
                <w:szCs w:val="22"/>
                <w:lang w:val="es-GT"/>
              </w:rPr>
              <w:t xml:space="preserve">, aunado </w:t>
            </w:r>
            <w:r w:rsidR="002669E1">
              <w:rPr>
                <w:rFonts w:ascii="Calibri" w:hAnsi="Calibri" w:cs="Calibri"/>
                <w:sz w:val="20"/>
                <w:szCs w:val="22"/>
                <w:lang w:val="es-GT"/>
              </w:rPr>
              <w:t xml:space="preserve">a que </w:t>
            </w:r>
            <w:r w:rsidRPr="001A01AB">
              <w:rPr>
                <w:rFonts w:ascii="Calibri" w:hAnsi="Calibri" w:cs="Calibri"/>
                <w:sz w:val="20"/>
                <w:szCs w:val="22"/>
                <w:lang w:val="es-GT"/>
              </w:rPr>
              <w:t xml:space="preserve">la infraestructura productiva en algunos lugares del país es baja o nula, </w:t>
            </w:r>
            <w:r w:rsidR="002669E1">
              <w:rPr>
                <w:rFonts w:ascii="Calibri" w:hAnsi="Calibri" w:cs="Calibri"/>
                <w:sz w:val="20"/>
                <w:szCs w:val="22"/>
                <w:lang w:val="es-GT"/>
              </w:rPr>
              <w:t xml:space="preserve">a </w:t>
            </w:r>
            <w:r w:rsidRPr="001A01AB">
              <w:rPr>
                <w:rFonts w:ascii="Calibri" w:hAnsi="Calibri" w:cs="Calibri"/>
                <w:sz w:val="20"/>
                <w:szCs w:val="22"/>
                <w:lang w:val="es-GT"/>
              </w:rPr>
              <w:t xml:space="preserve">la falta de tecnología en los procesos de producción y </w:t>
            </w:r>
            <w:r w:rsidR="002669E1">
              <w:rPr>
                <w:rFonts w:ascii="Calibri" w:hAnsi="Calibri" w:cs="Calibri"/>
                <w:sz w:val="20"/>
                <w:szCs w:val="22"/>
                <w:lang w:val="es-GT"/>
              </w:rPr>
              <w:t xml:space="preserve">a la </w:t>
            </w:r>
            <w:r w:rsidRPr="001A01AB">
              <w:rPr>
                <w:rFonts w:ascii="Calibri" w:hAnsi="Calibri" w:cs="Calibri"/>
                <w:sz w:val="20"/>
                <w:szCs w:val="22"/>
                <w:lang w:val="es-GT"/>
              </w:rPr>
              <w:t>práctica de sistemas de producción insostenibles</w:t>
            </w:r>
            <w:r w:rsidR="002669E1">
              <w:rPr>
                <w:rFonts w:ascii="Calibri" w:hAnsi="Calibri" w:cs="Calibri"/>
                <w:sz w:val="20"/>
                <w:szCs w:val="22"/>
                <w:lang w:val="es-GT"/>
              </w:rPr>
              <w:t>,</w:t>
            </w:r>
            <w:r w:rsidRPr="001A01AB">
              <w:rPr>
                <w:rFonts w:ascii="Calibri" w:hAnsi="Calibri" w:cs="Calibri"/>
                <w:sz w:val="20"/>
                <w:szCs w:val="22"/>
                <w:lang w:val="es-GT"/>
              </w:rPr>
              <w:t xml:space="preserve"> impedirán niveles aceptables de competitividad en el país.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comportamiento histórico de la precipitación muestra una tendencia al predominio de las anomalías negativas de lluvias.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Las comunidades rurales presentan alto riesgo a </w:t>
            </w:r>
            <w:r w:rsidRPr="001A01AB">
              <w:rPr>
                <w:rFonts w:ascii="Calibri" w:hAnsi="Calibri" w:cs="Calibri"/>
                <w:sz w:val="20"/>
                <w:szCs w:val="22"/>
                <w:lang w:val="es-GT"/>
              </w:rPr>
              <w:lastRenderedPageBreak/>
              <w:t xml:space="preserve">deslaves, heladas, vientos, granizo y </w:t>
            </w:r>
            <w:r w:rsidR="00436502" w:rsidRPr="001A01AB">
              <w:rPr>
                <w:rFonts w:ascii="Calibri" w:hAnsi="Calibri" w:cs="Calibri"/>
                <w:sz w:val="20"/>
                <w:szCs w:val="22"/>
                <w:lang w:val="es-GT"/>
              </w:rPr>
              <w:t>sequía</w:t>
            </w:r>
            <w:r w:rsidRPr="001A01AB">
              <w:rPr>
                <w:rFonts w:ascii="Calibri" w:hAnsi="Calibri" w:cs="Calibri"/>
                <w:sz w:val="20"/>
                <w:szCs w:val="22"/>
                <w:lang w:val="es-GT"/>
              </w:rPr>
              <w:t>.</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Disminución del número y caudal de fuentes de agua a nivel comunitario.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Conflictos derivados de la falta de acceso a fuentes seguras de agua potable, principalmente en el área rural, donde el 24.73% de los hogares no pose</w:t>
            </w:r>
            <w:r w:rsidR="002669E1">
              <w:rPr>
                <w:rFonts w:ascii="Calibri" w:hAnsi="Calibri" w:cs="Calibri"/>
                <w:sz w:val="20"/>
                <w:szCs w:val="22"/>
                <w:lang w:val="es-GT"/>
              </w:rPr>
              <w:t>ía</w:t>
            </w:r>
            <w:r w:rsidRPr="001A01AB">
              <w:rPr>
                <w:rFonts w:ascii="Calibri" w:hAnsi="Calibri" w:cs="Calibri"/>
                <w:sz w:val="20"/>
                <w:szCs w:val="22"/>
                <w:lang w:val="es-GT"/>
              </w:rPr>
              <w:t xml:space="preserve"> servicio de agua potable</w:t>
            </w:r>
            <w:r w:rsidR="002669E1" w:rsidRPr="001A01AB">
              <w:rPr>
                <w:rFonts w:ascii="Calibri" w:hAnsi="Calibri" w:cs="Calibri"/>
                <w:sz w:val="20"/>
                <w:szCs w:val="22"/>
                <w:lang w:val="es-GT"/>
              </w:rPr>
              <w:t xml:space="preserve"> al año 2011</w:t>
            </w:r>
            <w:r w:rsidRPr="001A01AB">
              <w:rPr>
                <w:rFonts w:ascii="Calibri" w:hAnsi="Calibri" w:cs="Calibri"/>
                <w:sz w:val="20"/>
                <w:szCs w:val="22"/>
                <w:lang w:val="es-GT"/>
              </w:rPr>
              <w:t>.</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Erosión potencial de 48 millones de toneladas de suelo al año debido al sobreuso del suelo (24%).</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falta o nulo reconocimiento económico al servicio ambiental hídrico </w:t>
            </w:r>
            <w:r w:rsidR="002669E1" w:rsidRPr="001A01AB">
              <w:rPr>
                <w:rFonts w:ascii="Calibri" w:hAnsi="Calibri" w:cs="Calibri"/>
                <w:sz w:val="20"/>
                <w:szCs w:val="22"/>
                <w:lang w:val="es-GT"/>
              </w:rPr>
              <w:t xml:space="preserve">proveniente de las partes altas </w:t>
            </w:r>
            <w:r w:rsidRPr="001A01AB">
              <w:rPr>
                <w:rFonts w:ascii="Calibri" w:hAnsi="Calibri" w:cs="Calibri"/>
                <w:sz w:val="20"/>
                <w:szCs w:val="22"/>
                <w:lang w:val="es-GT"/>
              </w:rPr>
              <w:t>que ut</w:t>
            </w:r>
            <w:r w:rsidR="002669E1">
              <w:rPr>
                <w:rFonts w:ascii="Calibri" w:hAnsi="Calibri" w:cs="Calibri"/>
                <w:sz w:val="20"/>
                <w:szCs w:val="22"/>
                <w:lang w:val="es-GT"/>
              </w:rPr>
              <w:t>iliza la agroindustria (35.7%),</w:t>
            </w:r>
            <w:r w:rsidRPr="001A01AB">
              <w:rPr>
                <w:rFonts w:ascii="Calibri" w:hAnsi="Calibri" w:cs="Calibri"/>
                <w:sz w:val="20"/>
                <w:szCs w:val="22"/>
                <w:lang w:val="es-GT"/>
              </w:rPr>
              <w:t xml:space="preserve"> provoca presión de cambio de uso en las zonas de bosques estratégicos.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Aun</w:t>
            </w:r>
            <w:r w:rsidR="002669E1">
              <w:rPr>
                <w:rFonts w:ascii="Calibri" w:hAnsi="Calibri" w:cs="Calibri"/>
                <w:sz w:val="20"/>
                <w:szCs w:val="22"/>
                <w:lang w:val="es-GT"/>
              </w:rPr>
              <w:t>que</w:t>
            </w:r>
            <w:r w:rsidRPr="001A01AB">
              <w:rPr>
                <w:rFonts w:ascii="Calibri" w:hAnsi="Calibri" w:cs="Calibri"/>
                <w:sz w:val="20"/>
                <w:szCs w:val="22"/>
                <w:lang w:val="es-GT"/>
              </w:rPr>
              <w:t xml:space="preserve"> la disponibilidad hídrica promedio anual se encuentra muy por encima </w:t>
            </w:r>
            <w:r w:rsidR="002669E1">
              <w:rPr>
                <w:rFonts w:ascii="Calibri" w:hAnsi="Calibri" w:cs="Calibri"/>
                <w:sz w:val="20"/>
                <w:szCs w:val="22"/>
                <w:lang w:val="es-GT"/>
              </w:rPr>
              <w:t>de</w:t>
            </w:r>
            <w:r w:rsidRPr="001A01AB">
              <w:rPr>
                <w:rFonts w:ascii="Calibri" w:hAnsi="Calibri" w:cs="Calibri"/>
                <w:sz w:val="20"/>
                <w:szCs w:val="22"/>
                <w:lang w:val="es-GT"/>
              </w:rPr>
              <w:t xml:space="preserve"> un país con riesgo hídrico, la distribución espacial de la lluvia es muy irregular y la disponibilidad natural del agua no coincide exactamente con las demandas.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14 ríos y cuatro lagos presentan altos niveles de contaminación (materia orgánica, microorganismos, contaminantes tóxicos y materiales cancerígenos), </w:t>
            </w:r>
            <w:r w:rsidR="0040099A">
              <w:rPr>
                <w:rFonts w:ascii="Calibri" w:hAnsi="Calibri" w:cs="Calibri"/>
                <w:sz w:val="20"/>
                <w:szCs w:val="22"/>
                <w:lang w:val="es-GT"/>
              </w:rPr>
              <w:t xml:space="preserve">lo cual </w:t>
            </w:r>
            <w:r w:rsidRPr="001A01AB">
              <w:rPr>
                <w:rFonts w:ascii="Calibri" w:hAnsi="Calibri" w:cs="Calibri"/>
                <w:sz w:val="20"/>
                <w:szCs w:val="22"/>
                <w:lang w:val="es-GT"/>
              </w:rPr>
              <w:t>limita el uso para consumo y riego.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Las tierras </w:t>
            </w:r>
            <w:r w:rsidR="0040099A">
              <w:rPr>
                <w:rFonts w:ascii="Calibri" w:hAnsi="Calibri" w:cs="Calibri"/>
                <w:sz w:val="20"/>
                <w:szCs w:val="22"/>
                <w:lang w:val="es-GT"/>
              </w:rPr>
              <w:t>con</w:t>
            </w:r>
            <w:r w:rsidRPr="001A01AB">
              <w:rPr>
                <w:rFonts w:ascii="Calibri" w:hAnsi="Calibri" w:cs="Calibri"/>
                <w:sz w:val="20"/>
                <w:szCs w:val="22"/>
                <w:lang w:val="es-GT"/>
              </w:rPr>
              <w:t xml:space="preserve"> sobreuso corresponde</w:t>
            </w:r>
            <w:r w:rsidR="0040099A">
              <w:rPr>
                <w:rFonts w:ascii="Calibri" w:hAnsi="Calibri" w:cs="Calibri"/>
                <w:sz w:val="20"/>
                <w:szCs w:val="22"/>
                <w:lang w:val="es-GT"/>
              </w:rPr>
              <w:t>n</w:t>
            </w:r>
            <w:r w:rsidRPr="001A01AB">
              <w:rPr>
                <w:rFonts w:ascii="Calibri" w:hAnsi="Calibri" w:cs="Calibri"/>
                <w:sz w:val="20"/>
                <w:szCs w:val="22"/>
                <w:lang w:val="es-GT"/>
              </w:rPr>
              <w:t xml:space="preserve"> a tierras con capacidad de uso forestal (productivo o protección) y </w:t>
            </w:r>
            <w:r w:rsidR="0040099A">
              <w:rPr>
                <w:rFonts w:ascii="Calibri" w:hAnsi="Calibri" w:cs="Calibri"/>
                <w:sz w:val="20"/>
                <w:szCs w:val="22"/>
                <w:lang w:val="es-GT"/>
              </w:rPr>
              <w:t xml:space="preserve">están </w:t>
            </w:r>
            <w:r w:rsidRPr="001A01AB">
              <w:rPr>
                <w:rFonts w:ascii="Calibri" w:hAnsi="Calibri" w:cs="Calibri"/>
                <w:sz w:val="20"/>
                <w:szCs w:val="22"/>
                <w:lang w:val="es-GT"/>
              </w:rPr>
              <w:t>dedicadas a la producción de cultivos agrícolas tradicionales (granos básicos).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Se pueden generar falsas expectativas a nivel local con la promoción de mecanismos financieros sobre cambio climático (caso REDD).</w:t>
            </w:r>
          </w:p>
        </w:tc>
      </w:tr>
    </w:tbl>
    <w:p w:rsidR="008327B2" w:rsidRPr="001A01AB" w:rsidRDefault="008327B2" w:rsidP="008327B2">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9576"/>
      </w:tblGrid>
      <w:tr w:rsidR="008327B2" w:rsidRPr="000364C9" w:rsidTr="001A01AB">
        <w:trPr>
          <w:jc w:val="center"/>
        </w:trPr>
        <w:tc>
          <w:tcPr>
            <w:tcW w:w="9576" w:type="dxa"/>
            <w:shd w:val="clear" w:color="auto" w:fill="auto"/>
          </w:tcPr>
          <w:p w:rsidR="008327B2" w:rsidRPr="001A01AB" w:rsidRDefault="008327B2" w:rsidP="001A01AB">
            <w:pPr>
              <w:autoSpaceDE w:val="0"/>
              <w:autoSpaceDN w:val="0"/>
              <w:adjustRightInd w:val="0"/>
              <w:spacing w:after="60"/>
              <w:jc w:val="both"/>
              <w:rPr>
                <w:rFonts w:ascii="Calibri" w:hAnsi="Calibri" w:cs="Calibri"/>
                <w:b/>
                <w:color w:val="365F91"/>
                <w:sz w:val="22"/>
                <w:szCs w:val="22"/>
                <w:lang w:val="es-GT"/>
              </w:rPr>
            </w:pPr>
            <w:r w:rsidRPr="001A01AB">
              <w:rPr>
                <w:rFonts w:ascii="Calibri" w:hAnsi="Calibri" w:cs="Calibri"/>
                <w:b/>
                <w:color w:val="365F91"/>
                <w:sz w:val="22"/>
                <w:szCs w:val="22"/>
                <w:lang w:val="es-GT"/>
              </w:rPr>
              <w:t>Tendencias (basadas en un escenario de tipo tendencial)</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szCs w:val="21"/>
              </w:rPr>
            </w:pPr>
            <w:r w:rsidRPr="001A01AB">
              <w:rPr>
                <w:rFonts w:cs="Calibri"/>
                <w:szCs w:val="21"/>
              </w:rPr>
              <w:t>Una alarmante tendencia creciente de la tasa de deforestación anual.</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szCs w:val="21"/>
              </w:rPr>
            </w:pPr>
            <w:r w:rsidRPr="001A01AB">
              <w:rPr>
                <w:rFonts w:cs="Calibri"/>
                <w:szCs w:val="21"/>
              </w:rPr>
              <w:t xml:space="preserve">La regeneración natural de bosques es importante </w:t>
            </w:r>
            <w:r w:rsidR="0040099A">
              <w:rPr>
                <w:rFonts w:cs="Calibri"/>
                <w:szCs w:val="21"/>
              </w:rPr>
              <w:t>para</w:t>
            </w:r>
            <w:r w:rsidRPr="001A01AB">
              <w:rPr>
                <w:rFonts w:cs="Calibri"/>
                <w:szCs w:val="21"/>
              </w:rPr>
              <w:t xml:space="preserve"> la recuperación de la cobertura forestal, pero la tendencia no se considera permanente al no estar apoyada por una política institucional. </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szCs w:val="21"/>
              </w:rPr>
            </w:pPr>
            <w:r w:rsidRPr="001A01AB">
              <w:rPr>
                <w:rFonts w:cs="Calibri"/>
                <w:szCs w:val="21"/>
              </w:rPr>
              <w:t xml:space="preserve">El área bajo manejo forestal sostenible se ha reducido de 22,060 </w:t>
            </w:r>
            <w:r w:rsidR="0040099A">
              <w:rPr>
                <w:rFonts w:cs="Calibri"/>
                <w:szCs w:val="21"/>
              </w:rPr>
              <w:t xml:space="preserve">ha </w:t>
            </w:r>
            <w:r w:rsidRPr="001A01AB">
              <w:rPr>
                <w:rFonts w:cs="Calibri"/>
                <w:szCs w:val="21"/>
              </w:rPr>
              <w:t>en 2006 a 7,782 ha en 2010.</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szCs w:val="21"/>
              </w:rPr>
            </w:pPr>
            <w:r w:rsidRPr="001A01AB">
              <w:rPr>
                <w:rFonts w:cs="Calibri"/>
                <w:szCs w:val="21"/>
              </w:rPr>
              <w:t>Los programas ambientales y forestales para la mitigación y adaptación a la vulnerabilidad climática están en aumento.</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szCs w:val="21"/>
              </w:rPr>
            </w:pPr>
            <w:r w:rsidRPr="001A01AB">
              <w:rPr>
                <w:rFonts w:cs="Calibri"/>
                <w:szCs w:val="21"/>
              </w:rPr>
              <w:t>El conflicto de intereses interinstitucional</w:t>
            </w:r>
            <w:r w:rsidR="0040099A">
              <w:rPr>
                <w:rFonts w:cs="Calibri"/>
                <w:szCs w:val="21"/>
              </w:rPr>
              <w:t>es</w:t>
            </w:r>
            <w:r w:rsidRPr="001A01AB">
              <w:rPr>
                <w:rFonts w:cs="Calibri"/>
                <w:szCs w:val="21"/>
              </w:rPr>
              <w:t xml:space="preserve"> en los temas de cambio climático se mantendrán mientras no exista una ley y </w:t>
            </w:r>
            <w:r w:rsidR="0040099A">
              <w:rPr>
                <w:rFonts w:cs="Calibri"/>
                <w:szCs w:val="21"/>
              </w:rPr>
              <w:t xml:space="preserve">un </w:t>
            </w:r>
            <w:r w:rsidRPr="001A01AB">
              <w:rPr>
                <w:rFonts w:cs="Calibri"/>
                <w:szCs w:val="21"/>
              </w:rPr>
              <w:t>reglamento que norme las acciones de país.</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szCs w:val="21"/>
              </w:rPr>
            </w:pPr>
            <w:r w:rsidRPr="001A01AB">
              <w:rPr>
                <w:rFonts w:cs="Calibri"/>
                <w:szCs w:val="21"/>
              </w:rPr>
              <w:t xml:space="preserve">La vulnerabilidad </w:t>
            </w:r>
            <w:r w:rsidR="0040099A" w:rsidRPr="001A01AB">
              <w:rPr>
                <w:rFonts w:cs="Calibri"/>
                <w:szCs w:val="21"/>
              </w:rPr>
              <w:t xml:space="preserve">de poblaciones rurales </w:t>
            </w:r>
            <w:r w:rsidR="0040099A">
              <w:rPr>
                <w:rFonts w:cs="Calibri"/>
                <w:szCs w:val="21"/>
              </w:rPr>
              <w:t>ante el</w:t>
            </w:r>
            <w:r w:rsidR="0040099A" w:rsidRPr="001A01AB">
              <w:rPr>
                <w:rFonts w:cs="Calibri"/>
                <w:szCs w:val="21"/>
              </w:rPr>
              <w:t xml:space="preserve"> riesgo por desastres naturales </w:t>
            </w:r>
            <w:r w:rsidRPr="001A01AB">
              <w:rPr>
                <w:rFonts w:cs="Calibri"/>
                <w:szCs w:val="21"/>
              </w:rPr>
              <w:t>se incrementará en la medida que éstos se presenten el Guatemala.</w:t>
            </w:r>
            <w:r w:rsidR="0040099A">
              <w:rPr>
                <w:rFonts w:cs="Calibri"/>
                <w:szCs w:val="21"/>
              </w:rPr>
              <w:t xml:space="preserve">  </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szCs w:val="21"/>
              </w:rPr>
            </w:pPr>
            <w:r w:rsidRPr="001A01AB">
              <w:rPr>
                <w:rFonts w:cs="Calibri"/>
                <w:szCs w:val="21"/>
              </w:rPr>
              <w:t>El aumento de la población influirá en el crecimiento constante de la demanda de agua, aunado a la tendencia hacia el incremento de la contaminación del agua como un hecho irreversible.</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szCs w:val="21"/>
              </w:rPr>
            </w:pPr>
            <w:r w:rsidRPr="001A01AB">
              <w:rPr>
                <w:rFonts w:cs="Calibri"/>
                <w:szCs w:val="21"/>
              </w:rPr>
              <w:t>La deforestación provoca una tendencia a la disminución de la cobertura vegetal en TFCRH.</w:t>
            </w:r>
          </w:p>
          <w:p w:rsidR="008327B2" w:rsidRPr="001A01AB" w:rsidRDefault="0040099A" w:rsidP="001A01AB">
            <w:pPr>
              <w:pStyle w:val="Prrafodelista"/>
              <w:numPr>
                <w:ilvl w:val="0"/>
                <w:numId w:val="28"/>
              </w:numPr>
              <w:autoSpaceDE w:val="0"/>
              <w:autoSpaceDN w:val="0"/>
              <w:adjustRightInd w:val="0"/>
              <w:spacing w:after="60"/>
              <w:ind w:left="282" w:hanging="284"/>
              <w:jc w:val="both"/>
              <w:rPr>
                <w:rFonts w:cs="Calibri"/>
                <w:szCs w:val="21"/>
              </w:rPr>
            </w:pPr>
            <w:r>
              <w:rPr>
                <w:rFonts w:cs="Calibri"/>
                <w:szCs w:val="21"/>
              </w:rPr>
              <w:t>L</w:t>
            </w:r>
            <w:r w:rsidR="008327B2" w:rsidRPr="001A01AB">
              <w:rPr>
                <w:rFonts w:cs="Calibri"/>
                <w:szCs w:val="21"/>
              </w:rPr>
              <w:t xml:space="preserve">a agricultura anual y de cultivos de subsistencia </w:t>
            </w:r>
            <w:r>
              <w:rPr>
                <w:rFonts w:cs="Calibri"/>
                <w:szCs w:val="21"/>
              </w:rPr>
              <w:t>tiende</w:t>
            </w:r>
            <w:r w:rsidR="008327B2" w:rsidRPr="001A01AB">
              <w:rPr>
                <w:rFonts w:cs="Calibri"/>
                <w:szCs w:val="21"/>
              </w:rPr>
              <w:t xml:space="preserve"> a expandirse hacia tierras marginales para la </w:t>
            </w:r>
            <w:r w:rsidR="008327B2" w:rsidRPr="001A01AB">
              <w:rPr>
                <w:rFonts w:cs="Calibri"/>
                <w:szCs w:val="21"/>
              </w:rPr>
              <w:lastRenderedPageBreak/>
              <w:t xml:space="preserve">agricultura. </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szCs w:val="21"/>
              </w:rPr>
            </w:pPr>
            <w:r w:rsidRPr="001A01AB">
              <w:rPr>
                <w:rFonts w:cs="Calibri"/>
                <w:szCs w:val="21"/>
              </w:rPr>
              <w:t>La débil implementación de actividades económicas/industriales con tecnologías modernas y limpias para la mejora del desempeño ambiental no tiende a cambiar en el corto plazo.</w:t>
            </w:r>
          </w:p>
          <w:p w:rsidR="008327B2" w:rsidRPr="001A01AB" w:rsidRDefault="008327B2" w:rsidP="001A01AB">
            <w:pPr>
              <w:pStyle w:val="Prrafodelista"/>
              <w:numPr>
                <w:ilvl w:val="0"/>
                <w:numId w:val="28"/>
              </w:numPr>
              <w:autoSpaceDE w:val="0"/>
              <w:autoSpaceDN w:val="0"/>
              <w:adjustRightInd w:val="0"/>
              <w:spacing w:after="60"/>
              <w:ind w:left="282" w:hanging="284"/>
              <w:jc w:val="both"/>
              <w:rPr>
                <w:rFonts w:cs="Calibri"/>
              </w:rPr>
            </w:pPr>
            <w:r w:rsidRPr="001A01AB">
              <w:rPr>
                <w:rFonts w:cs="Calibri"/>
                <w:szCs w:val="21"/>
              </w:rPr>
              <w:t>El mercado de mecanismos financieros en la temática de cambio climático es incierto para las familias rurales de Guatemala.</w:t>
            </w:r>
          </w:p>
        </w:tc>
      </w:tr>
    </w:tbl>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760D64">
      <w:pPr>
        <w:pBdr>
          <w:bottom w:val="single" w:sz="4" w:space="1" w:color="auto"/>
        </w:pBdr>
        <w:jc w:val="both"/>
        <w:rPr>
          <w:rFonts w:ascii="Calibri" w:hAnsi="Calibri" w:cs="Calibri"/>
          <w:b/>
          <w:color w:val="365F91"/>
          <w:sz w:val="32"/>
          <w:lang w:val="es-GT"/>
        </w:rPr>
      </w:pPr>
      <w:r w:rsidRPr="001A01AB">
        <w:rPr>
          <w:rFonts w:ascii="Calibri" w:hAnsi="Calibri" w:cs="Calibri"/>
          <w:lang w:val="es-GT"/>
        </w:rPr>
        <w:br w:type="page"/>
      </w:r>
      <w:r w:rsidRPr="001A01AB">
        <w:rPr>
          <w:rFonts w:ascii="Calibri" w:hAnsi="Calibri" w:cs="Calibri"/>
          <w:b/>
          <w:color w:val="365F91"/>
          <w:sz w:val="32"/>
          <w:lang w:val="es-GT"/>
        </w:rPr>
        <w:lastRenderedPageBreak/>
        <w:t>FCD 5: Desarrollo institucional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Enfoque:</w:t>
      </w:r>
    </w:p>
    <w:p w:rsidR="008327B2" w:rsidRPr="001A01AB" w:rsidRDefault="008327B2" w:rsidP="006B0A31">
      <w:pPr>
        <w:numPr>
          <w:ilvl w:val="0"/>
          <w:numId w:val="39"/>
        </w:numPr>
        <w:autoSpaceDE w:val="0"/>
        <w:autoSpaceDN w:val="0"/>
        <w:adjustRightInd w:val="0"/>
        <w:ind w:left="357" w:hanging="357"/>
        <w:jc w:val="both"/>
        <w:rPr>
          <w:rFonts w:ascii="Calibri" w:hAnsi="Calibri" w:cs="Calibri"/>
          <w:lang w:val="es-GT"/>
        </w:rPr>
      </w:pPr>
      <w:r w:rsidRPr="001A01AB">
        <w:rPr>
          <w:rFonts w:ascii="Calibri" w:hAnsi="Calibri" w:cs="Calibri"/>
          <w:lang w:val="es-GT"/>
        </w:rPr>
        <w:t>Fortalecimiento de la capacidad de respuesta de las instituciones del Estado para impulsar el desarrollo rural integral.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b/>
          <w:color w:val="365F91"/>
          <w:sz w:val="28"/>
          <w:lang w:val="es-GT"/>
        </w:rPr>
        <w:t>5.1</w:t>
      </w:r>
      <w:r w:rsidRPr="001A01AB">
        <w:rPr>
          <w:rFonts w:ascii="Calibri" w:hAnsi="Calibri" w:cs="Calibri"/>
          <w:b/>
          <w:color w:val="365F91"/>
          <w:sz w:val="28"/>
          <w:lang w:val="es-GT"/>
        </w:rPr>
        <w:tab/>
        <w:t>Criterio de evaluación: I</w:t>
      </w:r>
      <w:r w:rsidR="00B356A8" w:rsidRPr="001A01AB">
        <w:rPr>
          <w:rFonts w:ascii="Calibri" w:hAnsi="Calibri" w:cs="Calibri"/>
          <w:b/>
          <w:color w:val="365F91"/>
          <w:sz w:val="28"/>
          <w:lang w:val="es-GT"/>
        </w:rPr>
        <w:t>nversiones sectoriales</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La Política de Desarrollo Social y Población ha estado presente en el país desde 2002, por mandato legal de la Ley de Desarrollo Social (Decreto Número 42-2001). </w:t>
      </w:r>
      <w:r w:rsidR="0040099A">
        <w:rPr>
          <w:rFonts w:ascii="Calibri" w:hAnsi="Calibri" w:cs="Calibri"/>
          <w:lang w:val="es-GT"/>
        </w:rPr>
        <w:t>S</w:t>
      </w:r>
      <w:r w:rsidRPr="001A01AB">
        <w:rPr>
          <w:rFonts w:ascii="Calibri" w:hAnsi="Calibri" w:cs="Calibri"/>
          <w:lang w:val="es-GT"/>
        </w:rPr>
        <w:t xml:space="preserve">eñala la necesidad de adecuar los programas de desarrollo social a las necesidades planteadas por el tamaño, estructura, dinámica y distribución de la población. También, responsabiliza al Estado y al Ejecutivo a que lleven a cabo estrategias que ayuden a mejorar las condiciones sociales y medios de vida de la población guatemalteca. Dicha </w:t>
      </w:r>
      <w:r w:rsidR="0040099A">
        <w:rPr>
          <w:rFonts w:ascii="Calibri" w:hAnsi="Calibri" w:cs="Calibri"/>
          <w:lang w:val="es-GT"/>
        </w:rPr>
        <w:t>l</w:t>
      </w:r>
      <w:r w:rsidRPr="001A01AB">
        <w:rPr>
          <w:rFonts w:ascii="Calibri" w:hAnsi="Calibri" w:cs="Calibri"/>
          <w:lang w:val="es-GT"/>
        </w:rPr>
        <w:t xml:space="preserve">ey establece considerar </w:t>
      </w:r>
      <w:r w:rsidR="0040099A">
        <w:rPr>
          <w:rFonts w:ascii="Calibri" w:hAnsi="Calibri" w:cs="Calibri"/>
          <w:lang w:val="es-GT"/>
        </w:rPr>
        <w:t>cinco</w:t>
      </w:r>
      <w:r w:rsidRPr="001A01AB">
        <w:rPr>
          <w:rFonts w:ascii="Calibri" w:hAnsi="Calibri" w:cs="Calibri"/>
          <w:lang w:val="es-GT"/>
        </w:rPr>
        <w:t xml:space="preserve"> materias principales </w:t>
      </w:r>
      <w:r w:rsidR="0040099A">
        <w:rPr>
          <w:rFonts w:ascii="Calibri" w:hAnsi="Calibri" w:cs="Calibri"/>
          <w:lang w:val="es-GT"/>
        </w:rPr>
        <w:t>para el desarrollo</w:t>
      </w:r>
      <w:r w:rsidRPr="001A01AB">
        <w:rPr>
          <w:rFonts w:ascii="Calibri" w:hAnsi="Calibri" w:cs="Calibri"/>
          <w:lang w:val="es-GT"/>
        </w:rPr>
        <w:t>: salud, educación, empleo y migración, dinámica de la población en zonas de riesgo y comunicación social.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Los recursos financieros ejecutados para cumplir con las disposiciones y acciones de la Política de</w:t>
      </w:r>
      <w:r w:rsidR="0040099A">
        <w:rPr>
          <w:rFonts w:ascii="Calibri" w:hAnsi="Calibri" w:cs="Calibri"/>
          <w:lang w:val="es-GT"/>
        </w:rPr>
        <w:t xml:space="preserve"> Desarrollo Social y Población (</w:t>
      </w:r>
      <w:r w:rsidRPr="001A01AB">
        <w:rPr>
          <w:rFonts w:ascii="Calibri" w:hAnsi="Calibri" w:cs="Calibri"/>
          <w:lang w:val="es-GT"/>
        </w:rPr>
        <w:t>PDSP</w:t>
      </w:r>
      <w:r w:rsidR="0040099A">
        <w:rPr>
          <w:rFonts w:ascii="Calibri" w:hAnsi="Calibri" w:cs="Calibri"/>
          <w:lang w:val="es-GT"/>
        </w:rPr>
        <w:t>)</w:t>
      </w:r>
      <w:r w:rsidRPr="001A01AB">
        <w:rPr>
          <w:rFonts w:ascii="Calibri" w:hAnsi="Calibri" w:cs="Calibri"/>
          <w:lang w:val="es-GT"/>
        </w:rPr>
        <w:t xml:space="preserve"> en la última década presentan algunas limitaciones técnico-prácticas para su medición comparativa, puesto que los programas han evolucionado de nombre, de contenido, de uso de recursos y desde luego en su expresión presupuestaria. Lo que sí se puede afirmar es que en términos nominales, es decir a precios corrientes de cada año, el gasto público en la PDSP se ha incrementado hasta alcanzar en el 2011 un total de Q 56,349.1 millones (</w:t>
      </w:r>
      <w:r w:rsidRPr="00253520">
        <w:rPr>
          <w:rFonts w:ascii="Calibri" w:hAnsi="Calibri" w:cs="Calibri"/>
          <w:highlight w:val="magenta"/>
          <w:lang w:val="es-GT"/>
        </w:rPr>
        <w:t>SEGEPLAN, 2011</w:t>
      </w:r>
      <w:r w:rsidRPr="001A01AB">
        <w:rPr>
          <w:rFonts w:ascii="Calibri" w:hAnsi="Calibri" w:cs="Calibri"/>
          <w:lang w:val="es-GT"/>
        </w:rPr>
        <w:t>).</w:t>
      </w:r>
      <w:r w:rsidR="00141A70">
        <w:rPr>
          <w:rFonts w:ascii="Calibri" w:hAnsi="Calibri" w:cs="Calibri"/>
          <w:lang w:val="es-GT"/>
        </w:rPr>
        <w:t xml:space="preserve"> </w:t>
      </w:r>
      <w:r w:rsidRPr="001A01AB">
        <w:rPr>
          <w:rFonts w:ascii="Calibri" w:hAnsi="Calibri" w:cs="Calibri"/>
          <w:lang w:val="es-GT"/>
        </w:rPr>
        <w:t xml:space="preserve">En </w:t>
      </w:r>
      <w:r w:rsidR="00862C36">
        <w:rPr>
          <w:rFonts w:ascii="Calibri" w:hAnsi="Calibri" w:cs="Calibri"/>
          <w:lang w:val="es-GT"/>
        </w:rPr>
        <w:t>el Cuadro 3</w:t>
      </w:r>
      <w:r w:rsidR="004C77F8">
        <w:rPr>
          <w:rFonts w:ascii="Calibri" w:hAnsi="Calibri" w:cs="Calibri"/>
          <w:lang w:val="es-GT"/>
        </w:rPr>
        <w:t>7</w:t>
      </w:r>
      <w:r w:rsidRPr="001A01AB">
        <w:rPr>
          <w:rFonts w:ascii="Calibri" w:hAnsi="Calibri" w:cs="Calibri"/>
          <w:lang w:val="es-GT"/>
        </w:rPr>
        <w:t xml:space="preserve"> se describe</w:t>
      </w:r>
      <w:r w:rsidR="00862C36">
        <w:rPr>
          <w:rFonts w:ascii="Calibri" w:hAnsi="Calibri" w:cs="Calibri"/>
          <w:lang w:val="es-GT"/>
        </w:rPr>
        <w:t>n,</w:t>
      </w:r>
      <w:r w:rsidRPr="001A01AB">
        <w:rPr>
          <w:rFonts w:ascii="Calibri" w:hAnsi="Calibri" w:cs="Calibri"/>
          <w:lang w:val="es-GT"/>
        </w:rPr>
        <w:t xml:space="preserve"> de manera global</w:t>
      </w:r>
      <w:r w:rsidR="00862C36">
        <w:rPr>
          <w:rFonts w:ascii="Calibri" w:hAnsi="Calibri" w:cs="Calibri"/>
          <w:lang w:val="es-GT"/>
        </w:rPr>
        <w:t>,</w:t>
      </w:r>
      <w:r w:rsidRPr="001A01AB">
        <w:rPr>
          <w:rFonts w:ascii="Calibri" w:hAnsi="Calibri" w:cs="Calibri"/>
          <w:lang w:val="es-GT"/>
        </w:rPr>
        <w:t xml:space="preserve"> las inversiones sectoriales a nivel nacional de la PDSP desde el año 2002 al 2011 y la relación con la ejecución del gasto públic</w:t>
      </w:r>
      <w:r w:rsidR="00862C36">
        <w:rPr>
          <w:rFonts w:ascii="Calibri" w:hAnsi="Calibri" w:cs="Calibri"/>
          <w:lang w:val="es-GT"/>
        </w:rPr>
        <w:t>o</w:t>
      </w:r>
      <w:r w:rsidRPr="001A01AB">
        <w:rPr>
          <w:rFonts w:ascii="Calibri" w:hAnsi="Calibri" w:cs="Calibri"/>
          <w:lang w:val="es-GT"/>
        </w:rPr>
        <w:t xml:space="preserve"> total.</w:t>
      </w:r>
    </w:p>
    <w:p w:rsidR="008327B2" w:rsidRPr="001A01AB" w:rsidRDefault="008327B2" w:rsidP="008327B2">
      <w:pPr>
        <w:autoSpaceDE w:val="0"/>
        <w:autoSpaceDN w:val="0"/>
        <w:adjustRightInd w:val="0"/>
        <w:jc w:val="both"/>
        <w:rPr>
          <w:rFonts w:ascii="Calibri" w:hAnsi="Calibri" w:cs="Calibri"/>
          <w:lang w:val="es-GT"/>
        </w:rPr>
      </w:pPr>
    </w:p>
    <w:p w:rsidR="008327B2" w:rsidRPr="007033AE" w:rsidRDefault="00C54ACC" w:rsidP="007033AE">
      <w:pPr>
        <w:pStyle w:val="Epgrafe"/>
        <w:jc w:val="center"/>
        <w:rPr>
          <w:rFonts w:asciiTheme="minorHAnsi" w:hAnsiTheme="minorHAnsi" w:cstheme="minorHAnsi"/>
          <w:color w:val="365F91" w:themeColor="accent1" w:themeShade="BF"/>
          <w:sz w:val="22"/>
          <w:szCs w:val="22"/>
          <w:lang w:val="es-GT"/>
        </w:rPr>
      </w:pPr>
      <w:bookmarkStart w:id="429" w:name="_Toc340034458"/>
      <w:bookmarkStart w:id="430" w:name="_Toc343164665"/>
      <w:bookmarkStart w:id="431" w:name="_Toc347841219"/>
      <w:r w:rsidRPr="007033AE">
        <w:rPr>
          <w:rFonts w:asciiTheme="minorHAnsi" w:hAnsiTheme="minorHAnsi" w:cstheme="minorHAnsi"/>
          <w:color w:val="365F91" w:themeColor="accent1" w:themeShade="BF"/>
          <w:sz w:val="22"/>
          <w:szCs w:val="22"/>
          <w:lang w:val="es-GT"/>
        </w:rPr>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37</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 xml:space="preserve">Comportamiento e integración de la ejecución presupuestaria de la Política de </w:t>
      </w:r>
      <w:r w:rsidR="00B356A8" w:rsidRPr="007033AE">
        <w:rPr>
          <w:rFonts w:asciiTheme="minorHAnsi" w:hAnsiTheme="minorHAnsi" w:cstheme="minorHAnsi"/>
          <w:color w:val="365F91" w:themeColor="accent1" w:themeShade="BF"/>
          <w:sz w:val="22"/>
          <w:szCs w:val="22"/>
          <w:lang w:val="es-GT"/>
        </w:rPr>
        <w:t>Desarrollo Social y Población (e</w:t>
      </w:r>
      <w:r w:rsidR="008327B2" w:rsidRPr="007033AE">
        <w:rPr>
          <w:rFonts w:asciiTheme="minorHAnsi" w:hAnsiTheme="minorHAnsi" w:cstheme="minorHAnsi"/>
          <w:color w:val="365F91" w:themeColor="accent1" w:themeShade="BF"/>
          <w:sz w:val="22"/>
          <w:szCs w:val="22"/>
          <w:lang w:val="es-GT"/>
        </w:rPr>
        <w:t>n millones de quetzales corrientes)</w:t>
      </w:r>
      <w:bookmarkEnd w:id="429"/>
      <w:bookmarkEnd w:id="430"/>
      <w:bookmarkEnd w:id="431"/>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933743" cy="1765300"/>
            <wp:effectExtent l="0" t="0" r="0" b="6350"/>
            <wp:docPr id="2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4">
                      <a:extLst>
                        <a:ext uri="{28A0092B-C50C-407E-A947-70E740481C1C}">
                          <a14:useLocalDpi xmlns:a14="http://schemas.microsoft.com/office/drawing/2010/main" val="0"/>
                        </a:ext>
                      </a:extLst>
                    </a:blip>
                    <a:srcRect b="7641"/>
                    <a:stretch/>
                  </pic:blipFill>
                  <pic:spPr bwMode="auto">
                    <a:xfrm>
                      <a:off x="0" y="0"/>
                      <a:ext cx="5943600" cy="1768232"/>
                    </a:xfrm>
                    <a:prstGeom prst="rect">
                      <a:avLst/>
                    </a:prstGeom>
                    <a:noFill/>
                    <a:ln>
                      <a:noFill/>
                    </a:ln>
                    <a:extLst>
                      <a:ext uri="{53640926-AAD7-44D8-BBD7-CCE9431645EC}">
                        <a14:shadowObscured xmlns:a14="http://schemas.microsoft.com/office/drawing/2010/main"/>
                      </a:ext>
                    </a:extLst>
                  </pic:spPr>
                </pic:pic>
              </a:graphicData>
            </a:graphic>
          </wp:inline>
        </w:drawing>
      </w:r>
    </w:p>
    <w:p w:rsidR="008327B2" w:rsidRPr="001A01AB" w:rsidRDefault="008327B2" w:rsidP="008327B2">
      <w:pPr>
        <w:autoSpaceDE w:val="0"/>
        <w:autoSpaceDN w:val="0"/>
        <w:adjustRightInd w:val="0"/>
        <w:ind w:right="288"/>
        <w:jc w:val="right"/>
        <w:rPr>
          <w:rFonts w:ascii="Calibri" w:hAnsi="Calibri" w:cs="Calibri"/>
          <w:sz w:val="20"/>
          <w:lang w:val="es-GT"/>
        </w:rPr>
      </w:pPr>
      <w:r w:rsidRPr="001A01AB">
        <w:rPr>
          <w:rFonts w:ascii="Calibri" w:hAnsi="Calibri" w:cs="Calibri"/>
          <w:b/>
          <w:sz w:val="20"/>
          <w:lang w:val="es-GT"/>
        </w:rPr>
        <w:t>Fuente</w:t>
      </w:r>
      <w:r w:rsidRPr="001A01AB">
        <w:rPr>
          <w:rFonts w:ascii="Calibri" w:hAnsi="Calibri" w:cs="Calibri"/>
          <w:sz w:val="20"/>
          <w:lang w:val="es-GT"/>
        </w:rPr>
        <w:t>:</w:t>
      </w:r>
      <w:r w:rsidR="00B356A8">
        <w:rPr>
          <w:rFonts w:ascii="Calibri" w:hAnsi="Calibri" w:cs="Calibri"/>
          <w:sz w:val="20"/>
          <w:lang w:val="es-GT"/>
        </w:rPr>
        <w:t xml:space="preserve"> SEGEPLAN (</w:t>
      </w:r>
      <w:r w:rsidRPr="001A01AB">
        <w:rPr>
          <w:rFonts w:ascii="Calibri" w:hAnsi="Calibri" w:cs="Calibri"/>
          <w:sz w:val="20"/>
          <w:lang w:val="es-GT"/>
        </w:rPr>
        <w:t>2011</w:t>
      </w:r>
      <w:r w:rsidR="00B356A8">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 continuación se analizan las situaciones y tendencias que han impactado el desarrollo institucional en los últimos años</w:t>
      </w:r>
      <w:r w:rsidR="00862C36">
        <w:rPr>
          <w:rFonts w:ascii="Calibri" w:hAnsi="Calibri" w:cs="Calibri"/>
          <w:lang w:val="es-GT"/>
        </w:rPr>
        <w:t xml:space="preserve">, a través de dos </w:t>
      </w:r>
      <w:r w:rsidRPr="001A01AB">
        <w:rPr>
          <w:rFonts w:ascii="Calibri" w:hAnsi="Calibri" w:cs="Calibri"/>
          <w:lang w:val="es-GT"/>
        </w:rPr>
        <w:t xml:space="preserve">indicadores: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6B0A31">
      <w:pPr>
        <w:numPr>
          <w:ilvl w:val="0"/>
          <w:numId w:val="40"/>
        </w:numPr>
        <w:ind w:left="357" w:hanging="357"/>
        <w:jc w:val="both"/>
        <w:rPr>
          <w:rFonts w:ascii="Calibri" w:hAnsi="Calibri" w:cs="Calibri"/>
          <w:lang w:val="es-MX"/>
        </w:rPr>
      </w:pPr>
      <w:r w:rsidRPr="001A01AB">
        <w:rPr>
          <w:rFonts w:ascii="Calibri" w:hAnsi="Calibri" w:cs="Calibri"/>
          <w:lang w:val="es-GT"/>
        </w:rPr>
        <w:lastRenderedPageBreak/>
        <w:t>Dinámica de la inversión pública sectorial</w:t>
      </w:r>
      <w:r w:rsidR="00862C36">
        <w:rPr>
          <w:rFonts w:ascii="Calibri" w:hAnsi="Calibri" w:cs="Calibri"/>
          <w:lang w:val="es-GT"/>
        </w:rPr>
        <w:t>.</w:t>
      </w:r>
      <w:r w:rsidRPr="001A01AB">
        <w:rPr>
          <w:rFonts w:ascii="Calibri" w:hAnsi="Calibri" w:cs="Calibri"/>
          <w:lang w:val="es-GT"/>
        </w:rPr>
        <w:t xml:space="preserve"> </w:t>
      </w:r>
    </w:p>
    <w:p w:rsidR="008327B2" w:rsidRPr="001A01AB" w:rsidRDefault="008327B2" w:rsidP="006B0A31">
      <w:pPr>
        <w:numPr>
          <w:ilvl w:val="0"/>
          <w:numId w:val="40"/>
        </w:numPr>
        <w:ind w:left="357" w:hanging="357"/>
        <w:jc w:val="both"/>
        <w:rPr>
          <w:rFonts w:ascii="Calibri" w:hAnsi="Calibri" w:cs="Calibri"/>
          <w:lang w:val="es-MX"/>
        </w:rPr>
      </w:pPr>
      <w:r w:rsidRPr="001A01AB">
        <w:rPr>
          <w:rFonts w:ascii="Calibri" w:hAnsi="Calibri" w:cs="Calibri"/>
          <w:lang w:val="es-GT"/>
        </w:rPr>
        <w:t>Gasto público destinado a la protección y recuperación del ambiente</w:t>
      </w:r>
      <w:r w:rsidR="00862C36">
        <w:rPr>
          <w:rFonts w:ascii="Calibri" w:hAnsi="Calibri" w:cs="Calibri"/>
          <w:lang w:val="es-GT"/>
        </w:rPr>
        <w:t>.</w:t>
      </w:r>
      <w:r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5.1.1.</w:t>
      </w:r>
      <w:r w:rsidRPr="001A01AB">
        <w:rPr>
          <w:rFonts w:ascii="Calibri" w:hAnsi="Calibri" w:cs="Calibri"/>
          <w:b/>
          <w:color w:val="365F91"/>
          <w:lang w:val="es-GT"/>
        </w:rPr>
        <w:tab/>
        <w:t>Indicador: D</w:t>
      </w:r>
      <w:r w:rsidR="00B356A8" w:rsidRPr="001A01AB">
        <w:rPr>
          <w:rFonts w:ascii="Calibri" w:hAnsi="Calibri" w:cs="Calibri"/>
          <w:b/>
          <w:color w:val="365F91"/>
          <w:lang w:val="es-GT"/>
        </w:rPr>
        <w:t>inámica de la inversión pública sectorial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El gasto social es aquel destinado a brindar servicios de educación, salud, agua potable, servicios sanitarios y vivienda. Se incluyen también las políticas compensatorias </w:t>
      </w:r>
      <w:r w:rsidR="00AF5F75" w:rsidRPr="001A01AB">
        <w:rPr>
          <w:rFonts w:ascii="Calibri" w:hAnsi="Calibri" w:cs="Calibri"/>
          <w:lang w:val="es-GT"/>
        </w:rPr>
        <w:t>consignadas</w:t>
      </w:r>
      <w:r w:rsidRPr="001A01AB">
        <w:rPr>
          <w:rFonts w:ascii="Calibri" w:hAnsi="Calibri" w:cs="Calibri"/>
          <w:lang w:val="es-GT"/>
        </w:rPr>
        <w:t xml:space="preserve"> a </w:t>
      </w:r>
      <w:r w:rsidR="00AF5F75">
        <w:rPr>
          <w:rFonts w:ascii="Calibri" w:hAnsi="Calibri" w:cs="Calibri"/>
          <w:lang w:val="es-GT"/>
        </w:rPr>
        <w:t xml:space="preserve">la </w:t>
      </w:r>
      <w:r w:rsidRPr="001A01AB">
        <w:rPr>
          <w:rFonts w:ascii="Calibri" w:hAnsi="Calibri" w:cs="Calibri"/>
          <w:lang w:val="es-GT"/>
        </w:rPr>
        <w:t>población de escasos recursos, tales como programas de nutrición, promoción y asistencia social; así como políticas de previsión social, obras sociales, asignaciones familiares y los seguros de desempleo.</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Este indicador muestra el compromiso del Estado con respecto a la dimensión social en su totalidad, aspecto fundamental para alcanzar el desarrollo humano integral de las personas.</w:t>
      </w:r>
      <w:r w:rsidR="00141A70">
        <w:rPr>
          <w:rFonts w:ascii="Calibri" w:hAnsi="Calibri" w:cs="Calibri"/>
          <w:lang w:val="es-GT"/>
        </w:rPr>
        <w:t xml:space="preserve"> </w:t>
      </w:r>
      <w:r w:rsidRPr="001A01AB">
        <w:rPr>
          <w:rFonts w:ascii="Calibri" w:hAnsi="Calibri" w:cs="Calibri"/>
          <w:lang w:val="es-GT"/>
        </w:rPr>
        <w:t>Asimismo, puede considerarse como una medida de inversión que realiza la sociedad para contribuir a la equidad.</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De acuerdo con cifras del Ministerio de Finanzas Públicas (MINFIN), el gasto social se ha incrementado en términos absolutos, pasando de Q3,067 millones en 1996 a Q1</w:t>
      </w:r>
      <w:r w:rsidR="00AF5F75">
        <w:rPr>
          <w:rFonts w:ascii="Calibri" w:hAnsi="Calibri" w:cs="Calibri"/>
          <w:lang w:val="es-GT"/>
        </w:rPr>
        <w:t>4,604 millones en 2007 (Figura 52</w:t>
      </w:r>
      <w:r w:rsidRPr="001A01AB">
        <w:rPr>
          <w:rFonts w:ascii="Calibri" w:hAnsi="Calibri" w:cs="Calibri"/>
          <w:lang w:val="es-GT"/>
        </w:rPr>
        <w:t>). La contribución relativa también aumentó, pues pasó de 33% en el año 1996 a 39</w:t>
      </w:r>
      <w:r w:rsidR="00AF5F75">
        <w:rPr>
          <w:rFonts w:ascii="Calibri" w:hAnsi="Calibri" w:cs="Calibri"/>
          <w:lang w:val="es-GT"/>
        </w:rPr>
        <w:t xml:space="preserve">% en 2007 (IARNA-URL y </w:t>
      </w:r>
      <w:r w:rsidRPr="001A01AB">
        <w:rPr>
          <w:rFonts w:ascii="Calibri" w:hAnsi="Calibri" w:cs="Calibri"/>
          <w:lang w:val="es-GT"/>
        </w:rPr>
        <w:t>SEGEPLAN, 2009).</w:t>
      </w: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432" w:name="_Toc340034520"/>
      <w:bookmarkStart w:id="433" w:name="_Toc343098434"/>
      <w:bookmarkStart w:id="434" w:name="_Toc343098542"/>
      <w:bookmarkStart w:id="435" w:name="_Toc347841275"/>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52</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Gasto público social dentro del presupuesto general de gastos de la Nación</w:t>
      </w:r>
      <w:bookmarkEnd w:id="432"/>
      <w:bookmarkEnd w:id="433"/>
      <w:bookmarkEnd w:id="434"/>
      <w:bookmarkEnd w:id="435"/>
    </w:p>
    <w:p w:rsidR="008327B2" w:rsidRPr="001A01AB" w:rsidRDefault="00544A9F" w:rsidP="008327B2">
      <w:pPr>
        <w:autoSpaceDE w:val="0"/>
        <w:autoSpaceDN w:val="0"/>
        <w:adjustRightInd w:val="0"/>
        <w:jc w:val="center"/>
        <w:rPr>
          <w:rFonts w:ascii="Calibri" w:hAnsi="Calibri" w:cs="Calibri"/>
          <w:lang w:val="es-MX"/>
        </w:rPr>
      </w:pPr>
      <w:r>
        <w:rPr>
          <w:rFonts w:ascii="Calibri" w:hAnsi="Calibri" w:cs="Calibri"/>
          <w:noProof/>
          <w:lang w:val="es-GT" w:eastAsia="es-GT"/>
        </w:rPr>
        <w:drawing>
          <wp:inline distT="0" distB="0" distL="0" distR="0">
            <wp:extent cx="4486275" cy="2847975"/>
            <wp:effectExtent l="0" t="0" r="0" b="9525"/>
            <wp:docPr id="2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l="2391" t="6871" r="-3398" b="18465"/>
                    <a:stretch>
                      <a:fillRect/>
                    </a:stretch>
                  </pic:blipFill>
                  <pic:spPr bwMode="auto">
                    <a:xfrm>
                      <a:off x="0" y="0"/>
                      <a:ext cx="4486275" cy="2847975"/>
                    </a:xfrm>
                    <a:prstGeom prst="rect">
                      <a:avLst/>
                    </a:prstGeom>
                    <a:noFill/>
                    <a:ln>
                      <a:noFill/>
                    </a:ln>
                  </pic:spPr>
                </pic:pic>
              </a:graphicData>
            </a:graphic>
          </wp:inline>
        </w:drawing>
      </w:r>
    </w:p>
    <w:p w:rsidR="008327B2" w:rsidRPr="001A01AB" w:rsidRDefault="008327B2" w:rsidP="00B356A8">
      <w:pPr>
        <w:autoSpaceDE w:val="0"/>
        <w:autoSpaceDN w:val="0"/>
        <w:adjustRightInd w:val="0"/>
        <w:jc w:val="right"/>
        <w:rPr>
          <w:rFonts w:ascii="Calibri" w:hAnsi="Calibri" w:cs="Calibri"/>
          <w:sz w:val="20"/>
          <w:lang w:val="es-GT"/>
        </w:rPr>
      </w:pPr>
      <w:r w:rsidRPr="001A01AB">
        <w:rPr>
          <w:rFonts w:ascii="Calibri" w:hAnsi="Calibri" w:cs="Calibri"/>
          <w:sz w:val="20"/>
          <w:lang w:val="es-GT"/>
        </w:rPr>
        <w:t xml:space="preserve">Fuente: </w:t>
      </w:r>
      <w:r w:rsidR="00B356A8">
        <w:rPr>
          <w:rFonts w:ascii="Calibri" w:hAnsi="Calibri" w:cs="Calibri"/>
          <w:sz w:val="20"/>
          <w:lang w:val="es-GT"/>
        </w:rPr>
        <w:t>IARNA-URL y SEGEPLAN (</w:t>
      </w:r>
      <w:r w:rsidRPr="001A01AB">
        <w:rPr>
          <w:rFonts w:ascii="Calibri" w:hAnsi="Calibri" w:cs="Calibri"/>
          <w:sz w:val="20"/>
          <w:lang w:val="es-GT"/>
        </w:rPr>
        <w:t>2009</w:t>
      </w:r>
      <w:r w:rsidR="00B356A8">
        <w:rPr>
          <w:rFonts w:ascii="Calibri" w:hAnsi="Calibri" w:cs="Calibri"/>
          <w:sz w:val="20"/>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Cada nivel de gobierno administra sus fondos de forma descentralizada</w:t>
      </w:r>
      <w:r w:rsidR="00AF5F75">
        <w:rPr>
          <w:rFonts w:ascii="Calibri" w:hAnsi="Calibri" w:cs="Calibri"/>
          <w:lang w:val="es-GT"/>
        </w:rPr>
        <w:t>,</w:t>
      </w:r>
      <w:r w:rsidRPr="001A01AB">
        <w:rPr>
          <w:rFonts w:ascii="Calibri" w:hAnsi="Calibri" w:cs="Calibri"/>
          <w:lang w:val="es-GT"/>
        </w:rPr>
        <w:t xml:space="preserve"> y </w:t>
      </w:r>
      <w:r w:rsidR="00AF5F75">
        <w:rPr>
          <w:rFonts w:ascii="Calibri" w:hAnsi="Calibri" w:cs="Calibri"/>
          <w:lang w:val="es-GT"/>
        </w:rPr>
        <w:t xml:space="preserve">el monto invertido </w:t>
      </w:r>
      <w:r w:rsidRPr="001A01AB">
        <w:rPr>
          <w:rFonts w:ascii="Calibri" w:hAnsi="Calibri" w:cs="Calibri"/>
          <w:lang w:val="es-GT"/>
        </w:rPr>
        <w:t>en temas ambientales varía según sus prioridades o relevancia de</w:t>
      </w:r>
      <w:r w:rsidR="00AF5F75">
        <w:rPr>
          <w:rFonts w:ascii="Calibri" w:hAnsi="Calibri" w:cs="Calibri"/>
          <w:lang w:val="es-GT"/>
        </w:rPr>
        <w:t>l tema</w:t>
      </w:r>
      <w:r w:rsidRPr="001A01AB">
        <w:rPr>
          <w:rFonts w:ascii="Calibri" w:hAnsi="Calibri" w:cs="Calibri"/>
          <w:lang w:val="es-GT"/>
        </w:rPr>
        <w:t xml:space="preserve">. Por ley, el Estado le transfiere a los Consejos Departamentales de Desarrollo (CODEDE) un monto equivalente a un </w:t>
      </w:r>
      <w:r w:rsidRPr="001A01AB">
        <w:rPr>
          <w:rFonts w:ascii="Calibri" w:hAnsi="Calibri" w:cs="Calibri"/>
          <w:lang w:val="es-GT"/>
        </w:rPr>
        <w:lastRenderedPageBreak/>
        <w:t>punto porcentual de lo recaudado por concepto de la tasa única del impuesto al valor agregado. De acuerdo con el marco legal vigente, a los gobiernos municipales les corresponde el 10% del presupuesto ordinario de ingresos del Estado, 1.5 puntos porcentuales de la recaudación del impuesto de valor agregado y diferentes porcentajes del impuesto a la distribución del petróleo, a la circulación de vehículos y la recaudación central del Impuesto Único Sobre Inmuebles (IARNA</w:t>
      </w:r>
      <w:r w:rsidR="00D516B3">
        <w:rPr>
          <w:rFonts w:ascii="Calibri" w:hAnsi="Calibri" w:cs="Calibri"/>
          <w:lang w:val="es-GT"/>
        </w:rPr>
        <w:t xml:space="preserve">-URL y </w:t>
      </w:r>
      <w:r w:rsidRPr="001A01AB">
        <w:rPr>
          <w:rFonts w:ascii="Calibri" w:hAnsi="Calibri" w:cs="Calibri"/>
          <w:lang w:val="es-GT"/>
        </w:rPr>
        <w:t>SEGEPLAN,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La inversión ambiental gubernamental en Guatemala ascendió a Q1,400 millones en el 2006, de los cuales el 43% correspondió a los gobiernos municipales, 36% a las instancias del gobierno central y 21% a los CODEDE. La inversión ambiental total en el ámbito nacional ese año, con respecto a la inversión total nacional, fue del 19%, siendo los CODEDE los que dedicaron el mayor porcentaje de su presupuesto de inversión (30%</w:t>
      </w:r>
      <w:r w:rsidR="00D516B3">
        <w:rPr>
          <w:rFonts w:ascii="Calibri" w:hAnsi="Calibri" w:cs="Calibri"/>
          <w:lang w:val="es-GT"/>
        </w:rPr>
        <w:t xml:space="preserve">) a aspectos ambientales (IARNA-URL y </w:t>
      </w:r>
      <w:r w:rsidRPr="001A01AB">
        <w:rPr>
          <w:rFonts w:ascii="Calibri" w:hAnsi="Calibri" w:cs="Calibri"/>
          <w:lang w:val="es-GT"/>
        </w:rPr>
        <w:t>SEGEPLAN,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Durante el 2007, 57% de la inversión pública ejecutada en Guatemala se destinó a instancias del gobierno central, 33% a los gobiernos municipales y 10% a los CODEDE. En el 2008, los gobiernos municipales y los CODEDE aumentaron su partici</w:t>
      </w:r>
      <w:r w:rsidR="00D516B3">
        <w:rPr>
          <w:rFonts w:ascii="Calibri" w:hAnsi="Calibri" w:cs="Calibri"/>
          <w:lang w:val="es-GT"/>
        </w:rPr>
        <w:t xml:space="preserve">pación al 46% del total (IARNA-URL y </w:t>
      </w:r>
      <w:r w:rsidRPr="001A01AB">
        <w:rPr>
          <w:rFonts w:ascii="Calibri" w:hAnsi="Calibri" w:cs="Calibri"/>
          <w:lang w:val="es-GT"/>
        </w:rPr>
        <w:t>SEGEPLAN,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De manera específica, se puede ejemplificar la dinámica dentro del sector forestal, en el cual el crecimiento de las plantaciones ha </w:t>
      </w:r>
      <w:r w:rsidR="00AF5F75">
        <w:rPr>
          <w:rFonts w:ascii="Calibri" w:hAnsi="Calibri" w:cs="Calibri"/>
          <w:lang w:val="es-GT"/>
        </w:rPr>
        <w:t>sido consistente</w:t>
      </w:r>
      <w:r w:rsidRPr="001A01AB">
        <w:rPr>
          <w:rFonts w:ascii="Calibri" w:hAnsi="Calibri" w:cs="Calibri"/>
          <w:lang w:val="es-GT"/>
        </w:rPr>
        <w:t>, alcanzando una superficie de 102,000 ha, equivalente a 7,520 ha/año.</w:t>
      </w:r>
      <w:r w:rsidR="00141A70">
        <w:rPr>
          <w:rFonts w:ascii="Calibri" w:hAnsi="Calibri" w:cs="Calibri"/>
          <w:lang w:val="es-GT"/>
        </w:rPr>
        <w:t xml:space="preserve"> </w:t>
      </w:r>
      <w:r w:rsidRPr="001A01AB">
        <w:rPr>
          <w:rFonts w:ascii="Calibri" w:hAnsi="Calibri" w:cs="Calibri"/>
          <w:lang w:val="es-GT"/>
        </w:rPr>
        <w:t xml:space="preserve">El INAB ha certificado el pago de Q1,222 millones a 6,488 proyectos de reforestación y manejo de bosques naturales. La inversión pública a través de los incentivos para la reforestación y manejo de bosques, ha reconfigurado el subsistema de los productores de recursos forestales, cuya cifra pasó de 32 propietarios de plantaciones </w:t>
      </w:r>
      <w:r w:rsidR="00D516B3">
        <w:rPr>
          <w:rFonts w:ascii="Calibri" w:hAnsi="Calibri" w:cs="Calibri"/>
          <w:lang w:val="es-GT"/>
        </w:rPr>
        <w:t>en 1998 a 3,101 en el 2010 (</w:t>
      </w:r>
      <w:r w:rsidRPr="001A01AB">
        <w:rPr>
          <w:rFonts w:ascii="Calibri" w:hAnsi="Calibri" w:cs="Calibri"/>
          <w:lang w:val="es-GT"/>
        </w:rPr>
        <w:t>IARNA</w:t>
      </w:r>
      <w:r w:rsidR="00D516B3">
        <w:rPr>
          <w:rFonts w:ascii="Calibri" w:hAnsi="Calibri" w:cs="Calibri"/>
          <w:lang w:val="es-GT"/>
        </w:rPr>
        <w:t>-URL</w:t>
      </w:r>
      <w:r w:rsidRPr="001A01AB">
        <w:rPr>
          <w:rFonts w:ascii="Calibri" w:hAnsi="Calibri" w:cs="Calibri"/>
          <w:lang w:val="es-GT"/>
        </w:rPr>
        <w:t>, 2012).</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Por otro lado, se determinó que para el año 2012, los presupuestos de las instituciones responsables de la conservación y manejo de los bosques –CONAP e INAB–, se han mantenido relativamente estables. Por ejemplo, el INAB solicitó y le fue aprobado un presupuesto de Q80 millones en el 2009, pero al final solo recibió Q60 millones (</w:t>
      </w:r>
      <w:r w:rsidRPr="00253520">
        <w:rPr>
          <w:rFonts w:ascii="Calibri" w:hAnsi="Calibri" w:cs="Calibri"/>
          <w:highlight w:val="magenta"/>
          <w:lang w:val="es-GT"/>
        </w:rPr>
        <w:t>SICOIN, 2011).</w:t>
      </w:r>
      <w:r w:rsidRPr="001A01AB">
        <w:rPr>
          <w:rFonts w:ascii="Calibri" w:hAnsi="Calibri" w:cs="Calibri"/>
          <w:lang w:val="es-GT"/>
        </w:rPr>
        <w:t xml:space="preserve"> El CONAP recibió un presupuesto que subió de Q40 millones en el 2008 a 46 millones en el 2009.</w:t>
      </w:r>
      <w:r w:rsidR="00141A70">
        <w:rPr>
          <w:rFonts w:ascii="Calibri" w:hAnsi="Calibri" w:cs="Calibri"/>
          <w:lang w:val="es-GT"/>
        </w:rPr>
        <w:t xml:space="preserve"> </w:t>
      </w:r>
      <w:r w:rsidRPr="001A01AB">
        <w:rPr>
          <w:rFonts w:ascii="Calibri" w:hAnsi="Calibri" w:cs="Calibri"/>
          <w:lang w:val="es-GT"/>
        </w:rPr>
        <w:t>Para el 2012</w:t>
      </w:r>
      <w:r w:rsidR="00B13E46">
        <w:rPr>
          <w:rFonts w:ascii="Calibri" w:hAnsi="Calibri" w:cs="Calibri"/>
          <w:lang w:val="es-GT"/>
        </w:rPr>
        <w:t xml:space="preserve"> la implementación de la Ley d</w:t>
      </w:r>
      <w:r w:rsidRPr="001A01AB">
        <w:rPr>
          <w:rFonts w:ascii="Calibri" w:hAnsi="Calibri" w:cs="Calibri"/>
          <w:lang w:val="es-GT"/>
        </w:rPr>
        <w:t>e Incentivos Forestales para Poseedores de Pequeñas Extensiones de Tierra de Vocación Forestal o Agroforestal (PINPEP), consider</w:t>
      </w:r>
      <w:r w:rsidR="00B13E46">
        <w:rPr>
          <w:rFonts w:ascii="Calibri" w:hAnsi="Calibri" w:cs="Calibri"/>
          <w:lang w:val="es-GT"/>
        </w:rPr>
        <w:t>ó</w:t>
      </w:r>
      <w:r w:rsidRPr="001A01AB">
        <w:rPr>
          <w:rFonts w:ascii="Calibri" w:hAnsi="Calibri" w:cs="Calibri"/>
          <w:lang w:val="es-GT"/>
        </w:rPr>
        <w:t xml:space="preserve"> en su artículo 8, una asignación de hasta el 1% y no menos del 0.5% del presupuesto de ingresos ordinarios del Estado, del ejercicio fiscal correspondiente. Estos porcentajes oscilan en la actualidad entre </w:t>
      </w:r>
      <w:r w:rsidR="004D4D08">
        <w:rPr>
          <w:rFonts w:ascii="Calibri" w:hAnsi="Calibri" w:cs="Calibri"/>
          <w:lang w:val="es-GT"/>
        </w:rPr>
        <w:t>Q</w:t>
      </w:r>
      <w:r w:rsidRPr="001A01AB">
        <w:rPr>
          <w:rFonts w:ascii="Calibri" w:hAnsi="Calibri" w:cs="Calibri"/>
          <w:lang w:val="es-GT"/>
        </w:rPr>
        <w:t xml:space="preserve">145 y </w:t>
      </w:r>
      <w:r w:rsidR="004D4D08">
        <w:rPr>
          <w:rFonts w:ascii="Calibri" w:hAnsi="Calibri" w:cs="Calibri"/>
          <w:lang w:val="es-GT"/>
        </w:rPr>
        <w:t>Q</w:t>
      </w:r>
      <w:r w:rsidRPr="001A01AB">
        <w:rPr>
          <w:rFonts w:ascii="Calibri" w:hAnsi="Calibri" w:cs="Calibri"/>
          <w:lang w:val="es-GT"/>
        </w:rPr>
        <w:t>290 millones anuales.</w:t>
      </w:r>
      <w:r w:rsidR="00141A70">
        <w:rPr>
          <w:rFonts w:ascii="Calibri" w:hAnsi="Calibri" w:cs="Calibri"/>
          <w:lang w:val="es-GT"/>
        </w:rPr>
        <w:t xml:space="preserve"> </w:t>
      </w:r>
      <w:r w:rsidRPr="001A01AB">
        <w:rPr>
          <w:rFonts w:ascii="Calibri" w:hAnsi="Calibri" w:cs="Calibri"/>
          <w:lang w:val="es-GT"/>
        </w:rPr>
        <w:t>Esta acción se considera trascendental para el desarrollo sectorial, no sólo en materia ambiental, sino desde el punto de vista social, ya que el PINPEP ha sido creado para beneficiar a personas y comunidades de escasos recursos y que se encuentran en condiciones de extrem</w:t>
      </w:r>
      <w:r w:rsidR="00D516B3">
        <w:rPr>
          <w:rFonts w:ascii="Calibri" w:hAnsi="Calibri" w:cs="Calibri"/>
          <w:lang w:val="es-GT"/>
        </w:rPr>
        <w:t>a pobreza (</w:t>
      </w:r>
      <w:r w:rsidRPr="001A01AB">
        <w:rPr>
          <w:rFonts w:ascii="Calibri" w:hAnsi="Calibri" w:cs="Calibri"/>
          <w:lang w:val="es-GT"/>
        </w:rPr>
        <w:t>IARNA</w:t>
      </w:r>
      <w:r w:rsidR="00D516B3">
        <w:rPr>
          <w:rFonts w:ascii="Calibri" w:hAnsi="Calibri" w:cs="Calibri"/>
          <w:lang w:val="es-GT"/>
        </w:rPr>
        <w:t>-URL</w:t>
      </w:r>
      <w:r w:rsidRPr="001A01AB">
        <w:rPr>
          <w:rFonts w:ascii="Calibri" w:hAnsi="Calibri" w:cs="Calibri"/>
          <w:lang w:val="es-GT"/>
        </w:rPr>
        <w:t>, 2012).</w:t>
      </w:r>
    </w:p>
    <w:p w:rsidR="008327B2" w:rsidRDefault="008327B2" w:rsidP="008327B2">
      <w:pPr>
        <w:autoSpaceDE w:val="0"/>
        <w:autoSpaceDN w:val="0"/>
        <w:adjustRightInd w:val="0"/>
        <w:jc w:val="both"/>
        <w:rPr>
          <w:rFonts w:ascii="Calibri" w:hAnsi="Calibri" w:cs="Calibri"/>
          <w:lang w:val="es-GT"/>
        </w:rPr>
      </w:pPr>
    </w:p>
    <w:p w:rsidR="00B13E46" w:rsidRDefault="00B13E46" w:rsidP="008327B2">
      <w:pPr>
        <w:autoSpaceDE w:val="0"/>
        <w:autoSpaceDN w:val="0"/>
        <w:adjustRightInd w:val="0"/>
        <w:jc w:val="both"/>
        <w:rPr>
          <w:rFonts w:ascii="Calibri" w:hAnsi="Calibri" w:cs="Calibri"/>
          <w:lang w:val="es-GT"/>
        </w:rPr>
      </w:pPr>
    </w:p>
    <w:p w:rsidR="00B13E46" w:rsidRDefault="00B13E46" w:rsidP="008327B2">
      <w:pPr>
        <w:autoSpaceDE w:val="0"/>
        <w:autoSpaceDN w:val="0"/>
        <w:adjustRightInd w:val="0"/>
        <w:jc w:val="both"/>
        <w:rPr>
          <w:rFonts w:ascii="Calibri" w:hAnsi="Calibri" w:cs="Calibri"/>
          <w:lang w:val="es-GT"/>
        </w:rPr>
      </w:pPr>
    </w:p>
    <w:p w:rsidR="00B13E46" w:rsidRPr="001A01AB" w:rsidRDefault="00B13E46"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lastRenderedPageBreak/>
        <w:t>5.1.2.</w:t>
      </w:r>
      <w:r w:rsidRPr="001A01AB">
        <w:rPr>
          <w:rFonts w:ascii="Calibri" w:hAnsi="Calibri" w:cs="Calibri"/>
          <w:b/>
          <w:color w:val="365F91"/>
          <w:lang w:val="es-GT"/>
        </w:rPr>
        <w:tab/>
        <w:t xml:space="preserve">Indicador: </w:t>
      </w:r>
      <w:r w:rsidR="00016E8A" w:rsidRPr="001A01AB">
        <w:rPr>
          <w:rFonts w:ascii="Calibri" w:hAnsi="Calibri" w:cs="Calibri"/>
          <w:b/>
          <w:color w:val="365F91"/>
          <w:lang w:val="es-GT"/>
        </w:rPr>
        <w:t>gasto público destinado a la protección y recuperación del ambiente</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Este indicador muestra el compromiso del Estado con respecto a la protección del ambiente, aspecto fundamental para el desarrollo integral.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De acuerdo con el SCAEI (</w:t>
      </w:r>
      <w:r w:rsidRPr="00253520">
        <w:rPr>
          <w:rFonts w:ascii="Calibri" w:hAnsi="Calibri" w:cs="Calibri"/>
          <w:highlight w:val="magenta"/>
          <w:lang w:val="es-GT"/>
        </w:rPr>
        <w:t>BANGUAT y URL, IARNA, 2009),</w:t>
      </w:r>
      <w:r w:rsidRPr="001A01AB">
        <w:rPr>
          <w:rFonts w:ascii="Calibri" w:hAnsi="Calibri" w:cs="Calibri"/>
          <w:lang w:val="es-GT"/>
        </w:rPr>
        <w:t xml:space="preserve"> en el año 2006 el gasto ambiental fue de Q499 millones (en quetzales corrientes), correspondiendo a un 1.44% del presupuesto de gastos de la Nación. Sin embargo, en términos reales (no en valores corrientes) el</w:t>
      </w:r>
      <w:r w:rsidR="004D4D08">
        <w:rPr>
          <w:rFonts w:ascii="Calibri" w:hAnsi="Calibri" w:cs="Calibri"/>
          <w:lang w:val="es-GT"/>
        </w:rPr>
        <w:t xml:space="preserve"> gasto ambiental disminuyó de Q</w:t>
      </w:r>
      <w:r w:rsidRPr="001A01AB">
        <w:rPr>
          <w:rFonts w:ascii="Calibri" w:hAnsi="Calibri" w:cs="Calibri"/>
          <w:lang w:val="es-GT"/>
        </w:rPr>
        <w:t xml:space="preserve">565 millones en 2001 a Q323 millones en 2006, lo cual corresponde, en términos relativos con respecto al presupuesto total, a una disminución de 2.8% a 1.4% en el periodo analizado (Figura </w:t>
      </w:r>
      <w:r w:rsidR="00D82537">
        <w:rPr>
          <w:rFonts w:ascii="Calibri" w:hAnsi="Calibri" w:cs="Calibri"/>
          <w:lang w:val="es-GT"/>
        </w:rPr>
        <w:t>53</w:t>
      </w:r>
      <w:r w:rsidRPr="001A01AB">
        <w:rPr>
          <w:rFonts w:ascii="Calibri" w:hAnsi="Calibri" w:cs="Calibri"/>
          <w:lang w:val="es-GT"/>
        </w:rPr>
        <w:t>).</w:t>
      </w: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436" w:name="_Toc340034521"/>
      <w:bookmarkStart w:id="437" w:name="_Toc343098435"/>
      <w:bookmarkStart w:id="438" w:name="_Toc343098543"/>
      <w:bookmarkStart w:id="439" w:name="_Toc347841276"/>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53</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Gasto público ambiental con relación al presupuesto público total en Guatemala</w:t>
      </w:r>
      <w:bookmarkEnd w:id="436"/>
      <w:bookmarkEnd w:id="437"/>
      <w:bookmarkEnd w:id="438"/>
      <w:bookmarkEnd w:id="439"/>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4638675" cy="2781300"/>
            <wp:effectExtent l="0" t="0" r="9525" b="0"/>
            <wp:docPr id="2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t="6905" b="18866"/>
                    <a:stretch>
                      <a:fillRect/>
                    </a:stretch>
                  </pic:blipFill>
                  <pic:spPr bwMode="auto">
                    <a:xfrm>
                      <a:off x="0" y="0"/>
                      <a:ext cx="4638675" cy="2781300"/>
                    </a:xfrm>
                    <a:prstGeom prst="rect">
                      <a:avLst/>
                    </a:prstGeom>
                    <a:noFill/>
                    <a:ln>
                      <a:noFill/>
                    </a:ln>
                  </pic:spPr>
                </pic:pic>
              </a:graphicData>
            </a:graphic>
          </wp:inline>
        </w:drawing>
      </w:r>
    </w:p>
    <w:p w:rsidR="008327B2" w:rsidRPr="001A01AB" w:rsidRDefault="008327B2" w:rsidP="008327B2">
      <w:pPr>
        <w:tabs>
          <w:tab w:val="left" w:pos="8789"/>
        </w:tabs>
        <w:autoSpaceDE w:val="0"/>
        <w:autoSpaceDN w:val="0"/>
        <w:adjustRightInd w:val="0"/>
        <w:ind w:left="567" w:right="571"/>
        <w:mirrorIndents/>
        <w:jc w:val="center"/>
        <w:rPr>
          <w:rFonts w:ascii="Calibri" w:hAnsi="Calibri" w:cs="Calibri"/>
          <w:sz w:val="20"/>
          <w:lang w:val="es-MX"/>
        </w:rPr>
      </w:pPr>
      <w:r w:rsidRPr="001A01AB">
        <w:rPr>
          <w:rFonts w:ascii="Calibri" w:hAnsi="Calibri" w:cs="Calibri"/>
          <w:sz w:val="20"/>
          <w:lang w:val="es-MX"/>
        </w:rPr>
        <w:t xml:space="preserve">Fuente: </w:t>
      </w:r>
      <w:r w:rsidR="00D516B3" w:rsidRPr="00253520">
        <w:rPr>
          <w:rFonts w:ascii="Calibri" w:hAnsi="Calibri" w:cs="Calibri"/>
          <w:sz w:val="20"/>
          <w:highlight w:val="magenta"/>
          <w:lang w:val="es-GT"/>
        </w:rPr>
        <w:t xml:space="preserve">IARNA-URL y </w:t>
      </w:r>
      <w:r w:rsidRPr="00253520">
        <w:rPr>
          <w:rFonts w:ascii="Calibri" w:hAnsi="Calibri" w:cs="Calibri"/>
          <w:sz w:val="20"/>
          <w:highlight w:val="magenta"/>
          <w:lang w:val="es-GT"/>
        </w:rPr>
        <w:t>SEGEPLAN</w:t>
      </w:r>
      <w:r w:rsidR="00D516B3" w:rsidRPr="00253520">
        <w:rPr>
          <w:rFonts w:ascii="Calibri" w:hAnsi="Calibri" w:cs="Calibri"/>
          <w:sz w:val="20"/>
          <w:highlight w:val="magenta"/>
          <w:lang w:val="es-GT"/>
        </w:rPr>
        <w:t xml:space="preserve"> (</w:t>
      </w:r>
      <w:r w:rsidRPr="00253520">
        <w:rPr>
          <w:rFonts w:ascii="Calibri" w:hAnsi="Calibri" w:cs="Calibri"/>
          <w:sz w:val="20"/>
          <w:highlight w:val="magenta"/>
          <w:lang w:val="es-GT"/>
        </w:rPr>
        <w:t>2009</w:t>
      </w:r>
      <w:r w:rsidR="00D516B3" w:rsidRPr="00253520">
        <w:rPr>
          <w:rFonts w:ascii="Calibri" w:hAnsi="Calibri" w:cs="Calibri"/>
          <w:sz w:val="20"/>
          <w:highlight w:val="magenta"/>
          <w:lang w:val="es-GT"/>
        </w:rPr>
        <w:t>)</w:t>
      </w:r>
      <w:r w:rsidRPr="00253520">
        <w:rPr>
          <w:rFonts w:ascii="Calibri" w:hAnsi="Calibri" w:cs="Calibri"/>
          <w:sz w:val="20"/>
          <w:highlight w:val="magenta"/>
          <w:lang w:val="es-GT"/>
        </w:rPr>
        <w:t>.</w:t>
      </w:r>
      <w:r w:rsidR="00141A70" w:rsidRPr="00253520">
        <w:rPr>
          <w:rFonts w:ascii="Calibri" w:hAnsi="Calibri" w:cs="Calibri"/>
          <w:sz w:val="20"/>
          <w:highlight w:val="magenta"/>
          <w:lang w:val="es-GT"/>
        </w:rPr>
        <w:t xml:space="preserve"> </w:t>
      </w:r>
      <w:r w:rsidRPr="00253520">
        <w:rPr>
          <w:rFonts w:ascii="Calibri" w:hAnsi="Calibri" w:cs="Calibri"/>
          <w:sz w:val="20"/>
          <w:highlight w:val="magenta"/>
          <w:lang w:val="es-GT"/>
        </w:rPr>
        <w:t>Información generada con base en BANGUAT y URL, IARNA,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D82537" w:rsidP="008327B2">
      <w:pPr>
        <w:autoSpaceDE w:val="0"/>
        <w:autoSpaceDN w:val="0"/>
        <w:adjustRightInd w:val="0"/>
        <w:jc w:val="both"/>
        <w:rPr>
          <w:rFonts w:ascii="Calibri" w:hAnsi="Calibri" w:cs="Calibri"/>
          <w:lang w:val="es-GT"/>
        </w:rPr>
      </w:pPr>
      <w:r>
        <w:rPr>
          <w:rFonts w:ascii="Calibri" w:hAnsi="Calibri" w:cs="Calibri"/>
          <w:lang w:val="es-GT"/>
        </w:rPr>
        <w:t xml:space="preserve">En el </w:t>
      </w:r>
      <w:r w:rsidRPr="00D82537">
        <w:rPr>
          <w:rFonts w:ascii="Calibri" w:hAnsi="Calibri" w:cs="Calibri"/>
          <w:i/>
          <w:lang w:val="es-GT"/>
        </w:rPr>
        <w:t>Informe A</w:t>
      </w:r>
      <w:r w:rsidR="008327B2" w:rsidRPr="00D82537">
        <w:rPr>
          <w:rFonts w:ascii="Calibri" w:hAnsi="Calibri" w:cs="Calibri"/>
          <w:i/>
          <w:lang w:val="es-GT"/>
        </w:rPr>
        <w:t>mb</w:t>
      </w:r>
      <w:r w:rsidRPr="00D82537">
        <w:rPr>
          <w:rFonts w:ascii="Calibri" w:hAnsi="Calibri" w:cs="Calibri"/>
          <w:i/>
          <w:lang w:val="es-GT"/>
        </w:rPr>
        <w:t>iental del Estado de Guatemala</w:t>
      </w:r>
      <w:r>
        <w:rPr>
          <w:rFonts w:ascii="Calibri" w:hAnsi="Calibri" w:cs="Calibri"/>
          <w:lang w:val="es-GT"/>
        </w:rPr>
        <w:t xml:space="preserve"> </w:t>
      </w:r>
      <w:r w:rsidRPr="00D82537">
        <w:rPr>
          <w:rFonts w:ascii="Calibri" w:hAnsi="Calibri" w:cs="Calibri"/>
          <w:i/>
          <w:lang w:val="es-GT"/>
        </w:rPr>
        <w:t>GEO 2009</w:t>
      </w:r>
      <w:r w:rsidR="008327B2" w:rsidRPr="001A01AB">
        <w:rPr>
          <w:rFonts w:ascii="Calibri" w:hAnsi="Calibri" w:cs="Calibri"/>
          <w:lang w:val="es-GT"/>
        </w:rPr>
        <w:t xml:space="preserve">, se menciona que en </w:t>
      </w:r>
      <w:r>
        <w:rPr>
          <w:rFonts w:ascii="Calibri" w:hAnsi="Calibri" w:cs="Calibri"/>
          <w:lang w:val="es-GT"/>
        </w:rPr>
        <w:t xml:space="preserve">el país </w:t>
      </w:r>
      <w:r w:rsidR="008327B2" w:rsidRPr="001A01AB">
        <w:rPr>
          <w:rFonts w:ascii="Calibri" w:hAnsi="Calibri" w:cs="Calibri"/>
          <w:lang w:val="es-GT"/>
        </w:rPr>
        <w:t xml:space="preserve">existe una asignación presupuestaria cargada al Presupuesto General del Estado para las organizaciones gubernamentales que realizan funciones exclusivas de gestión ambiental. Esta asignación está entre las más bajas, siendo frecuente observar su paulatina reducción, a excepción del MARN (Cuadro </w:t>
      </w:r>
      <w:r>
        <w:rPr>
          <w:rFonts w:ascii="Calibri" w:hAnsi="Calibri" w:cs="Calibri"/>
          <w:lang w:val="es-GT"/>
        </w:rPr>
        <w:t>3</w:t>
      </w:r>
      <w:r w:rsidR="004C77F8">
        <w:rPr>
          <w:rFonts w:ascii="Calibri" w:hAnsi="Calibri" w:cs="Calibri"/>
          <w:lang w:val="es-GT"/>
        </w:rPr>
        <w:t>8</w:t>
      </w:r>
      <w:r w:rsidR="008327B2" w:rsidRPr="001A01AB">
        <w:rPr>
          <w:rFonts w:ascii="Calibri" w:hAnsi="Calibri" w:cs="Calibri"/>
          <w:lang w:val="es-GT"/>
        </w:rPr>
        <w:t xml:space="preserve">) y del CONAP (Figura </w:t>
      </w:r>
      <w:r>
        <w:rPr>
          <w:rFonts w:ascii="Calibri" w:hAnsi="Calibri" w:cs="Calibri"/>
          <w:lang w:val="es-GT"/>
        </w:rPr>
        <w:t>54</w:t>
      </w:r>
      <w:r w:rsidR="008327B2" w:rsidRPr="001A01AB">
        <w:rPr>
          <w:rFonts w:ascii="Calibri" w:hAnsi="Calibri" w:cs="Calibri"/>
          <w:lang w:val="es-GT"/>
        </w:rPr>
        <w:t xml:space="preserve">).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7033AE" w:rsidRDefault="00C54ACC" w:rsidP="007033AE">
      <w:pPr>
        <w:pStyle w:val="Epgrafe"/>
        <w:jc w:val="center"/>
        <w:rPr>
          <w:rFonts w:asciiTheme="minorHAnsi" w:hAnsiTheme="minorHAnsi" w:cstheme="minorHAnsi"/>
          <w:color w:val="365F91" w:themeColor="accent1" w:themeShade="BF"/>
          <w:sz w:val="22"/>
          <w:szCs w:val="22"/>
          <w:lang w:val="es-GT"/>
        </w:rPr>
      </w:pPr>
      <w:bookmarkStart w:id="440" w:name="_Toc340034459"/>
      <w:bookmarkStart w:id="441" w:name="_Toc343164666"/>
      <w:bookmarkStart w:id="442" w:name="_Toc347841220"/>
      <w:r w:rsidRPr="007033AE">
        <w:rPr>
          <w:rFonts w:asciiTheme="minorHAnsi" w:hAnsiTheme="minorHAnsi" w:cstheme="minorHAnsi"/>
          <w:color w:val="365F91" w:themeColor="accent1" w:themeShade="BF"/>
          <w:sz w:val="22"/>
          <w:szCs w:val="22"/>
          <w:lang w:val="es-GT"/>
        </w:rPr>
        <w:lastRenderedPageBreak/>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38</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Presupuesto aprobado del MARN en relación con el Presupuesto General de la Nación</w:t>
      </w:r>
      <w:r w:rsidR="00D82537" w:rsidRPr="007033AE">
        <w:rPr>
          <w:rFonts w:asciiTheme="minorHAnsi" w:hAnsiTheme="minorHAnsi" w:cstheme="minorHAnsi"/>
          <w:color w:val="365F91" w:themeColor="accent1" w:themeShade="BF"/>
          <w:sz w:val="22"/>
          <w:szCs w:val="22"/>
          <w:lang w:val="es-GT"/>
        </w:rPr>
        <w:t>. Periodo</w:t>
      </w:r>
      <w:r w:rsidR="008327B2" w:rsidRPr="007033AE">
        <w:rPr>
          <w:rFonts w:asciiTheme="minorHAnsi" w:hAnsiTheme="minorHAnsi" w:cstheme="minorHAnsi"/>
          <w:color w:val="365F91" w:themeColor="accent1" w:themeShade="BF"/>
          <w:sz w:val="22"/>
          <w:szCs w:val="22"/>
          <w:lang w:val="es-GT"/>
        </w:rPr>
        <w:t xml:space="preserve"> 2006-2009 (</w:t>
      </w:r>
      <w:r w:rsidR="00D516B3" w:rsidRPr="007033AE">
        <w:rPr>
          <w:rFonts w:asciiTheme="minorHAnsi" w:hAnsiTheme="minorHAnsi" w:cstheme="minorHAnsi"/>
          <w:color w:val="365F91" w:themeColor="accent1" w:themeShade="BF"/>
          <w:sz w:val="22"/>
          <w:szCs w:val="22"/>
          <w:lang w:val="es-GT"/>
        </w:rPr>
        <w:t>millones de quetzales</w:t>
      </w:r>
      <w:r w:rsidR="008327B2" w:rsidRPr="007033AE">
        <w:rPr>
          <w:rFonts w:asciiTheme="minorHAnsi" w:hAnsiTheme="minorHAnsi" w:cstheme="minorHAnsi"/>
          <w:color w:val="365F91" w:themeColor="accent1" w:themeShade="BF"/>
          <w:sz w:val="22"/>
          <w:szCs w:val="22"/>
          <w:lang w:val="es-GT"/>
        </w:rPr>
        <w:t>)</w:t>
      </w:r>
      <w:bookmarkEnd w:id="440"/>
      <w:bookmarkEnd w:id="441"/>
      <w:bookmarkEnd w:id="442"/>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762625" cy="1085850"/>
            <wp:effectExtent l="0" t="0" r="9525" b="0"/>
            <wp:docPr id="2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duotone>
                        <a:schemeClr val="accent1">
                          <a:shade val="45000"/>
                          <a:satMod val="135000"/>
                        </a:schemeClr>
                        <a:prstClr val="white"/>
                      </a:duotone>
                      <a:extLst>
                        <a:ext uri="{28A0092B-C50C-407E-A947-70E740481C1C}">
                          <a14:useLocalDpi xmlns:a14="http://schemas.microsoft.com/office/drawing/2010/main" val="0"/>
                        </a:ext>
                      </a:extLst>
                    </a:blip>
                    <a:srcRect t="39622" b="8559"/>
                    <a:stretch>
                      <a:fillRect/>
                    </a:stretch>
                  </pic:blipFill>
                  <pic:spPr bwMode="auto">
                    <a:xfrm>
                      <a:off x="0" y="0"/>
                      <a:ext cx="5762625" cy="1085850"/>
                    </a:xfrm>
                    <a:prstGeom prst="rect">
                      <a:avLst/>
                    </a:prstGeom>
                    <a:noFill/>
                    <a:ln>
                      <a:noFill/>
                    </a:ln>
                  </pic:spPr>
                </pic:pic>
              </a:graphicData>
            </a:graphic>
          </wp:inline>
        </w:drawing>
      </w:r>
    </w:p>
    <w:p w:rsidR="008327B2" w:rsidRPr="001A01AB" w:rsidRDefault="008327B2" w:rsidP="008327B2">
      <w:pPr>
        <w:tabs>
          <w:tab w:val="left" w:pos="9072"/>
        </w:tabs>
        <w:autoSpaceDE w:val="0"/>
        <w:autoSpaceDN w:val="0"/>
        <w:adjustRightInd w:val="0"/>
        <w:ind w:left="567" w:right="288"/>
        <w:mirrorIndents/>
        <w:jc w:val="right"/>
        <w:rPr>
          <w:rFonts w:ascii="Calibri" w:hAnsi="Calibri" w:cs="Calibri"/>
          <w:sz w:val="20"/>
          <w:lang w:val="es-MX"/>
        </w:rPr>
      </w:pPr>
      <w:r w:rsidRPr="001A01AB">
        <w:rPr>
          <w:rFonts w:ascii="Calibri" w:hAnsi="Calibri" w:cs="Calibri"/>
          <w:sz w:val="20"/>
          <w:lang w:val="es-MX"/>
        </w:rPr>
        <w:t>Fuente</w:t>
      </w:r>
      <w:r w:rsidR="00D516B3">
        <w:rPr>
          <w:rFonts w:ascii="Calibri" w:hAnsi="Calibri" w:cs="Calibri"/>
          <w:sz w:val="20"/>
          <w:lang w:val="es-MX"/>
        </w:rPr>
        <w:t xml:space="preserve">: </w:t>
      </w:r>
      <w:r w:rsidR="00D516B3" w:rsidRPr="00253520">
        <w:rPr>
          <w:rFonts w:ascii="Calibri" w:hAnsi="Calibri" w:cs="Calibri"/>
          <w:sz w:val="20"/>
          <w:highlight w:val="magenta"/>
          <w:lang w:val="es-MX"/>
        </w:rPr>
        <w:t xml:space="preserve">IARNA-URL y </w:t>
      </w:r>
      <w:r w:rsidRPr="00253520">
        <w:rPr>
          <w:rFonts w:ascii="Calibri" w:hAnsi="Calibri" w:cs="Calibri"/>
          <w:sz w:val="20"/>
          <w:highlight w:val="magenta"/>
          <w:lang w:val="es-MX"/>
        </w:rPr>
        <w:t>SEGEPLAN</w:t>
      </w:r>
      <w:r w:rsidR="00D516B3" w:rsidRPr="00253520">
        <w:rPr>
          <w:rFonts w:ascii="Calibri" w:hAnsi="Calibri" w:cs="Calibri"/>
          <w:sz w:val="20"/>
          <w:highlight w:val="magenta"/>
          <w:lang w:val="es-MX"/>
        </w:rPr>
        <w:t xml:space="preserve"> (</w:t>
      </w:r>
      <w:r w:rsidRPr="00253520">
        <w:rPr>
          <w:rFonts w:ascii="Calibri" w:hAnsi="Calibri" w:cs="Calibri"/>
          <w:sz w:val="20"/>
          <w:highlight w:val="magenta"/>
          <w:lang w:val="es-MX"/>
        </w:rPr>
        <w:t>2009</w:t>
      </w:r>
      <w:r w:rsidR="00D516B3" w:rsidRPr="00253520">
        <w:rPr>
          <w:rFonts w:ascii="Calibri" w:hAnsi="Calibri" w:cs="Calibri"/>
          <w:sz w:val="20"/>
          <w:highlight w:val="magenta"/>
          <w:lang w:val="es-MX"/>
        </w:rPr>
        <w:t>) y MARN</w:t>
      </w:r>
      <w:r w:rsidRPr="00253520">
        <w:rPr>
          <w:rFonts w:ascii="Calibri" w:hAnsi="Calibri" w:cs="Calibri"/>
          <w:sz w:val="20"/>
          <w:highlight w:val="magenta"/>
          <w:lang w:val="es-MX"/>
        </w:rPr>
        <w:t xml:space="preserve"> </w:t>
      </w:r>
      <w:r w:rsidR="00D516B3" w:rsidRPr="00253520">
        <w:rPr>
          <w:rFonts w:ascii="Calibri" w:hAnsi="Calibri" w:cs="Calibri"/>
          <w:sz w:val="20"/>
          <w:highlight w:val="magenta"/>
          <w:lang w:val="es-MX"/>
        </w:rPr>
        <w:t>(</w:t>
      </w:r>
      <w:r w:rsidRPr="00253520">
        <w:rPr>
          <w:rFonts w:ascii="Calibri" w:hAnsi="Calibri" w:cs="Calibri"/>
          <w:sz w:val="20"/>
          <w:highlight w:val="magenta"/>
          <w:lang w:val="es-MX"/>
        </w:rPr>
        <w:t>2009</w:t>
      </w:r>
      <w:r w:rsidR="00D516B3" w:rsidRPr="00253520">
        <w:rPr>
          <w:rFonts w:ascii="Calibri" w:hAnsi="Calibri" w:cs="Calibri"/>
          <w:sz w:val="20"/>
          <w:highlight w:val="magenta"/>
          <w:lang w:val="es-MX"/>
        </w:rPr>
        <w:t>)</w:t>
      </w:r>
      <w:r w:rsidRPr="00253520">
        <w:rPr>
          <w:rFonts w:ascii="Calibri" w:hAnsi="Calibri" w:cs="Calibri"/>
          <w:sz w:val="20"/>
          <w:highlight w:val="magenta"/>
          <w:lang w:val="es-MX"/>
        </w:rPr>
        <w:t>.</w:t>
      </w:r>
    </w:p>
    <w:p w:rsidR="008327B2" w:rsidRPr="001A01AB" w:rsidRDefault="008327B2" w:rsidP="008327B2">
      <w:pPr>
        <w:autoSpaceDE w:val="0"/>
        <w:autoSpaceDN w:val="0"/>
        <w:adjustRightInd w:val="0"/>
        <w:jc w:val="both"/>
        <w:rPr>
          <w:rFonts w:ascii="Calibri" w:hAnsi="Calibri" w:cs="Calibri"/>
          <w:lang w:val="es-GT"/>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443" w:name="_Toc340034522"/>
      <w:bookmarkStart w:id="444" w:name="_Toc343098436"/>
      <w:bookmarkStart w:id="445" w:name="_Toc343098544"/>
      <w:bookmarkStart w:id="446" w:name="_Toc347841277"/>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54</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Pr</w:t>
      </w:r>
      <w:r w:rsidR="00D516B3" w:rsidRPr="00224B57">
        <w:rPr>
          <w:rFonts w:ascii="Calibri" w:eastAsia="Calibri" w:hAnsi="Calibri" w:cs="Calibri"/>
          <w:b/>
          <w:color w:val="365F91"/>
          <w:sz w:val="22"/>
          <w:szCs w:val="22"/>
          <w:lang w:val="es-GT"/>
        </w:rPr>
        <w:t>esupuesto del CONAP</w:t>
      </w:r>
      <w:r w:rsidR="00D82537" w:rsidRPr="00224B57">
        <w:rPr>
          <w:rFonts w:ascii="Calibri" w:eastAsia="Calibri" w:hAnsi="Calibri" w:cs="Calibri"/>
          <w:b/>
          <w:color w:val="365F91"/>
          <w:sz w:val="22"/>
          <w:szCs w:val="22"/>
          <w:lang w:val="es-GT"/>
        </w:rPr>
        <w:t>. Periodo</w:t>
      </w:r>
      <w:r w:rsidR="00D516B3" w:rsidRPr="00224B57">
        <w:rPr>
          <w:rFonts w:ascii="Calibri" w:eastAsia="Calibri" w:hAnsi="Calibri" w:cs="Calibri"/>
          <w:b/>
          <w:color w:val="365F91"/>
          <w:sz w:val="22"/>
          <w:szCs w:val="22"/>
          <w:lang w:val="es-GT"/>
        </w:rPr>
        <w:t xml:space="preserve"> 2004 – 2009</w:t>
      </w:r>
      <w:r w:rsidRPr="00224B57">
        <w:rPr>
          <w:rFonts w:ascii="Calibri" w:eastAsia="Calibri" w:hAnsi="Calibri" w:cs="Calibri"/>
          <w:b/>
          <w:color w:val="365F91"/>
          <w:sz w:val="22"/>
          <w:szCs w:val="22"/>
          <w:lang w:val="es-GT"/>
        </w:rPr>
        <w:t xml:space="preserve"> (</w:t>
      </w:r>
      <w:r w:rsidR="00D516B3" w:rsidRPr="00224B57">
        <w:rPr>
          <w:rFonts w:ascii="Calibri" w:eastAsia="Calibri" w:hAnsi="Calibri" w:cs="Calibri"/>
          <w:b/>
          <w:color w:val="365F91"/>
          <w:sz w:val="22"/>
          <w:szCs w:val="22"/>
          <w:lang w:val="es-GT"/>
        </w:rPr>
        <w:t>m</w:t>
      </w:r>
      <w:r w:rsidRPr="00224B57">
        <w:rPr>
          <w:rFonts w:ascii="Calibri" w:eastAsia="Calibri" w:hAnsi="Calibri" w:cs="Calibri"/>
          <w:b/>
          <w:color w:val="365F91"/>
          <w:sz w:val="22"/>
          <w:szCs w:val="22"/>
          <w:lang w:val="es-GT"/>
        </w:rPr>
        <w:t>illones de quetzales)</w:t>
      </w:r>
      <w:bookmarkEnd w:id="443"/>
      <w:bookmarkEnd w:id="444"/>
      <w:bookmarkEnd w:id="445"/>
      <w:bookmarkEnd w:id="446"/>
    </w:p>
    <w:p w:rsidR="008327B2" w:rsidRPr="001A01AB" w:rsidRDefault="00544A9F" w:rsidP="008327B2">
      <w:pPr>
        <w:autoSpaceDE w:val="0"/>
        <w:autoSpaceDN w:val="0"/>
        <w:adjustRightInd w:val="0"/>
        <w:jc w:val="center"/>
        <w:rPr>
          <w:rFonts w:ascii="Calibri" w:hAnsi="Calibri" w:cs="Calibri"/>
          <w:lang w:val="es-GT"/>
        </w:rPr>
      </w:pPr>
      <w:r>
        <w:rPr>
          <w:rFonts w:ascii="Calibri" w:hAnsi="Calibri" w:cs="Calibri"/>
          <w:noProof/>
          <w:lang w:val="es-GT" w:eastAsia="es-GT"/>
        </w:rPr>
        <w:drawing>
          <wp:inline distT="0" distB="0" distL="0" distR="0">
            <wp:extent cx="5762625" cy="2838450"/>
            <wp:effectExtent l="0" t="0" r="9525" b="0"/>
            <wp:docPr id="2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rcRect t="28705"/>
                    <a:stretch>
                      <a:fillRect/>
                    </a:stretch>
                  </pic:blipFill>
                  <pic:spPr bwMode="auto">
                    <a:xfrm>
                      <a:off x="0" y="0"/>
                      <a:ext cx="5762625" cy="2838450"/>
                    </a:xfrm>
                    <a:prstGeom prst="rect">
                      <a:avLst/>
                    </a:prstGeom>
                    <a:noFill/>
                    <a:ln>
                      <a:noFill/>
                    </a:ln>
                  </pic:spPr>
                </pic:pic>
              </a:graphicData>
            </a:graphic>
          </wp:inline>
        </w:drawing>
      </w:r>
    </w:p>
    <w:p w:rsidR="008327B2" w:rsidRPr="001A01AB" w:rsidRDefault="008327B2" w:rsidP="008327B2">
      <w:pPr>
        <w:tabs>
          <w:tab w:val="left" w:pos="9072"/>
        </w:tabs>
        <w:autoSpaceDE w:val="0"/>
        <w:autoSpaceDN w:val="0"/>
        <w:adjustRightInd w:val="0"/>
        <w:ind w:left="567" w:right="288"/>
        <w:mirrorIndents/>
        <w:jc w:val="right"/>
        <w:rPr>
          <w:rFonts w:ascii="Calibri" w:hAnsi="Calibri" w:cs="Calibri"/>
          <w:sz w:val="20"/>
          <w:lang w:val="es-MX"/>
        </w:rPr>
      </w:pPr>
      <w:r w:rsidRPr="001A01AB">
        <w:rPr>
          <w:rFonts w:ascii="Calibri" w:hAnsi="Calibri" w:cs="Calibri"/>
          <w:sz w:val="20"/>
          <w:lang w:val="es-MX"/>
        </w:rPr>
        <w:t xml:space="preserve">Fuente: </w:t>
      </w:r>
      <w:r w:rsidR="000213B1" w:rsidRPr="00253520">
        <w:rPr>
          <w:rFonts w:ascii="Calibri" w:hAnsi="Calibri" w:cs="Calibri"/>
          <w:sz w:val="20"/>
          <w:highlight w:val="magenta"/>
          <w:lang w:val="es-MX"/>
        </w:rPr>
        <w:t>IARNA-URL y SEGEPLAN (</w:t>
      </w:r>
      <w:r w:rsidRPr="00253520">
        <w:rPr>
          <w:rFonts w:ascii="Calibri" w:hAnsi="Calibri" w:cs="Calibri"/>
          <w:sz w:val="20"/>
          <w:highlight w:val="magenta"/>
          <w:lang w:val="es-MX"/>
        </w:rPr>
        <w:t>2009</w:t>
      </w:r>
      <w:r w:rsidR="000213B1" w:rsidRPr="00253520">
        <w:rPr>
          <w:rFonts w:ascii="Calibri" w:hAnsi="Calibri" w:cs="Calibri"/>
          <w:sz w:val="20"/>
          <w:highlight w:val="magenta"/>
          <w:lang w:val="es-MX"/>
        </w:rPr>
        <w:t>)</w:t>
      </w:r>
      <w:r w:rsidRPr="00253520">
        <w:rPr>
          <w:rFonts w:ascii="Calibri" w:hAnsi="Calibri" w:cs="Calibri"/>
          <w:sz w:val="20"/>
          <w:highlight w:val="magenta"/>
          <w:lang w:val="es-MX"/>
        </w:rPr>
        <w:t>.</w:t>
      </w:r>
      <w:r w:rsidR="00141A70" w:rsidRPr="00253520">
        <w:rPr>
          <w:rFonts w:ascii="Calibri" w:hAnsi="Calibri" w:cs="Calibri"/>
          <w:sz w:val="20"/>
          <w:highlight w:val="magenta"/>
          <w:lang w:val="es-MX"/>
        </w:rPr>
        <w:t xml:space="preserve"> </w:t>
      </w:r>
      <w:r w:rsidRPr="00253520">
        <w:rPr>
          <w:rFonts w:ascii="Calibri" w:hAnsi="Calibri" w:cs="Calibri"/>
          <w:sz w:val="20"/>
          <w:highlight w:val="magenta"/>
          <w:lang w:val="es-MX"/>
        </w:rPr>
        <w:t>Información generada con información del CONAP, 2009.</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4D4D08" w:rsidP="008327B2">
      <w:pPr>
        <w:autoSpaceDE w:val="0"/>
        <w:autoSpaceDN w:val="0"/>
        <w:adjustRightInd w:val="0"/>
        <w:jc w:val="both"/>
        <w:rPr>
          <w:rFonts w:ascii="Calibri" w:hAnsi="Calibri" w:cs="Calibri"/>
          <w:lang w:val="es-GT"/>
        </w:rPr>
      </w:pPr>
      <w:r>
        <w:rPr>
          <w:rFonts w:ascii="Calibri" w:hAnsi="Calibri" w:cs="Calibri"/>
          <w:lang w:val="es-GT"/>
        </w:rPr>
        <w:t>L</w:t>
      </w:r>
      <w:r w:rsidR="008327B2" w:rsidRPr="001A01AB">
        <w:rPr>
          <w:rFonts w:ascii="Calibri" w:hAnsi="Calibri" w:cs="Calibri"/>
          <w:lang w:val="es-GT"/>
        </w:rPr>
        <w:t>a información anterior evidencia que la dinámica de la inversión pública destinada al desarrollo y di</w:t>
      </w:r>
      <w:r>
        <w:rPr>
          <w:rFonts w:ascii="Calibri" w:hAnsi="Calibri" w:cs="Calibri"/>
          <w:lang w:val="es-GT"/>
        </w:rPr>
        <w:t>namización del sector ambiental</w:t>
      </w:r>
      <w:r w:rsidR="008327B2" w:rsidRPr="001A01AB">
        <w:rPr>
          <w:rFonts w:ascii="Calibri" w:hAnsi="Calibri" w:cs="Calibri"/>
          <w:lang w:val="es-GT"/>
        </w:rPr>
        <w:t xml:space="preserve"> es insuficiente </w:t>
      </w:r>
      <w:r>
        <w:rPr>
          <w:rFonts w:ascii="Calibri" w:hAnsi="Calibri" w:cs="Calibri"/>
          <w:lang w:val="es-GT"/>
        </w:rPr>
        <w:t>para</w:t>
      </w:r>
      <w:r w:rsidR="008327B2" w:rsidRPr="001A01AB">
        <w:rPr>
          <w:rFonts w:ascii="Calibri" w:hAnsi="Calibri" w:cs="Calibri"/>
          <w:lang w:val="es-GT"/>
        </w:rPr>
        <w:t xml:space="preserve"> las necesidades del país.</w:t>
      </w:r>
      <w:r w:rsidR="00141A70">
        <w:rPr>
          <w:rFonts w:ascii="Calibri" w:hAnsi="Calibri" w:cs="Calibri"/>
          <w:lang w:val="es-GT"/>
        </w:rPr>
        <w:t xml:space="preserve"> </w:t>
      </w:r>
      <w:r w:rsidR="008327B2" w:rsidRPr="001A01AB">
        <w:rPr>
          <w:rFonts w:ascii="Calibri" w:hAnsi="Calibri" w:cs="Calibri"/>
          <w:lang w:val="es-GT"/>
        </w:rPr>
        <w:t xml:space="preserve">En el informe </w:t>
      </w:r>
      <w:r w:rsidR="008327B2" w:rsidRPr="004D4D08">
        <w:rPr>
          <w:rFonts w:ascii="Calibri" w:hAnsi="Calibri" w:cs="Calibri"/>
          <w:i/>
          <w:lang w:val="es-GT"/>
        </w:rPr>
        <w:t>GEO 2009</w:t>
      </w:r>
      <w:r w:rsidR="008327B2" w:rsidRPr="001A01AB">
        <w:rPr>
          <w:rFonts w:ascii="Calibri" w:hAnsi="Calibri" w:cs="Calibri"/>
          <w:lang w:val="es-GT"/>
        </w:rPr>
        <w:t xml:space="preserve"> también se menciona que el gasto público ambiental tuvo una considerable reducción, alcanzando su máximo porcentaje del presupuesto nacional en el 2002 (2.84 %) y reduciéndose hasta 1.29%.</w:t>
      </w:r>
    </w:p>
    <w:p w:rsidR="008327B2" w:rsidRPr="001A01AB" w:rsidRDefault="008327B2" w:rsidP="008327B2">
      <w:pPr>
        <w:autoSpaceDE w:val="0"/>
        <w:autoSpaceDN w:val="0"/>
        <w:adjustRightInd w:val="0"/>
        <w:jc w:val="both"/>
        <w:rPr>
          <w:rFonts w:ascii="Calibri" w:hAnsi="Calibri" w:cs="Calibri"/>
          <w:lang w:val="es-GT"/>
        </w:rPr>
      </w:pPr>
    </w:p>
    <w:p w:rsidR="004D4D08"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 xml:space="preserve">En el tema de contaminación ambiental, </w:t>
      </w:r>
      <w:r w:rsidR="004D4D08">
        <w:rPr>
          <w:rFonts w:ascii="Calibri" w:hAnsi="Calibri" w:cs="Calibri"/>
          <w:lang w:val="es-GT"/>
        </w:rPr>
        <w:t>e</w:t>
      </w:r>
      <w:r w:rsidRPr="001A01AB">
        <w:rPr>
          <w:rFonts w:ascii="Calibri" w:hAnsi="Calibri" w:cs="Calibri"/>
          <w:lang w:val="es-GT"/>
        </w:rPr>
        <w:t xml:space="preserve">l gasto público ambiental no ha registrado mayores cambios durante el periodo 2006-2010, cuyas cifras oscilan entre los </w:t>
      </w:r>
      <w:r w:rsidR="004D4D08">
        <w:rPr>
          <w:rFonts w:ascii="Calibri" w:hAnsi="Calibri" w:cs="Calibri"/>
          <w:lang w:val="es-GT"/>
        </w:rPr>
        <w:t>Q</w:t>
      </w:r>
      <w:r w:rsidRPr="001A01AB">
        <w:rPr>
          <w:rFonts w:ascii="Calibri" w:hAnsi="Calibri" w:cs="Calibri"/>
          <w:lang w:val="es-GT"/>
        </w:rPr>
        <w:t>1,100 y</w:t>
      </w:r>
      <w:r w:rsidR="00436502">
        <w:rPr>
          <w:rFonts w:ascii="Calibri" w:hAnsi="Calibri" w:cs="Calibri"/>
          <w:lang w:val="es-GT"/>
        </w:rPr>
        <w:t xml:space="preserve"> </w:t>
      </w:r>
      <w:r w:rsidR="004D4D08">
        <w:rPr>
          <w:rFonts w:ascii="Calibri" w:hAnsi="Calibri" w:cs="Calibri"/>
          <w:lang w:val="es-GT"/>
        </w:rPr>
        <w:t>Q</w:t>
      </w:r>
      <w:r w:rsidRPr="001A01AB">
        <w:rPr>
          <w:rFonts w:ascii="Calibri" w:hAnsi="Calibri" w:cs="Calibri"/>
          <w:lang w:val="es-GT"/>
        </w:rPr>
        <w:t>1,800 millones.</w:t>
      </w:r>
      <w:r w:rsidR="00141A70">
        <w:rPr>
          <w:rFonts w:ascii="Calibri" w:hAnsi="Calibri" w:cs="Calibri"/>
          <w:lang w:val="es-GT"/>
        </w:rPr>
        <w:t xml:space="preserve"> </w:t>
      </w:r>
      <w:r w:rsidRPr="001A01AB">
        <w:rPr>
          <w:rFonts w:ascii="Calibri" w:hAnsi="Calibri" w:cs="Calibri"/>
          <w:lang w:val="es-GT"/>
        </w:rPr>
        <w:t xml:space="preserve">El total del gasto </w:t>
      </w:r>
      <w:r w:rsidR="004D4D08">
        <w:rPr>
          <w:rFonts w:ascii="Calibri" w:hAnsi="Calibri" w:cs="Calibri"/>
          <w:lang w:val="es-GT"/>
        </w:rPr>
        <w:t>para</w:t>
      </w:r>
      <w:r w:rsidRPr="001A01AB">
        <w:rPr>
          <w:rFonts w:ascii="Calibri" w:hAnsi="Calibri" w:cs="Calibri"/>
          <w:lang w:val="es-GT"/>
        </w:rPr>
        <w:t xml:space="preserve"> la gestión de la contaminación es cercano al 50% del total del gasto ambiental. </w:t>
      </w:r>
    </w:p>
    <w:p w:rsidR="004D4D08" w:rsidRDefault="004D4D08" w:rsidP="008327B2">
      <w:pPr>
        <w:autoSpaceDE w:val="0"/>
        <w:autoSpaceDN w:val="0"/>
        <w:adjustRightInd w:val="0"/>
        <w:jc w:val="both"/>
        <w:rPr>
          <w:rFonts w:ascii="Calibri" w:hAnsi="Calibri" w:cs="Calibri"/>
          <w:lang w:val="es-GT"/>
        </w:rPr>
      </w:pPr>
    </w:p>
    <w:p w:rsidR="008327B2" w:rsidRDefault="004D4D08" w:rsidP="008327B2">
      <w:pPr>
        <w:autoSpaceDE w:val="0"/>
        <w:autoSpaceDN w:val="0"/>
        <w:adjustRightInd w:val="0"/>
        <w:jc w:val="both"/>
        <w:rPr>
          <w:rFonts w:ascii="Calibri" w:hAnsi="Calibri" w:cs="Calibri"/>
          <w:lang w:val="es-GT"/>
        </w:rPr>
      </w:pPr>
      <w:r>
        <w:rPr>
          <w:rFonts w:ascii="Calibri" w:hAnsi="Calibri" w:cs="Calibri"/>
          <w:lang w:val="es-GT"/>
        </w:rPr>
        <w:t>P</w:t>
      </w:r>
      <w:r w:rsidR="008327B2" w:rsidRPr="001A01AB">
        <w:rPr>
          <w:rFonts w:ascii="Calibri" w:hAnsi="Calibri" w:cs="Calibri"/>
          <w:lang w:val="es-GT"/>
        </w:rPr>
        <w:t>ara el año 2010</w:t>
      </w:r>
      <w:r>
        <w:rPr>
          <w:rFonts w:ascii="Calibri" w:hAnsi="Calibri" w:cs="Calibri"/>
          <w:lang w:val="es-GT"/>
        </w:rPr>
        <w:t>,</w:t>
      </w:r>
      <w:r w:rsidR="008327B2" w:rsidRPr="001A01AB">
        <w:rPr>
          <w:rFonts w:ascii="Calibri" w:hAnsi="Calibri" w:cs="Calibri"/>
          <w:lang w:val="es-GT"/>
        </w:rPr>
        <w:t xml:space="preserve"> el gasto del gobierno central y departamental </w:t>
      </w:r>
      <w:r>
        <w:rPr>
          <w:rFonts w:ascii="Calibri" w:hAnsi="Calibri" w:cs="Calibri"/>
          <w:lang w:val="es-GT"/>
        </w:rPr>
        <w:t>para la</w:t>
      </w:r>
      <w:r w:rsidR="008327B2" w:rsidRPr="001A01AB">
        <w:rPr>
          <w:rFonts w:ascii="Calibri" w:hAnsi="Calibri" w:cs="Calibri"/>
          <w:lang w:val="es-GT"/>
        </w:rPr>
        <w:t xml:space="preserve"> gestión de la contaminación fue el más alto del periodo 2006-2010, equivalente a </w:t>
      </w:r>
      <w:r>
        <w:rPr>
          <w:rFonts w:ascii="Calibri" w:hAnsi="Calibri" w:cs="Calibri"/>
          <w:lang w:val="es-GT"/>
        </w:rPr>
        <w:t>Q</w:t>
      </w:r>
      <w:r w:rsidR="008327B2" w:rsidRPr="001A01AB">
        <w:rPr>
          <w:rFonts w:ascii="Calibri" w:hAnsi="Calibri" w:cs="Calibri"/>
          <w:lang w:val="es-GT"/>
        </w:rPr>
        <w:t xml:space="preserve">235.6 millones. A pesar de ello, el gasto más alto en ese año lo reportan los gobiernos municipales con </w:t>
      </w:r>
      <w:r>
        <w:rPr>
          <w:rFonts w:ascii="Calibri" w:hAnsi="Calibri" w:cs="Calibri"/>
          <w:lang w:val="es-GT"/>
        </w:rPr>
        <w:t>Q</w:t>
      </w:r>
      <w:r w:rsidR="008327B2" w:rsidRPr="001A01AB">
        <w:rPr>
          <w:rFonts w:ascii="Calibri" w:hAnsi="Calibri" w:cs="Calibri"/>
          <w:lang w:val="es-GT"/>
        </w:rPr>
        <w:t xml:space="preserve">398.9 millones, como se aprecia en el Cuadro </w:t>
      </w:r>
      <w:r>
        <w:rPr>
          <w:rFonts w:ascii="Calibri" w:hAnsi="Calibri" w:cs="Calibri"/>
          <w:lang w:val="es-GT"/>
        </w:rPr>
        <w:t>3</w:t>
      </w:r>
      <w:r w:rsidR="004C77F8">
        <w:rPr>
          <w:rFonts w:ascii="Calibri" w:hAnsi="Calibri" w:cs="Calibri"/>
          <w:lang w:val="es-GT"/>
        </w:rPr>
        <w:t>9</w:t>
      </w:r>
      <w:r w:rsidR="008327B2" w:rsidRPr="001A01AB">
        <w:rPr>
          <w:rFonts w:ascii="Calibri" w:hAnsi="Calibri" w:cs="Calibri"/>
          <w:lang w:val="es-GT"/>
        </w:rPr>
        <w:t>.</w:t>
      </w:r>
    </w:p>
    <w:p w:rsidR="000213B1" w:rsidRPr="001A01AB" w:rsidRDefault="000213B1" w:rsidP="008327B2">
      <w:pPr>
        <w:autoSpaceDE w:val="0"/>
        <w:autoSpaceDN w:val="0"/>
        <w:adjustRightInd w:val="0"/>
        <w:jc w:val="both"/>
        <w:rPr>
          <w:rFonts w:ascii="Calibri" w:hAnsi="Calibri" w:cs="Calibri"/>
          <w:lang w:val="es-GT"/>
        </w:rPr>
      </w:pPr>
    </w:p>
    <w:p w:rsidR="007033AE" w:rsidRDefault="00C54ACC" w:rsidP="007033AE">
      <w:pPr>
        <w:pStyle w:val="Epgrafe"/>
        <w:jc w:val="center"/>
        <w:rPr>
          <w:rFonts w:asciiTheme="minorHAnsi" w:hAnsiTheme="minorHAnsi" w:cstheme="minorHAnsi"/>
          <w:color w:val="365F91" w:themeColor="accent1" w:themeShade="BF"/>
          <w:sz w:val="22"/>
          <w:szCs w:val="22"/>
          <w:lang w:val="es-GT"/>
        </w:rPr>
      </w:pPr>
      <w:bookmarkStart w:id="447" w:name="_Toc340034460"/>
      <w:bookmarkStart w:id="448" w:name="_Toc343164667"/>
      <w:bookmarkStart w:id="449" w:name="_Toc347841221"/>
      <w:r w:rsidRPr="007033AE">
        <w:rPr>
          <w:rFonts w:asciiTheme="minorHAnsi" w:hAnsiTheme="minorHAnsi" w:cstheme="minorHAnsi"/>
          <w:color w:val="365F91" w:themeColor="accent1" w:themeShade="BF"/>
          <w:sz w:val="22"/>
          <w:szCs w:val="22"/>
          <w:lang w:val="es-GT"/>
        </w:rPr>
        <w:lastRenderedPageBreak/>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39</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 xml:space="preserve">Gasto público </w:t>
      </w:r>
      <w:r w:rsidR="004D4D08" w:rsidRPr="007033AE">
        <w:rPr>
          <w:rFonts w:asciiTheme="minorHAnsi" w:hAnsiTheme="minorHAnsi" w:cstheme="minorHAnsi"/>
          <w:color w:val="365F91" w:themeColor="accent1" w:themeShade="BF"/>
          <w:sz w:val="22"/>
          <w:szCs w:val="22"/>
          <w:lang w:val="es-GT"/>
        </w:rPr>
        <w:t>para la</w:t>
      </w:r>
      <w:r w:rsidR="008327B2" w:rsidRPr="007033AE">
        <w:rPr>
          <w:rFonts w:asciiTheme="minorHAnsi" w:hAnsiTheme="minorHAnsi" w:cstheme="minorHAnsi"/>
          <w:color w:val="365F91" w:themeColor="accent1" w:themeShade="BF"/>
          <w:sz w:val="22"/>
          <w:szCs w:val="22"/>
          <w:lang w:val="es-GT"/>
        </w:rPr>
        <w:t xml:space="preserve"> gestión de residuos y emisiones</w:t>
      </w:r>
      <w:r w:rsidR="004D4D08" w:rsidRPr="007033AE">
        <w:rPr>
          <w:rFonts w:asciiTheme="minorHAnsi" w:hAnsiTheme="minorHAnsi" w:cstheme="minorHAnsi"/>
          <w:color w:val="365F91" w:themeColor="accent1" w:themeShade="BF"/>
          <w:sz w:val="22"/>
          <w:szCs w:val="22"/>
          <w:lang w:val="es-GT"/>
        </w:rPr>
        <w:t>.</w:t>
      </w:r>
      <w:bookmarkEnd w:id="449"/>
      <w:r w:rsidR="008327B2" w:rsidRPr="007033AE">
        <w:rPr>
          <w:rFonts w:asciiTheme="minorHAnsi" w:hAnsiTheme="minorHAnsi" w:cstheme="minorHAnsi"/>
          <w:color w:val="365F91" w:themeColor="accent1" w:themeShade="BF"/>
          <w:sz w:val="22"/>
          <w:szCs w:val="22"/>
          <w:lang w:val="es-GT"/>
        </w:rPr>
        <w:t xml:space="preserve"> </w:t>
      </w:r>
    </w:p>
    <w:p w:rsidR="008327B2" w:rsidRDefault="004D4D08" w:rsidP="007033AE">
      <w:pPr>
        <w:pStyle w:val="Epgrafe"/>
        <w:jc w:val="center"/>
        <w:rPr>
          <w:rFonts w:asciiTheme="minorHAnsi" w:hAnsiTheme="minorHAnsi" w:cstheme="minorHAnsi"/>
          <w:color w:val="365F91" w:themeColor="accent1" w:themeShade="BF"/>
          <w:sz w:val="22"/>
          <w:szCs w:val="22"/>
          <w:lang w:val="es-GT"/>
        </w:rPr>
      </w:pPr>
      <w:r w:rsidRPr="007033AE">
        <w:rPr>
          <w:rFonts w:asciiTheme="minorHAnsi" w:hAnsiTheme="minorHAnsi" w:cstheme="minorHAnsi"/>
          <w:color w:val="365F91" w:themeColor="accent1" w:themeShade="BF"/>
          <w:sz w:val="22"/>
          <w:szCs w:val="22"/>
          <w:lang w:val="es-GT"/>
        </w:rPr>
        <w:t xml:space="preserve">Periodo 2006-2010 </w:t>
      </w:r>
      <w:r w:rsidR="008327B2" w:rsidRPr="007033AE">
        <w:rPr>
          <w:rFonts w:asciiTheme="minorHAnsi" w:hAnsiTheme="minorHAnsi" w:cstheme="minorHAnsi"/>
          <w:color w:val="365F91" w:themeColor="accent1" w:themeShade="BF"/>
          <w:sz w:val="22"/>
          <w:szCs w:val="22"/>
          <w:lang w:val="es-GT"/>
        </w:rPr>
        <w:t>(millones de quetzales)</w:t>
      </w:r>
      <w:bookmarkEnd w:id="447"/>
      <w:bookmarkEnd w:id="448"/>
    </w:p>
    <w:p w:rsidR="007033AE" w:rsidRPr="007033AE" w:rsidRDefault="007033AE" w:rsidP="007033AE">
      <w:pPr>
        <w:rPr>
          <w:lang w:val="es-GT"/>
        </w:rPr>
      </w:pPr>
    </w:p>
    <w:p w:rsidR="008327B2" w:rsidRPr="007033AE" w:rsidRDefault="00544A9F" w:rsidP="007033AE">
      <w:pPr>
        <w:pStyle w:val="Epgrafe"/>
        <w:jc w:val="center"/>
        <w:rPr>
          <w:rFonts w:asciiTheme="minorHAnsi" w:hAnsiTheme="minorHAnsi" w:cstheme="minorHAnsi"/>
          <w:color w:val="365F91" w:themeColor="accent1" w:themeShade="BF"/>
          <w:sz w:val="22"/>
          <w:szCs w:val="22"/>
          <w:lang w:val="es-GT"/>
        </w:rPr>
      </w:pPr>
      <w:r w:rsidRPr="007033AE">
        <w:rPr>
          <w:rFonts w:asciiTheme="minorHAnsi" w:hAnsiTheme="minorHAnsi" w:cstheme="minorHAnsi"/>
          <w:color w:val="365F91" w:themeColor="accent1" w:themeShade="BF"/>
          <w:sz w:val="22"/>
          <w:szCs w:val="22"/>
          <w:lang w:val="es-GT"/>
        </w:rPr>
        <w:drawing>
          <wp:inline distT="0" distB="0" distL="0" distR="0" wp14:anchorId="0E8E07F5" wp14:editId="79D3E8BD">
            <wp:extent cx="5761355" cy="2274319"/>
            <wp:effectExtent l="0" t="0" r="0" b="0"/>
            <wp:docPr id="2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5"/>
                    <pic:cNvPicPr>
                      <a:picLocks noChangeAspect="1" noChangeArrowheads="1"/>
                    </pic:cNvPicPr>
                  </pic:nvPicPr>
                  <pic:blipFill>
                    <a:blip r:embed="rId109" cstate="print">
                      <a:duotone>
                        <a:schemeClr val="accent1">
                          <a:shade val="45000"/>
                          <a:satMod val="135000"/>
                        </a:schemeClr>
                        <a:prstClr val="white"/>
                      </a:duotone>
                    </a:blip>
                    <a:srcRect l="8621" t="25264" r="6241" b="14782"/>
                    <a:stretch>
                      <a:fillRect/>
                    </a:stretch>
                  </pic:blipFill>
                  <pic:spPr bwMode="auto">
                    <a:xfrm>
                      <a:off x="0" y="0"/>
                      <a:ext cx="5761355" cy="2273935"/>
                    </a:xfrm>
                    <a:prstGeom prst="rect">
                      <a:avLst/>
                    </a:prstGeom>
                    <a:noFill/>
                    <a:ln w="9525">
                      <a:noFill/>
                      <a:miter lim="800000"/>
                      <a:headEnd/>
                      <a:tailEnd/>
                    </a:ln>
                  </pic:spPr>
                </pic:pic>
              </a:graphicData>
            </a:graphic>
          </wp:inline>
        </w:drawing>
      </w:r>
    </w:p>
    <w:p w:rsidR="008327B2" w:rsidRPr="001A01AB" w:rsidRDefault="008327B2" w:rsidP="008327B2">
      <w:pPr>
        <w:autoSpaceDE w:val="0"/>
        <w:autoSpaceDN w:val="0"/>
        <w:adjustRightInd w:val="0"/>
        <w:jc w:val="right"/>
        <w:rPr>
          <w:rFonts w:ascii="Calibri" w:hAnsi="Calibri" w:cs="Calibri"/>
          <w:sz w:val="20"/>
          <w:lang w:val="es-GT"/>
        </w:rPr>
      </w:pPr>
      <w:r w:rsidRPr="001A01AB">
        <w:rPr>
          <w:rFonts w:ascii="Calibri" w:hAnsi="Calibri" w:cs="Calibri"/>
          <w:sz w:val="20"/>
          <w:lang w:val="es-GT"/>
        </w:rPr>
        <w:t xml:space="preserve">Fuente: BANGUAT y IARNA-URL (2011), citado </w:t>
      </w:r>
      <w:r w:rsidR="000213B1">
        <w:rPr>
          <w:rFonts w:ascii="Calibri" w:hAnsi="Calibri" w:cs="Calibri"/>
          <w:sz w:val="20"/>
          <w:lang w:val="es-GT"/>
        </w:rPr>
        <w:t>en IARNA-URL (2012).</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sz w:val="28"/>
          <w:lang w:val="es-GT"/>
        </w:rPr>
      </w:pPr>
      <w:r w:rsidRPr="001A01AB">
        <w:rPr>
          <w:rFonts w:ascii="Calibri" w:hAnsi="Calibri" w:cs="Calibri"/>
          <w:b/>
          <w:color w:val="365F91"/>
          <w:sz w:val="28"/>
          <w:lang w:val="es-GT"/>
        </w:rPr>
        <w:t>5.2</w:t>
      </w:r>
      <w:r w:rsidRPr="001A01AB">
        <w:rPr>
          <w:rFonts w:ascii="Calibri" w:hAnsi="Calibri" w:cs="Calibri"/>
          <w:b/>
          <w:color w:val="365F91"/>
          <w:sz w:val="28"/>
          <w:lang w:val="es-GT"/>
        </w:rPr>
        <w:tab/>
        <w:t xml:space="preserve">Criterio de evaluación: </w:t>
      </w:r>
      <w:r w:rsidR="00016E8A" w:rsidRPr="001A01AB">
        <w:rPr>
          <w:rFonts w:ascii="Calibri" w:hAnsi="Calibri" w:cs="Calibri"/>
          <w:b/>
          <w:color w:val="365F91"/>
          <w:sz w:val="28"/>
          <w:lang w:val="es-GT"/>
        </w:rPr>
        <w:t>gestión local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En el año 2008 el Gobierno de Guatemala</w:t>
      </w:r>
      <w:r w:rsidR="004D4D08">
        <w:rPr>
          <w:rFonts w:ascii="Calibri" w:hAnsi="Calibri" w:cs="Calibri"/>
          <w:lang w:val="es-GT"/>
        </w:rPr>
        <w:t>,</w:t>
      </w:r>
      <w:r w:rsidRPr="001A01AB">
        <w:rPr>
          <w:rFonts w:ascii="Calibri" w:hAnsi="Calibri" w:cs="Calibri"/>
          <w:lang w:val="es-GT"/>
        </w:rPr>
        <w:t xml:space="preserve"> a través de la </w:t>
      </w:r>
      <w:r w:rsidR="004D4D08">
        <w:rPr>
          <w:rFonts w:ascii="Calibri" w:hAnsi="Calibri" w:cs="Calibri"/>
          <w:lang w:val="es-GT"/>
        </w:rPr>
        <w:t>SEGEPLAN,</w:t>
      </w:r>
      <w:r w:rsidRPr="001A01AB">
        <w:rPr>
          <w:rFonts w:ascii="Calibri" w:hAnsi="Calibri" w:cs="Calibri"/>
          <w:lang w:val="es-GT"/>
        </w:rPr>
        <w:t xml:space="preserve"> suscribió el convenio de cooperación tripartito entre la cooperación Sueca-Alemana (programa PROMUDEL-GIZ) y la </w:t>
      </w:r>
      <w:r w:rsidR="003E56CB">
        <w:rPr>
          <w:rFonts w:ascii="Calibri" w:hAnsi="Calibri" w:cs="Calibri"/>
          <w:lang w:val="es-GT"/>
        </w:rPr>
        <w:t>Agencia Colombiana de C</w:t>
      </w:r>
      <w:r w:rsidRPr="001A01AB">
        <w:rPr>
          <w:rFonts w:ascii="Calibri" w:hAnsi="Calibri" w:cs="Calibri"/>
          <w:lang w:val="es-GT"/>
        </w:rPr>
        <w:t xml:space="preserve">ooperación Colombiana (AGCI), para el intercambio de conocimientos en materia de gestión municipal y la importancia en el desarrollo del país </w:t>
      </w:r>
      <w:r w:rsidRPr="00253520">
        <w:rPr>
          <w:rFonts w:ascii="Calibri" w:hAnsi="Calibri" w:cs="Calibri"/>
          <w:highlight w:val="magenta"/>
          <w:lang w:val="es-GT"/>
        </w:rPr>
        <w:t>(SEGEPLAN,</w:t>
      </w:r>
      <w:r w:rsidR="000213B1" w:rsidRPr="00253520">
        <w:rPr>
          <w:rFonts w:ascii="Calibri" w:hAnsi="Calibri" w:cs="Calibri"/>
          <w:highlight w:val="magenta"/>
          <w:lang w:val="es-GT"/>
        </w:rPr>
        <w:t xml:space="preserve"> </w:t>
      </w:r>
      <w:r w:rsidRPr="00253520">
        <w:rPr>
          <w:rFonts w:ascii="Calibri" w:hAnsi="Calibri" w:cs="Calibri"/>
          <w:highlight w:val="magenta"/>
          <w:lang w:val="es-GT"/>
        </w:rPr>
        <w:t>2010).</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3E56CB" w:rsidP="008327B2">
      <w:pPr>
        <w:autoSpaceDE w:val="0"/>
        <w:autoSpaceDN w:val="0"/>
        <w:adjustRightInd w:val="0"/>
        <w:jc w:val="both"/>
        <w:rPr>
          <w:rFonts w:ascii="Calibri" w:hAnsi="Calibri" w:cs="Calibri"/>
          <w:lang w:val="es-MX"/>
        </w:rPr>
      </w:pPr>
      <w:r>
        <w:rPr>
          <w:rFonts w:ascii="Calibri" w:hAnsi="Calibri" w:cs="Calibri"/>
          <w:lang w:val="es-MX"/>
        </w:rPr>
        <w:t>Dentro de este</w:t>
      </w:r>
      <w:r w:rsidR="008327B2" w:rsidRPr="001A01AB">
        <w:rPr>
          <w:rFonts w:ascii="Calibri" w:hAnsi="Calibri" w:cs="Calibri"/>
          <w:lang w:val="es-MX"/>
        </w:rPr>
        <w:t xml:space="preserve"> marco</w:t>
      </w:r>
      <w:r>
        <w:rPr>
          <w:rFonts w:ascii="Calibri" w:hAnsi="Calibri" w:cs="Calibri"/>
          <w:lang w:val="es-MX"/>
        </w:rPr>
        <w:t>, se</w:t>
      </w:r>
      <w:r w:rsidR="008327B2" w:rsidRPr="001A01AB">
        <w:rPr>
          <w:rFonts w:ascii="Calibri" w:hAnsi="Calibri" w:cs="Calibri"/>
          <w:lang w:val="es-MX"/>
        </w:rPr>
        <w:t xml:space="preserve"> elaboró el</w:t>
      </w:r>
      <w:r>
        <w:rPr>
          <w:rFonts w:ascii="Calibri" w:hAnsi="Calibri" w:cs="Calibri"/>
          <w:lang w:val="es-MX"/>
        </w:rPr>
        <w:t xml:space="preserve"> Í</w:t>
      </w:r>
      <w:r w:rsidR="008327B2" w:rsidRPr="001A01AB">
        <w:rPr>
          <w:rFonts w:ascii="Calibri" w:hAnsi="Calibri" w:cs="Calibri"/>
          <w:lang w:val="es-MX"/>
        </w:rPr>
        <w:t xml:space="preserve">ndice de </w:t>
      </w:r>
      <w:r>
        <w:rPr>
          <w:rFonts w:ascii="Calibri" w:hAnsi="Calibri" w:cs="Calibri"/>
          <w:lang w:val="es-MX"/>
        </w:rPr>
        <w:t>Gestión M</w:t>
      </w:r>
      <w:r w:rsidR="008327B2" w:rsidRPr="001A01AB">
        <w:rPr>
          <w:rFonts w:ascii="Calibri" w:hAnsi="Calibri" w:cs="Calibri"/>
          <w:lang w:val="es-MX"/>
        </w:rPr>
        <w:t>unicipal 2009</w:t>
      </w:r>
      <w:r>
        <w:rPr>
          <w:rFonts w:ascii="Calibri" w:hAnsi="Calibri" w:cs="Calibri"/>
          <w:lang w:val="es-MX"/>
        </w:rPr>
        <w:t>–2010 c</w:t>
      </w:r>
      <w:r w:rsidR="008327B2" w:rsidRPr="001A01AB">
        <w:rPr>
          <w:rFonts w:ascii="Calibri" w:hAnsi="Calibri" w:cs="Calibri"/>
          <w:lang w:val="es-MX"/>
        </w:rPr>
        <w:t xml:space="preserve">omo un primer ejercicio de medición </w:t>
      </w:r>
      <w:r>
        <w:rPr>
          <w:rFonts w:ascii="Calibri" w:hAnsi="Calibri" w:cs="Calibri"/>
          <w:lang w:val="es-MX"/>
        </w:rPr>
        <w:t>de</w:t>
      </w:r>
      <w:r w:rsidR="008327B2" w:rsidRPr="001A01AB">
        <w:rPr>
          <w:rFonts w:ascii="Calibri" w:hAnsi="Calibri" w:cs="Calibri"/>
          <w:lang w:val="es-MX"/>
        </w:rPr>
        <w:t xml:space="preserve"> aspectos financieros relacionados con la inversión pública, a través de</w:t>
      </w:r>
      <w:r>
        <w:rPr>
          <w:rFonts w:ascii="Calibri" w:hAnsi="Calibri" w:cs="Calibri"/>
          <w:lang w:val="es-MX"/>
        </w:rPr>
        <w:t>:</w:t>
      </w:r>
      <w:r w:rsidR="008327B2" w:rsidRPr="001A01AB">
        <w:rPr>
          <w:rFonts w:ascii="Calibri" w:hAnsi="Calibri" w:cs="Calibri"/>
          <w:lang w:val="es-MX"/>
        </w:rPr>
        <w:t xml:space="preserve"> </w:t>
      </w:r>
      <w:r>
        <w:rPr>
          <w:rFonts w:ascii="Calibri" w:hAnsi="Calibri" w:cs="Calibri"/>
          <w:lang w:val="es-MX"/>
        </w:rPr>
        <w:t xml:space="preserve">a) </w:t>
      </w:r>
      <w:r w:rsidR="008327B2" w:rsidRPr="001A01AB">
        <w:rPr>
          <w:rFonts w:ascii="Calibri" w:hAnsi="Calibri" w:cs="Calibri"/>
          <w:lang w:val="es-MX"/>
        </w:rPr>
        <w:t>los ingresos propi</w:t>
      </w:r>
      <w:r>
        <w:rPr>
          <w:rFonts w:ascii="Calibri" w:hAnsi="Calibri" w:cs="Calibri"/>
          <w:lang w:val="es-MX"/>
        </w:rPr>
        <w:t>os municipales y transferencias;</w:t>
      </w:r>
      <w:r w:rsidR="008327B2" w:rsidRPr="001A01AB">
        <w:rPr>
          <w:rFonts w:ascii="Calibri" w:hAnsi="Calibri" w:cs="Calibri"/>
          <w:lang w:val="es-MX"/>
        </w:rPr>
        <w:t xml:space="preserve"> </w:t>
      </w:r>
      <w:r>
        <w:rPr>
          <w:rFonts w:ascii="Calibri" w:hAnsi="Calibri" w:cs="Calibri"/>
          <w:lang w:val="es-MX"/>
        </w:rPr>
        <w:t xml:space="preserve">b) </w:t>
      </w:r>
      <w:r w:rsidR="008327B2" w:rsidRPr="001A01AB">
        <w:rPr>
          <w:rFonts w:ascii="Calibri" w:hAnsi="Calibri" w:cs="Calibri"/>
          <w:lang w:val="es-MX"/>
        </w:rPr>
        <w:t>el registro de información en los sistemas oficiales de Guatemala</w:t>
      </w:r>
      <w:r>
        <w:rPr>
          <w:rFonts w:ascii="Calibri" w:hAnsi="Calibri" w:cs="Calibri"/>
          <w:lang w:val="es-MX"/>
        </w:rPr>
        <w:t>,</w:t>
      </w:r>
      <w:r w:rsidR="008327B2" w:rsidRPr="001A01AB">
        <w:rPr>
          <w:rFonts w:ascii="Calibri" w:hAnsi="Calibri" w:cs="Calibri"/>
          <w:lang w:val="es-MX"/>
        </w:rPr>
        <w:t xml:space="preserve"> como el Sistema de Contabili</w:t>
      </w:r>
      <w:r>
        <w:rPr>
          <w:rFonts w:ascii="Calibri" w:hAnsi="Calibri" w:cs="Calibri"/>
          <w:lang w:val="es-MX"/>
        </w:rPr>
        <w:t>dad Integrada de Gobiernos Locales (SICOIN GL)</w:t>
      </w:r>
      <w:r w:rsidR="008327B2" w:rsidRPr="001A01AB">
        <w:rPr>
          <w:rFonts w:ascii="Calibri" w:hAnsi="Calibri" w:cs="Calibri"/>
          <w:lang w:val="es-MX"/>
        </w:rPr>
        <w:t xml:space="preserve">, </w:t>
      </w:r>
      <w:r>
        <w:rPr>
          <w:rFonts w:ascii="Calibri" w:hAnsi="Calibri" w:cs="Calibri"/>
          <w:lang w:val="es-MX"/>
        </w:rPr>
        <w:t xml:space="preserve">el </w:t>
      </w:r>
      <w:r w:rsidR="008327B2" w:rsidRPr="001A01AB">
        <w:rPr>
          <w:rFonts w:ascii="Calibri" w:hAnsi="Calibri" w:cs="Calibri"/>
          <w:lang w:val="es-MX"/>
        </w:rPr>
        <w:t>Sistema</w:t>
      </w:r>
      <w:r>
        <w:rPr>
          <w:rFonts w:ascii="Calibri" w:hAnsi="Calibri" w:cs="Calibri"/>
          <w:lang w:val="es-MX"/>
        </w:rPr>
        <w:t xml:space="preserve"> Nacional de Inversión Pública (SNIP)</w:t>
      </w:r>
      <w:r w:rsidR="008327B2" w:rsidRPr="001A01AB">
        <w:rPr>
          <w:rFonts w:ascii="Calibri" w:hAnsi="Calibri" w:cs="Calibri"/>
          <w:lang w:val="es-MX"/>
        </w:rPr>
        <w:t xml:space="preserve">, </w:t>
      </w:r>
      <w:r>
        <w:rPr>
          <w:rFonts w:ascii="Calibri" w:hAnsi="Calibri" w:cs="Calibri"/>
          <w:lang w:val="es-MX"/>
        </w:rPr>
        <w:t xml:space="preserve">el </w:t>
      </w:r>
      <w:r w:rsidR="008327B2" w:rsidRPr="001A01AB">
        <w:rPr>
          <w:rFonts w:ascii="Calibri" w:hAnsi="Calibri" w:cs="Calibri"/>
          <w:lang w:val="es-MX"/>
        </w:rPr>
        <w:t>Sis</w:t>
      </w:r>
      <w:r>
        <w:rPr>
          <w:rFonts w:ascii="Calibri" w:hAnsi="Calibri" w:cs="Calibri"/>
          <w:lang w:val="es-MX"/>
        </w:rPr>
        <w:t>tema de Consejos de Desarrollo (SISCODE)</w:t>
      </w:r>
      <w:r w:rsidR="008327B2" w:rsidRPr="001A01AB">
        <w:rPr>
          <w:rFonts w:ascii="Calibri" w:hAnsi="Calibri" w:cs="Calibri"/>
          <w:lang w:val="es-MX"/>
        </w:rPr>
        <w:t xml:space="preserve"> y Guatecompras; y </w:t>
      </w:r>
      <w:r>
        <w:rPr>
          <w:rFonts w:ascii="Calibri" w:hAnsi="Calibri" w:cs="Calibri"/>
          <w:lang w:val="es-MX"/>
        </w:rPr>
        <w:t xml:space="preserve">c) </w:t>
      </w:r>
      <w:r w:rsidR="008327B2" w:rsidRPr="001A01AB">
        <w:rPr>
          <w:rFonts w:ascii="Calibri" w:hAnsi="Calibri" w:cs="Calibri"/>
          <w:lang w:val="es-MX"/>
        </w:rPr>
        <w:t>la participación ciudadana.</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GT"/>
        </w:rPr>
      </w:pPr>
      <w:r w:rsidRPr="001A01AB">
        <w:rPr>
          <w:rFonts w:ascii="Calibri" w:hAnsi="Calibri" w:cs="Calibri"/>
          <w:lang w:val="es-GT"/>
        </w:rPr>
        <w:t>A continuación</w:t>
      </w:r>
      <w:r w:rsidR="002019D3">
        <w:rPr>
          <w:rFonts w:ascii="Calibri" w:hAnsi="Calibri" w:cs="Calibri"/>
          <w:lang w:val="es-GT"/>
        </w:rPr>
        <w:t>,</w:t>
      </w:r>
      <w:r w:rsidRPr="001A01AB">
        <w:rPr>
          <w:rFonts w:ascii="Calibri" w:hAnsi="Calibri" w:cs="Calibri"/>
          <w:lang w:val="es-GT"/>
        </w:rPr>
        <w:t xml:space="preserve"> se analizan las situaciones y tendencias que han impactado en la gestión local </w:t>
      </w:r>
      <w:r w:rsidR="002019D3">
        <w:rPr>
          <w:rFonts w:ascii="Calibri" w:hAnsi="Calibri" w:cs="Calibri"/>
          <w:lang w:val="es-GT"/>
        </w:rPr>
        <w:t>durante</w:t>
      </w:r>
      <w:r w:rsidRPr="001A01AB">
        <w:rPr>
          <w:rFonts w:ascii="Calibri" w:hAnsi="Calibri" w:cs="Calibri"/>
          <w:lang w:val="es-GT"/>
        </w:rPr>
        <w:t xml:space="preserve"> los últimos años. El indicador utilizado en el presente análisis es: </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6B0A31">
      <w:pPr>
        <w:numPr>
          <w:ilvl w:val="0"/>
          <w:numId w:val="41"/>
        </w:numPr>
        <w:ind w:left="357" w:hanging="357"/>
        <w:jc w:val="both"/>
        <w:rPr>
          <w:rFonts w:ascii="Calibri" w:hAnsi="Calibri" w:cs="Calibri"/>
          <w:lang w:val="es-GT"/>
        </w:rPr>
      </w:pPr>
      <w:r w:rsidRPr="001A01AB">
        <w:rPr>
          <w:rFonts w:ascii="Calibri" w:hAnsi="Calibri" w:cs="Calibri"/>
          <w:lang w:val="es-GT"/>
        </w:rPr>
        <w:t>Índice de Gestión Municipal</w:t>
      </w:r>
    </w:p>
    <w:p w:rsidR="008327B2" w:rsidRPr="001A01AB" w:rsidRDefault="008327B2" w:rsidP="008327B2">
      <w:pPr>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b/>
          <w:color w:val="365F91"/>
          <w:lang w:val="es-GT"/>
        </w:rPr>
      </w:pPr>
      <w:r w:rsidRPr="001A01AB">
        <w:rPr>
          <w:rFonts w:ascii="Calibri" w:hAnsi="Calibri" w:cs="Calibri"/>
          <w:b/>
          <w:color w:val="365F91"/>
          <w:lang w:val="es-GT"/>
        </w:rPr>
        <w:t>5.2.1 Indicador: Índice de Gestión Municipal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t>El índice de gestión municipal fue creado con el fin de generar información que permita a los gobiernos locales tener una línea de base para iniciar con un proceso de mejora en la publicación y registro de los datos financieros, de inversión pública y participación ciudadana.</w:t>
      </w:r>
      <w:r w:rsidR="00141A70">
        <w:rPr>
          <w:rFonts w:ascii="Calibri" w:hAnsi="Calibri" w:cs="Calibri"/>
          <w:lang w:val="es-MX"/>
        </w:rPr>
        <w:t xml:space="preserve"> </w:t>
      </w:r>
      <w:r w:rsidRPr="00B014B3">
        <w:rPr>
          <w:rFonts w:ascii="Calibri" w:hAnsi="Calibri" w:cs="Calibri"/>
          <w:highlight w:val="yellow"/>
          <w:lang w:val="es-MX"/>
        </w:rPr>
        <w:t>Estas mediciones son utilizadas en varios países de Latinoamérica, y utiliza</w:t>
      </w:r>
      <w:r w:rsidR="00B014B3" w:rsidRPr="00B014B3">
        <w:rPr>
          <w:rFonts w:ascii="Calibri" w:hAnsi="Calibri" w:cs="Calibri"/>
          <w:highlight w:val="yellow"/>
          <w:lang w:val="es-MX"/>
        </w:rPr>
        <w:t>n</w:t>
      </w:r>
      <w:r w:rsidRPr="00B014B3">
        <w:rPr>
          <w:rFonts w:ascii="Calibri" w:hAnsi="Calibri" w:cs="Calibri"/>
          <w:highlight w:val="yellow"/>
          <w:lang w:val="es-MX"/>
        </w:rPr>
        <w:t xml:space="preserve"> sus indicadores para la distribución de los recursos transferidos de</w:t>
      </w:r>
      <w:r w:rsidR="00B014B3" w:rsidRPr="00B014B3">
        <w:rPr>
          <w:rFonts w:ascii="Calibri" w:hAnsi="Calibri" w:cs="Calibri"/>
          <w:highlight w:val="yellow"/>
          <w:lang w:val="es-MX"/>
        </w:rPr>
        <w:t>l</w:t>
      </w:r>
      <w:r w:rsidRPr="00B014B3">
        <w:rPr>
          <w:rFonts w:ascii="Calibri" w:hAnsi="Calibri" w:cs="Calibri"/>
          <w:highlight w:val="yellow"/>
          <w:lang w:val="es-MX"/>
        </w:rPr>
        <w:t xml:space="preserve"> gobierno central a los municipios, incluye</w:t>
      </w:r>
      <w:r w:rsidR="00B014B3" w:rsidRPr="00B014B3">
        <w:rPr>
          <w:rFonts w:ascii="Calibri" w:hAnsi="Calibri" w:cs="Calibri"/>
          <w:highlight w:val="yellow"/>
          <w:lang w:val="es-MX"/>
        </w:rPr>
        <w:t>ndo</w:t>
      </w:r>
      <w:r w:rsidRPr="00B014B3">
        <w:rPr>
          <w:rFonts w:ascii="Calibri" w:hAnsi="Calibri" w:cs="Calibri"/>
          <w:highlight w:val="yellow"/>
          <w:lang w:val="es-MX"/>
        </w:rPr>
        <w:t xml:space="preserve"> </w:t>
      </w:r>
      <w:r w:rsidR="00B014B3" w:rsidRPr="00B014B3">
        <w:rPr>
          <w:rFonts w:ascii="Calibri" w:hAnsi="Calibri" w:cs="Calibri"/>
          <w:highlight w:val="yellow"/>
          <w:lang w:val="es-MX"/>
        </w:rPr>
        <w:lastRenderedPageBreak/>
        <w:t>mediciones anuales d</w:t>
      </w:r>
      <w:r w:rsidRPr="00B014B3">
        <w:rPr>
          <w:rFonts w:ascii="Calibri" w:hAnsi="Calibri" w:cs="Calibri"/>
          <w:highlight w:val="yellow"/>
          <w:lang w:val="es-MX"/>
        </w:rPr>
        <w:t>el cumplimiento de indicadores de impacto, en cuanto a la prestación de los servicios públicos.</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t>Para el cálculo de este índice se utilizan 11 indicadores con ponderaciones de 0.09 para hacer un total de 1.</w:t>
      </w:r>
      <w:r w:rsidR="00141A70">
        <w:rPr>
          <w:rFonts w:ascii="Calibri" w:hAnsi="Calibri" w:cs="Calibri"/>
          <w:lang w:val="es-MX"/>
        </w:rPr>
        <w:t xml:space="preserve"> </w:t>
      </w:r>
      <w:r w:rsidR="00B014B3">
        <w:rPr>
          <w:rFonts w:ascii="Calibri" w:hAnsi="Calibri" w:cs="Calibri"/>
          <w:lang w:val="es-MX"/>
        </w:rPr>
        <w:t>Estos indicadores son: i</w:t>
      </w:r>
      <w:r w:rsidRPr="001A01AB">
        <w:rPr>
          <w:rFonts w:ascii="Calibri" w:hAnsi="Calibri" w:cs="Calibri"/>
          <w:lang w:val="es-MX"/>
        </w:rPr>
        <w:t>ndependencia financiera, nivel de inversión con transferencia, nivel de inversión con ingresos propios, ingresos propios municipales per cápita, nivel de endeudamiento municipal, número de reuniones ordinarias del COMUDE, monto de la inversión municipal registrada en el SNIP, monto egresos municipales registrados en Guatec</w:t>
      </w:r>
      <w:r w:rsidR="00B014B3">
        <w:rPr>
          <w:rFonts w:ascii="Calibri" w:hAnsi="Calibri" w:cs="Calibri"/>
          <w:lang w:val="es-MX"/>
        </w:rPr>
        <w:t>ompras, número de registros de a</w:t>
      </w:r>
      <w:r w:rsidRPr="001A01AB">
        <w:rPr>
          <w:rFonts w:ascii="Calibri" w:hAnsi="Calibri" w:cs="Calibri"/>
          <w:lang w:val="es-MX"/>
        </w:rPr>
        <w:t>ctas en el SISCODE, existencia del plan de desarrollo municipal</w:t>
      </w:r>
      <w:r w:rsidR="00B014B3">
        <w:rPr>
          <w:rFonts w:ascii="Calibri" w:hAnsi="Calibri" w:cs="Calibri"/>
          <w:lang w:val="es-MX"/>
        </w:rPr>
        <w:t xml:space="preserve"> y</w:t>
      </w:r>
      <w:r w:rsidRPr="001A01AB">
        <w:rPr>
          <w:rFonts w:ascii="Calibri" w:hAnsi="Calibri" w:cs="Calibri"/>
          <w:lang w:val="es-MX"/>
        </w:rPr>
        <w:t xml:space="preserve"> existencia de U</w:t>
      </w:r>
      <w:r w:rsidR="00B014B3">
        <w:rPr>
          <w:rFonts w:ascii="Calibri" w:hAnsi="Calibri" w:cs="Calibri"/>
          <w:lang w:val="es-MX"/>
        </w:rPr>
        <w:t>nidades de Información Pública (UIP)</w:t>
      </w:r>
      <w:r w:rsidRPr="001A01AB">
        <w:rPr>
          <w:rFonts w:ascii="Calibri" w:hAnsi="Calibri" w:cs="Calibri"/>
          <w:lang w:val="es-MX"/>
        </w:rPr>
        <w:t>.</w:t>
      </w:r>
    </w:p>
    <w:p w:rsidR="008327B2" w:rsidRPr="001A01AB" w:rsidRDefault="008327B2" w:rsidP="008327B2">
      <w:pPr>
        <w:autoSpaceDE w:val="0"/>
        <w:autoSpaceDN w:val="0"/>
        <w:adjustRightInd w:val="0"/>
        <w:jc w:val="both"/>
        <w:rPr>
          <w:rFonts w:ascii="Calibri" w:hAnsi="Calibri" w:cs="Calibri"/>
          <w:lang w:val="es-MX"/>
        </w:rPr>
      </w:pPr>
    </w:p>
    <w:p w:rsidR="00B014B3" w:rsidRDefault="00B014B3" w:rsidP="008327B2">
      <w:pPr>
        <w:autoSpaceDE w:val="0"/>
        <w:autoSpaceDN w:val="0"/>
        <w:adjustRightInd w:val="0"/>
        <w:jc w:val="both"/>
        <w:rPr>
          <w:rFonts w:ascii="Calibri" w:hAnsi="Calibri" w:cs="Calibri"/>
          <w:lang w:val="es-MX"/>
        </w:rPr>
      </w:pPr>
      <w:r>
        <w:rPr>
          <w:rFonts w:ascii="Calibri" w:hAnsi="Calibri" w:cs="Calibri"/>
          <w:lang w:val="es-MX"/>
        </w:rPr>
        <w:t xml:space="preserve">La Figura 55 presenta </w:t>
      </w:r>
      <w:r w:rsidRPr="001A01AB">
        <w:rPr>
          <w:rFonts w:ascii="Calibri" w:hAnsi="Calibri" w:cs="Calibri"/>
          <w:lang w:val="es-MX"/>
        </w:rPr>
        <w:t>los resultados de la evaluación del índice de gestión municipal para Guatemala</w:t>
      </w:r>
      <w:r>
        <w:rPr>
          <w:rFonts w:ascii="Calibri" w:hAnsi="Calibri" w:cs="Calibri"/>
          <w:lang w:val="es-MX"/>
        </w:rPr>
        <w:t xml:space="preserve"> en</w:t>
      </w:r>
      <w:r w:rsidR="008327B2" w:rsidRPr="001A01AB">
        <w:rPr>
          <w:rFonts w:ascii="Calibri" w:hAnsi="Calibri" w:cs="Calibri"/>
          <w:lang w:val="es-MX"/>
        </w:rPr>
        <w:t xml:space="preserve"> el año 2010</w:t>
      </w:r>
      <w:r>
        <w:rPr>
          <w:rFonts w:ascii="Calibri" w:hAnsi="Calibri" w:cs="Calibri"/>
          <w:lang w:val="es-MX"/>
        </w:rPr>
        <w:t>.</w:t>
      </w:r>
    </w:p>
    <w:p w:rsidR="008327B2" w:rsidRPr="001A01AB" w:rsidRDefault="00B014B3" w:rsidP="008327B2">
      <w:pPr>
        <w:autoSpaceDE w:val="0"/>
        <w:autoSpaceDN w:val="0"/>
        <w:adjustRightInd w:val="0"/>
        <w:jc w:val="both"/>
        <w:rPr>
          <w:rFonts w:ascii="Calibri" w:hAnsi="Calibri" w:cs="Calibri"/>
          <w:lang w:val="es-MX"/>
        </w:rPr>
      </w:pPr>
      <w:r w:rsidRPr="001A01AB">
        <w:rPr>
          <w:rFonts w:ascii="Calibri" w:hAnsi="Calibri" w:cs="Calibri"/>
          <w:lang w:val="es-MX"/>
        </w:rPr>
        <w:t xml:space="preserve"> </w:t>
      </w:r>
    </w:p>
    <w:p w:rsidR="008327B2" w:rsidRPr="00224B57" w:rsidRDefault="008327B2" w:rsidP="008327B2">
      <w:pPr>
        <w:spacing w:after="120"/>
        <w:jc w:val="center"/>
        <w:rPr>
          <w:rFonts w:ascii="Calibri" w:eastAsia="Calibri" w:hAnsi="Calibri" w:cs="Calibri"/>
          <w:b/>
          <w:color w:val="365F91"/>
          <w:sz w:val="22"/>
          <w:szCs w:val="22"/>
          <w:lang w:val="es-GT"/>
        </w:rPr>
      </w:pPr>
      <w:bookmarkStart w:id="450" w:name="_Toc340034523"/>
      <w:bookmarkStart w:id="451" w:name="_Toc343098437"/>
      <w:bookmarkStart w:id="452" w:name="_Toc343098545"/>
      <w:bookmarkStart w:id="453" w:name="_Toc347841278"/>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55</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Índice de gestión municipal</w:t>
      </w:r>
      <w:r w:rsidR="00B014B3" w:rsidRPr="00224B57">
        <w:rPr>
          <w:rFonts w:ascii="Calibri" w:eastAsia="Calibri" w:hAnsi="Calibri" w:cs="Calibri"/>
          <w:b/>
          <w:color w:val="365F91"/>
          <w:sz w:val="22"/>
          <w:szCs w:val="22"/>
          <w:lang w:val="es-GT"/>
        </w:rPr>
        <w:t>. Año</w:t>
      </w:r>
      <w:r w:rsidRPr="00224B57">
        <w:rPr>
          <w:rFonts w:ascii="Calibri" w:eastAsia="Calibri" w:hAnsi="Calibri" w:cs="Calibri"/>
          <w:b/>
          <w:color w:val="365F91"/>
          <w:sz w:val="22"/>
          <w:szCs w:val="22"/>
          <w:lang w:val="es-GT"/>
        </w:rPr>
        <w:t xml:space="preserve"> 2010</w:t>
      </w:r>
      <w:bookmarkEnd w:id="450"/>
      <w:bookmarkEnd w:id="451"/>
      <w:bookmarkEnd w:id="452"/>
      <w:bookmarkEnd w:id="453"/>
    </w:p>
    <w:tbl>
      <w:tblPr>
        <w:tblW w:w="10179" w:type="dxa"/>
        <w:jc w:val="center"/>
        <w:tblInd w:w="-743" w:type="dxa"/>
        <w:tblLayout w:type="fixed"/>
        <w:tblLook w:val="04A0" w:firstRow="1" w:lastRow="0" w:firstColumn="1" w:lastColumn="0" w:noHBand="0" w:noVBand="1"/>
      </w:tblPr>
      <w:tblGrid>
        <w:gridCol w:w="4962"/>
        <w:gridCol w:w="5217"/>
      </w:tblGrid>
      <w:tr w:rsidR="008327B2" w:rsidRPr="00B014B3" w:rsidTr="008327B2">
        <w:trPr>
          <w:jc w:val="center"/>
        </w:trPr>
        <w:tc>
          <w:tcPr>
            <w:tcW w:w="4962" w:type="dxa"/>
            <w:vAlign w:val="center"/>
          </w:tcPr>
          <w:p w:rsidR="008327B2" w:rsidRPr="001A01AB" w:rsidRDefault="00544A9F" w:rsidP="008327B2">
            <w:pPr>
              <w:autoSpaceDE w:val="0"/>
              <w:autoSpaceDN w:val="0"/>
              <w:adjustRightInd w:val="0"/>
              <w:jc w:val="both"/>
              <w:rPr>
                <w:rFonts w:ascii="Calibri" w:hAnsi="Calibri" w:cs="Calibri"/>
                <w:lang w:val="es-MX"/>
              </w:rPr>
            </w:pPr>
            <w:r>
              <w:rPr>
                <w:rFonts w:ascii="Calibri" w:hAnsi="Calibri" w:cs="Calibri"/>
                <w:noProof/>
                <w:lang w:val="es-GT" w:eastAsia="es-GT"/>
              </w:rPr>
              <w:drawing>
                <wp:inline distT="0" distB="0" distL="0" distR="0">
                  <wp:extent cx="3162300" cy="2771775"/>
                  <wp:effectExtent l="0" t="0" r="0" b="9525"/>
                  <wp:docPr id="2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a:extLst>
                              <a:ext uri="{28A0092B-C50C-407E-A947-70E740481C1C}">
                                <a14:useLocalDpi xmlns:a14="http://schemas.microsoft.com/office/drawing/2010/main" val="0"/>
                              </a:ext>
                            </a:extLst>
                          </a:blip>
                          <a:srcRect l="5615" r="5615"/>
                          <a:stretch>
                            <a:fillRect/>
                          </a:stretch>
                        </pic:blipFill>
                        <pic:spPr bwMode="auto">
                          <a:xfrm>
                            <a:off x="0" y="0"/>
                            <a:ext cx="3162300" cy="2771775"/>
                          </a:xfrm>
                          <a:prstGeom prst="rect">
                            <a:avLst/>
                          </a:prstGeom>
                          <a:noFill/>
                          <a:ln>
                            <a:noFill/>
                          </a:ln>
                        </pic:spPr>
                      </pic:pic>
                    </a:graphicData>
                  </a:graphic>
                </wp:inline>
              </w:drawing>
            </w:r>
          </w:p>
        </w:tc>
        <w:tc>
          <w:tcPr>
            <w:tcW w:w="5217" w:type="dxa"/>
            <w:vAlign w:val="center"/>
          </w:tcPr>
          <w:p w:rsidR="008327B2" w:rsidRDefault="00544A9F" w:rsidP="008327B2">
            <w:pPr>
              <w:autoSpaceDE w:val="0"/>
              <w:autoSpaceDN w:val="0"/>
              <w:adjustRightInd w:val="0"/>
              <w:jc w:val="both"/>
              <w:rPr>
                <w:rFonts w:ascii="Calibri" w:hAnsi="Calibri" w:cs="Calibri"/>
                <w:lang w:val="es-MX"/>
              </w:rPr>
            </w:pPr>
            <w:r>
              <w:rPr>
                <w:rFonts w:ascii="Calibri" w:hAnsi="Calibri" w:cs="Calibri"/>
                <w:noProof/>
                <w:lang w:val="es-GT" w:eastAsia="es-GT"/>
              </w:rPr>
              <w:drawing>
                <wp:inline distT="0" distB="0" distL="0" distR="0">
                  <wp:extent cx="2952750" cy="3305175"/>
                  <wp:effectExtent l="0" t="0" r="0" b="9525"/>
                  <wp:docPr id="2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l="2161"/>
                          <a:stretch>
                            <a:fillRect/>
                          </a:stretch>
                        </pic:blipFill>
                        <pic:spPr bwMode="auto">
                          <a:xfrm>
                            <a:off x="0" y="0"/>
                            <a:ext cx="2952750" cy="3305175"/>
                          </a:xfrm>
                          <a:prstGeom prst="rect">
                            <a:avLst/>
                          </a:prstGeom>
                          <a:noFill/>
                          <a:ln>
                            <a:noFill/>
                          </a:ln>
                        </pic:spPr>
                      </pic:pic>
                    </a:graphicData>
                  </a:graphic>
                </wp:inline>
              </w:drawing>
            </w:r>
          </w:p>
          <w:p w:rsidR="000213B1" w:rsidRDefault="000213B1" w:rsidP="008327B2">
            <w:pPr>
              <w:autoSpaceDE w:val="0"/>
              <w:autoSpaceDN w:val="0"/>
              <w:adjustRightInd w:val="0"/>
              <w:jc w:val="both"/>
              <w:rPr>
                <w:rFonts w:ascii="Calibri" w:hAnsi="Calibri" w:cs="Calibri"/>
                <w:lang w:val="es-MX"/>
              </w:rPr>
            </w:pPr>
          </w:p>
          <w:p w:rsidR="000213B1" w:rsidRPr="001A01AB" w:rsidRDefault="000213B1" w:rsidP="008327B2">
            <w:pPr>
              <w:autoSpaceDE w:val="0"/>
              <w:autoSpaceDN w:val="0"/>
              <w:adjustRightInd w:val="0"/>
              <w:jc w:val="both"/>
              <w:rPr>
                <w:rFonts w:ascii="Calibri" w:hAnsi="Calibri" w:cs="Calibri"/>
                <w:lang w:val="es-MX"/>
              </w:rPr>
            </w:pPr>
          </w:p>
        </w:tc>
      </w:tr>
    </w:tbl>
    <w:p w:rsidR="008327B2" w:rsidRDefault="008327B2" w:rsidP="008327B2">
      <w:pPr>
        <w:autoSpaceDE w:val="0"/>
        <w:autoSpaceDN w:val="0"/>
        <w:adjustRightInd w:val="0"/>
        <w:jc w:val="both"/>
        <w:rPr>
          <w:rFonts w:ascii="Calibri" w:hAnsi="Calibri" w:cs="Calibri"/>
          <w:lang w:val="es-MX"/>
        </w:rPr>
      </w:pPr>
    </w:p>
    <w:p w:rsidR="000213B1" w:rsidRDefault="000213B1" w:rsidP="000213B1">
      <w:pPr>
        <w:autoSpaceDE w:val="0"/>
        <w:autoSpaceDN w:val="0"/>
        <w:adjustRightInd w:val="0"/>
        <w:jc w:val="right"/>
        <w:rPr>
          <w:rFonts w:ascii="Calibri" w:hAnsi="Calibri" w:cs="Calibri"/>
          <w:lang w:val="es-MX"/>
        </w:rPr>
      </w:pPr>
      <w:r w:rsidRPr="000213B1">
        <w:rPr>
          <w:rFonts w:ascii="Calibri" w:hAnsi="Calibri" w:cs="Calibri"/>
          <w:highlight w:val="red"/>
          <w:lang w:val="es-MX"/>
        </w:rPr>
        <w:t>Fuente:</w:t>
      </w:r>
    </w:p>
    <w:p w:rsidR="000213B1" w:rsidRPr="001A01AB" w:rsidRDefault="000213B1" w:rsidP="008327B2">
      <w:pPr>
        <w:autoSpaceDE w:val="0"/>
        <w:autoSpaceDN w:val="0"/>
        <w:adjustRightInd w:val="0"/>
        <w:jc w:val="both"/>
        <w:rPr>
          <w:rFonts w:ascii="Calibri" w:hAnsi="Calibri" w:cs="Calibri"/>
          <w:lang w:val="es-MX"/>
        </w:rPr>
      </w:pPr>
    </w:p>
    <w:p w:rsidR="008327B2" w:rsidRPr="001A01AB" w:rsidRDefault="00B014B3" w:rsidP="008327B2">
      <w:pPr>
        <w:autoSpaceDE w:val="0"/>
        <w:autoSpaceDN w:val="0"/>
        <w:adjustRightInd w:val="0"/>
        <w:jc w:val="both"/>
        <w:rPr>
          <w:rFonts w:ascii="Calibri" w:hAnsi="Calibri" w:cs="Calibri"/>
          <w:lang w:val="es-MX"/>
        </w:rPr>
      </w:pPr>
      <w:r>
        <w:rPr>
          <w:rFonts w:ascii="Calibri" w:hAnsi="Calibri" w:cs="Calibri"/>
          <w:lang w:val="es-MX"/>
        </w:rPr>
        <w:t>Como se observa en la F</w:t>
      </w:r>
      <w:r w:rsidR="008327B2" w:rsidRPr="001A01AB">
        <w:rPr>
          <w:rFonts w:ascii="Calibri" w:hAnsi="Calibri" w:cs="Calibri"/>
          <w:lang w:val="es-MX"/>
        </w:rPr>
        <w:t>igura</w:t>
      </w:r>
      <w:r>
        <w:rPr>
          <w:rFonts w:ascii="Calibri" w:hAnsi="Calibri" w:cs="Calibri"/>
          <w:lang w:val="es-MX"/>
        </w:rPr>
        <w:t xml:space="preserve"> 55</w:t>
      </w:r>
      <w:r w:rsidR="008327B2" w:rsidRPr="001A01AB">
        <w:rPr>
          <w:rFonts w:ascii="Calibri" w:hAnsi="Calibri" w:cs="Calibri"/>
          <w:lang w:val="es-MX"/>
        </w:rPr>
        <w:t>, el 97% de las municipalidades se encuentra en una categoría entre aceptable y debe mejorar, ambas con un rango de cumplimiento menor al 60%</w:t>
      </w:r>
      <w:r w:rsidR="008327B2" w:rsidRPr="001A01AB">
        <w:rPr>
          <w:rStyle w:val="Refdenotaalpie"/>
          <w:rFonts w:ascii="Calibri" w:hAnsi="Calibri" w:cs="Calibri"/>
          <w:lang w:val="es-MX"/>
        </w:rPr>
        <w:footnoteReference w:id="9"/>
      </w:r>
      <w:r w:rsidR="008327B2" w:rsidRPr="001A01AB">
        <w:rPr>
          <w:rFonts w:ascii="Calibri" w:hAnsi="Calibri" w:cs="Calibri"/>
          <w:lang w:val="es-MX"/>
        </w:rPr>
        <w:t>.</w:t>
      </w:r>
      <w:r w:rsidR="00141A70">
        <w:rPr>
          <w:rFonts w:ascii="Calibri" w:hAnsi="Calibri" w:cs="Calibri"/>
          <w:lang w:val="es-MX"/>
        </w:rPr>
        <w:t xml:space="preserve"> </w:t>
      </w:r>
    </w:p>
    <w:p w:rsidR="008327B2" w:rsidRPr="001A01AB" w:rsidRDefault="000213B1" w:rsidP="008327B2">
      <w:pPr>
        <w:autoSpaceDE w:val="0"/>
        <w:autoSpaceDN w:val="0"/>
        <w:adjustRightInd w:val="0"/>
        <w:jc w:val="both"/>
        <w:rPr>
          <w:rFonts w:ascii="Calibri" w:hAnsi="Calibri" w:cs="Calibri"/>
          <w:lang w:val="es-MX"/>
        </w:rPr>
      </w:pPr>
      <w:r>
        <w:rPr>
          <w:rFonts w:ascii="Calibri" w:hAnsi="Calibri" w:cs="Calibri"/>
          <w:lang w:val="es-MX"/>
        </w:rPr>
        <w:lastRenderedPageBreak/>
        <w:t>En el C</w:t>
      </w:r>
      <w:r w:rsidR="008327B2" w:rsidRPr="001A01AB">
        <w:rPr>
          <w:rFonts w:ascii="Calibri" w:hAnsi="Calibri" w:cs="Calibri"/>
          <w:lang w:val="es-MX"/>
        </w:rPr>
        <w:t xml:space="preserve">uadro </w:t>
      </w:r>
      <w:r w:rsidR="004C77F8">
        <w:rPr>
          <w:rFonts w:ascii="Calibri" w:hAnsi="Calibri" w:cs="Calibri"/>
          <w:lang w:val="es-MX"/>
        </w:rPr>
        <w:t>40</w:t>
      </w:r>
      <w:r w:rsidR="008327B2" w:rsidRPr="001A01AB">
        <w:rPr>
          <w:rFonts w:ascii="Calibri" w:hAnsi="Calibri" w:cs="Calibri"/>
          <w:lang w:val="es-MX"/>
        </w:rPr>
        <w:t xml:space="preserve"> se muestran las </w:t>
      </w:r>
      <w:r w:rsidR="00B014B3">
        <w:rPr>
          <w:rFonts w:ascii="Calibri" w:hAnsi="Calibri" w:cs="Calibri"/>
          <w:lang w:val="es-MX"/>
        </w:rPr>
        <w:t>diez</w:t>
      </w:r>
      <w:r w:rsidR="008327B2" w:rsidRPr="001A01AB">
        <w:rPr>
          <w:rFonts w:ascii="Calibri" w:hAnsi="Calibri" w:cs="Calibri"/>
          <w:lang w:val="es-MX"/>
        </w:rPr>
        <w:t xml:space="preserve"> municipalidades que ocuparon los valores más altos del </w:t>
      </w:r>
      <w:r w:rsidR="00436502" w:rsidRPr="001A01AB">
        <w:rPr>
          <w:rFonts w:ascii="Calibri" w:hAnsi="Calibri" w:cs="Calibri"/>
          <w:lang w:val="es-MX"/>
        </w:rPr>
        <w:t>Índice</w:t>
      </w:r>
      <w:r w:rsidR="008327B2" w:rsidRPr="001A01AB">
        <w:rPr>
          <w:rFonts w:ascii="Calibri" w:hAnsi="Calibri" w:cs="Calibri"/>
          <w:lang w:val="es-MX"/>
        </w:rPr>
        <w:t xml:space="preserve"> de </w:t>
      </w:r>
      <w:r w:rsidR="00436502" w:rsidRPr="001A01AB">
        <w:rPr>
          <w:rFonts w:ascii="Calibri" w:hAnsi="Calibri" w:cs="Calibri"/>
          <w:lang w:val="es-MX"/>
        </w:rPr>
        <w:t>Gestión</w:t>
      </w:r>
      <w:r w:rsidR="008327B2" w:rsidRPr="001A01AB">
        <w:rPr>
          <w:rFonts w:ascii="Calibri" w:hAnsi="Calibri" w:cs="Calibri"/>
          <w:lang w:val="es-MX"/>
        </w:rPr>
        <w:t xml:space="preserve"> Municipal, </w:t>
      </w:r>
      <w:r w:rsidR="00436502" w:rsidRPr="001A01AB">
        <w:rPr>
          <w:rFonts w:ascii="Calibri" w:hAnsi="Calibri" w:cs="Calibri"/>
          <w:lang w:val="es-MX"/>
        </w:rPr>
        <w:t>así</w:t>
      </w:r>
      <w:r w:rsidR="008327B2" w:rsidRPr="001A01AB">
        <w:rPr>
          <w:rFonts w:ascii="Calibri" w:hAnsi="Calibri" w:cs="Calibri"/>
          <w:lang w:val="es-MX"/>
        </w:rPr>
        <w:t xml:space="preserve"> como las </w:t>
      </w:r>
      <w:r w:rsidR="00B014B3">
        <w:rPr>
          <w:rFonts w:ascii="Calibri" w:hAnsi="Calibri" w:cs="Calibri"/>
          <w:lang w:val="es-MX"/>
        </w:rPr>
        <w:t>diez</w:t>
      </w:r>
      <w:r w:rsidR="008327B2" w:rsidRPr="001A01AB">
        <w:rPr>
          <w:rFonts w:ascii="Calibri" w:hAnsi="Calibri" w:cs="Calibri"/>
          <w:lang w:val="es-MX"/>
        </w:rPr>
        <w:t xml:space="preserve"> que presentan la menor calificación.</w:t>
      </w:r>
    </w:p>
    <w:p w:rsidR="008327B2" w:rsidRPr="001A01AB" w:rsidRDefault="008327B2" w:rsidP="008327B2">
      <w:pPr>
        <w:autoSpaceDE w:val="0"/>
        <w:autoSpaceDN w:val="0"/>
        <w:adjustRightInd w:val="0"/>
        <w:jc w:val="both"/>
        <w:rPr>
          <w:rFonts w:ascii="Calibri" w:hAnsi="Calibri" w:cs="Calibri"/>
          <w:lang w:val="es-MX"/>
        </w:rPr>
      </w:pPr>
    </w:p>
    <w:p w:rsidR="008327B2" w:rsidRDefault="00C54ACC" w:rsidP="007033AE">
      <w:pPr>
        <w:pStyle w:val="Epgrafe"/>
        <w:jc w:val="center"/>
        <w:rPr>
          <w:rFonts w:asciiTheme="minorHAnsi" w:hAnsiTheme="minorHAnsi" w:cstheme="minorHAnsi"/>
          <w:color w:val="365F91" w:themeColor="accent1" w:themeShade="BF"/>
          <w:sz w:val="22"/>
          <w:szCs w:val="22"/>
          <w:lang w:val="es-GT"/>
        </w:rPr>
      </w:pPr>
      <w:bookmarkStart w:id="454" w:name="_Toc340034461"/>
      <w:bookmarkStart w:id="455" w:name="_Toc343164668"/>
      <w:bookmarkStart w:id="456" w:name="_Toc347841222"/>
      <w:r w:rsidRPr="007033AE">
        <w:rPr>
          <w:rFonts w:asciiTheme="minorHAnsi" w:hAnsiTheme="minorHAnsi" w:cstheme="minorHAnsi"/>
          <w:color w:val="365F91" w:themeColor="accent1" w:themeShade="BF"/>
          <w:sz w:val="22"/>
          <w:szCs w:val="22"/>
          <w:lang w:val="es-GT"/>
        </w:rPr>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40</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xml:space="preserve">. </w:t>
      </w:r>
      <w:r w:rsidR="008327B2" w:rsidRPr="007033AE">
        <w:rPr>
          <w:rFonts w:asciiTheme="minorHAnsi" w:hAnsiTheme="minorHAnsi" w:cstheme="minorHAnsi"/>
          <w:color w:val="365F91" w:themeColor="accent1" w:themeShade="BF"/>
          <w:sz w:val="22"/>
          <w:szCs w:val="22"/>
          <w:lang w:val="es-GT"/>
        </w:rPr>
        <w:t xml:space="preserve">Primeras </w:t>
      </w:r>
      <w:r w:rsidR="00B014B3" w:rsidRPr="007033AE">
        <w:rPr>
          <w:rFonts w:asciiTheme="minorHAnsi" w:hAnsiTheme="minorHAnsi" w:cstheme="minorHAnsi"/>
          <w:color w:val="365F91" w:themeColor="accent1" w:themeShade="BF"/>
          <w:sz w:val="22"/>
          <w:szCs w:val="22"/>
          <w:lang w:val="es-GT"/>
        </w:rPr>
        <w:t>diez</w:t>
      </w:r>
      <w:r w:rsidR="008327B2" w:rsidRPr="007033AE">
        <w:rPr>
          <w:rFonts w:asciiTheme="minorHAnsi" w:hAnsiTheme="minorHAnsi" w:cstheme="minorHAnsi"/>
          <w:color w:val="365F91" w:themeColor="accent1" w:themeShade="BF"/>
          <w:sz w:val="22"/>
          <w:szCs w:val="22"/>
          <w:lang w:val="es-GT"/>
        </w:rPr>
        <w:t xml:space="preserve"> posiciones del Índice de Gestión Municipal</w:t>
      </w:r>
      <w:r w:rsidR="00B014B3" w:rsidRPr="007033AE">
        <w:rPr>
          <w:rFonts w:asciiTheme="minorHAnsi" w:hAnsiTheme="minorHAnsi" w:cstheme="minorHAnsi"/>
          <w:color w:val="365F91" w:themeColor="accent1" w:themeShade="BF"/>
          <w:sz w:val="22"/>
          <w:szCs w:val="22"/>
          <w:lang w:val="es-GT"/>
        </w:rPr>
        <w:t>. Año</w:t>
      </w:r>
      <w:r w:rsidR="008327B2" w:rsidRPr="007033AE">
        <w:rPr>
          <w:rFonts w:asciiTheme="minorHAnsi" w:hAnsiTheme="minorHAnsi" w:cstheme="minorHAnsi"/>
          <w:color w:val="365F91" w:themeColor="accent1" w:themeShade="BF"/>
          <w:sz w:val="22"/>
          <w:szCs w:val="22"/>
          <w:lang w:val="es-GT"/>
        </w:rPr>
        <w:t xml:space="preserve"> 2010</w:t>
      </w:r>
      <w:bookmarkEnd w:id="454"/>
      <w:bookmarkEnd w:id="455"/>
      <w:bookmarkEnd w:id="456"/>
    </w:p>
    <w:p w:rsidR="007033AE" w:rsidRPr="007033AE" w:rsidRDefault="007033AE" w:rsidP="007033AE">
      <w:pPr>
        <w:rPr>
          <w:lang w:val="es-GT"/>
        </w:rPr>
      </w:pP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331"/>
        <w:gridCol w:w="1884"/>
        <w:gridCol w:w="2544"/>
        <w:gridCol w:w="2544"/>
        <w:gridCol w:w="1318"/>
      </w:tblGrid>
      <w:tr w:rsidR="008327B2" w:rsidRPr="004C77F8" w:rsidTr="00B014B3">
        <w:trPr>
          <w:trHeight w:val="283"/>
          <w:jc w:val="center"/>
        </w:trPr>
        <w:tc>
          <w:tcPr>
            <w:tcW w:w="692" w:type="pct"/>
            <w:shd w:val="clear" w:color="auto" w:fill="365F91"/>
            <w:vAlign w:val="center"/>
          </w:tcPr>
          <w:p w:rsidR="008327B2" w:rsidRPr="00B014B3" w:rsidRDefault="00B014B3" w:rsidP="008327B2">
            <w:pPr>
              <w:pStyle w:val="Default"/>
              <w:jc w:val="center"/>
              <w:rPr>
                <w:rFonts w:ascii="Calibri" w:hAnsi="Calibri" w:cs="Calibri"/>
                <w:color w:val="FFFFFF"/>
                <w:lang w:val="es-GT"/>
              </w:rPr>
            </w:pPr>
            <w:r w:rsidRPr="00B014B3">
              <w:rPr>
                <w:rFonts w:ascii="Calibri" w:hAnsi="Calibri" w:cs="Calibri"/>
                <w:b/>
                <w:bCs/>
                <w:color w:val="FFFFFF"/>
                <w:lang w:val="es-GT"/>
              </w:rPr>
              <w:t>No. d</w:t>
            </w:r>
            <w:r w:rsidR="008327B2" w:rsidRPr="00B014B3">
              <w:rPr>
                <w:rFonts w:ascii="Calibri" w:hAnsi="Calibri" w:cs="Calibri"/>
                <w:b/>
                <w:bCs/>
                <w:color w:val="FFFFFF"/>
                <w:lang w:val="es-GT"/>
              </w:rPr>
              <w:t>e Posición</w:t>
            </w:r>
          </w:p>
        </w:tc>
        <w:tc>
          <w:tcPr>
            <w:tcW w:w="979" w:type="pct"/>
            <w:shd w:val="clear" w:color="auto" w:fill="365F91"/>
            <w:vAlign w:val="center"/>
          </w:tcPr>
          <w:p w:rsidR="008327B2" w:rsidRPr="00B014B3" w:rsidRDefault="008327B2" w:rsidP="00B014B3">
            <w:pPr>
              <w:pStyle w:val="Default"/>
              <w:jc w:val="center"/>
              <w:rPr>
                <w:rFonts w:ascii="Calibri" w:hAnsi="Calibri" w:cs="Calibri"/>
                <w:color w:val="FFFFFF"/>
                <w:lang w:val="es-GT"/>
              </w:rPr>
            </w:pPr>
            <w:r w:rsidRPr="00B014B3">
              <w:rPr>
                <w:rFonts w:ascii="Calibri" w:hAnsi="Calibri" w:cs="Calibri"/>
                <w:b/>
                <w:bCs/>
                <w:color w:val="FFFFFF"/>
                <w:lang w:val="es-GT"/>
              </w:rPr>
              <w:t xml:space="preserve">Ponderación del </w:t>
            </w:r>
            <w:r w:rsidR="00B014B3">
              <w:rPr>
                <w:rFonts w:ascii="Calibri" w:hAnsi="Calibri" w:cs="Calibri"/>
                <w:b/>
                <w:bCs/>
                <w:color w:val="FFFFFF"/>
                <w:lang w:val="es-GT"/>
              </w:rPr>
              <w:t>í</w:t>
            </w:r>
            <w:r w:rsidRPr="00B014B3">
              <w:rPr>
                <w:rFonts w:ascii="Calibri" w:hAnsi="Calibri" w:cs="Calibri"/>
                <w:b/>
                <w:bCs/>
                <w:color w:val="FFFFFF"/>
                <w:lang w:val="es-GT"/>
              </w:rPr>
              <w:t>ndice</w:t>
            </w:r>
          </w:p>
        </w:tc>
        <w:tc>
          <w:tcPr>
            <w:tcW w:w="1322" w:type="pct"/>
            <w:shd w:val="clear" w:color="auto" w:fill="365F91"/>
            <w:vAlign w:val="center"/>
          </w:tcPr>
          <w:p w:rsidR="008327B2" w:rsidRPr="00B014B3" w:rsidRDefault="008327B2" w:rsidP="008327B2">
            <w:pPr>
              <w:pStyle w:val="Default"/>
              <w:jc w:val="center"/>
              <w:rPr>
                <w:rFonts w:ascii="Calibri" w:hAnsi="Calibri" w:cs="Calibri"/>
                <w:color w:val="FFFFFF"/>
                <w:lang w:val="es-GT"/>
              </w:rPr>
            </w:pPr>
            <w:r w:rsidRPr="00B014B3">
              <w:rPr>
                <w:rFonts w:ascii="Calibri" w:hAnsi="Calibri" w:cs="Calibri"/>
                <w:b/>
                <w:bCs/>
                <w:color w:val="FFFFFF"/>
                <w:lang w:val="es-GT"/>
              </w:rPr>
              <w:t>Municipio</w:t>
            </w:r>
          </w:p>
        </w:tc>
        <w:tc>
          <w:tcPr>
            <w:tcW w:w="1322" w:type="pct"/>
            <w:shd w:val="clear" w:color="auto" w:fill="365F91"/>
            <w:vAlign w:val="center"/>
          </w:tcPr>
          <w:p w:rsidR="008327B2" w:rsidRPr="00B014B3" w:rsidRDefault="008327B2" w:rsidP="008327B2">
            <w:pPr>
              <w:pStyle w:val="Default"/>
              <w:jc w:val="center"/>
              <w:rPr>
                <w:rFonts w:ascii="Calibri" w:hAnsi="Calibri" w:cs="Calibri"/>
                <w:color w:val="FFFFFF"/>
                <w:lang w:val="es-GT"/>
              </w:rPr>
            </w:pPr>
            <w:r w:rsidRPr="00B014B3">
              <w:rPr>
                <w:rFonts w:ascii="Calibri" w:hAnsi="Calibri" w:cs="Calibri"/>
                <w:b/>
                <w:bCs/>
                <w:color w:val="FFFFFF"/>
                <w:lang w:val="es-GT"/>
              </w:rPr>
              <w:t>Departamento</w:t>
            </w:r>
          </w:p>
        </w:tc>
        <w:tc>
          <w:tcPr>
            <w:tcW w:w="685" w:type="pct"/>
            <w:shd w:val="clear" w:color="auto" w:fill="365F91"/>
            <w:vAlign w:val="center"/>
          </w:tcPr>
          <w:p w:rsidR="008327B2" w:rsidRPr="00B014B3" w:rsidRDefault="008327B2" w:rsidP="008327B2">
            <w:pPr>
              <w:pStyle w:val="Default"/>
              <w:jc w:val="center"/>
              <w:rPr>
                <w:rFonts w:ascii="Calibri" w:hAnsi="Calibri" w:cs="Calibri"/>
                <w:color w:val="FFFFFF"/>
                <w:lang w:val="es-GT"/>
              </w:rPr>
            </w:pPr>
            <w:commentRangeStart w:id="457"/>
            <w:r w:rsidRPr="00B014B3">
              <w:rPr>
                <w:rFonts w:ascii="Calibri" w:hAnsi="Calibri" w:cs="Calibri"/>
                <w:b/>
                <w:bCs/>
                <w:color w:val="FFFFFF"/>
                <w:lang w:val="es-GT"/>
              </w:rPr>
              <w:t>IDH</w:t>
            </w:r>
            <w:commentRangeEnd w:id="457"/>
            <w:r w:rsidR="00B014B3">
              <w:rPr>
                <w:rStyle w:val="Refdecomentario"/>
                <w:rFonts w:ascii="Times New Roman" w:hAnsi="Times New Roman" w:cs="Times New Roman"/>
                <w:color w:val="auto"/>
              </w:rPr>
              <w:commentReference w:id="457"/>
            </w:r>
          </w:p>
        </w:tc>
      </w:tr>
      <w:tr w:rsidR="008327B2" w:rsidRPr="004C77F8" w:rsidTr="00B014B3">
        <w:trPr>
          <w:trHeight w:val="283"/>
          <w:jc w:val="center"/>
        </w:trPr>
        <w:tc>
          <w:tcPr>
            <w:tcW w:w="692" w:type="pct"/>
            <w:shd w:val="clear" w:color="auto" w:fill="DBE5F1"/>
          </w:tcPr>
          <w:p w:rsidR="008327B2" w:rsidRPr="00B014B3" w:rsidRDefault="008327B2" w:rsidP="008327B2">
            <w:pPr>
              <w:pStyle w:val="Default"/>
              <w:jc w:val="center"/>
              <w:rPr>
                <w:rFonts w:ascii="Calibri" w:hAnsi="Calibri" w:cs="Calibri"/>
                <w:lang w:val="es-GT"/>
              </w:rPr>
            </w:pPr>
            <w:r w:rsidRPr="00B014B3">
              <w:rPr>
                <w:rFonts w:ascii="Calibri" w:hAnsi="Calibri" w:cs="Calibri"/>
                <w:lang w:val="es-GT"/>
              </w:rPr>
              <w:t>1</w:t>
            </w:r>
          </w:p>
        </w:tc>
        <w:tc>
          <w:tcPr>
            <w:tcW w:w="979" w:type="pct"/>
            <w:shd w:val="clear" w:color="auto" w:fill="DBE5F1"/>
          </w:tcPr>
          <w:p w:rsidR="008327B2" w:rsidRPr="00B014B3" w:rsidRDefault="008327B2" w:rsidP="008327B2">
            <w:pPr>
              <w:pStyle w:val="Default"/>
              <w:jc w:val="center"/>
              <w:rPr>
                <w:rFonts w:ascii="Calibri" w:hAnsi="Calibri" w:cs="Calibri"/>
                <w:lang w:val="es-GT"/>
              </w:rPr>
            </w:pPr>
            <w:r w:rsidRPr="00B014B3">
              <w:rPr>
                <w:rFonts w:ascii="Calibri" w:hAnsi="Calibri" w:cs="Calibri"/>
                <w:b/>
                <w:bCs/>
                <w:lang w:val="es-GT"/>
              </w:rPr>
              <w:t>59.0</w:t>
            </w:r>
          </w:p>
        </w:tc>
        <w:tc>
          <w:tcPr>
            <w:tcW w:w="1322" w:type="pct"/>
            <w:shd w:val="clear" w:color="auto" w:fill="DBE5F1"/>
          </w:tcPr>
          <w:p w:rsidR="008327B2" w:rsidRPr="00B014B3" w:rsidRDefault="008327B2" w:rsidP="008327B2">
            <w:pPr>
              <w:pStyle w:val="Default"/>
              <w:jc w:val="both"/>
              <w:rPr>
                <w:rFonts w:ascii="Calibri" w:hAnsi="Calibri" w:cs="Calibri"/>
                <w:lang w:val="es-GT"/>
              </w:rPr>
            </w:pPr>
            <w:r w:rsidRPr="00B014B3">
              <w:rPr>
                <w:rFonts w:ascii="Calibri" w:hAnsi="Calibri" w:cs="Calibri"/>
                <w:lang w:val="es-GT"/>
              </w:rPr>
              <w:t>Ipala</w:t>
            </w:r>
          </w:p>
        </w:tc>
        <w:tc>
          <w:tcPr>
            <w:tcW w:w="1322" w:type="pct"/>
            <w:shd w:val="clear" w:color="auto" w:fill="DBE5F1"/>
          </w:tcPr>
          <w:p w:rsidR="008327B2" w:rsidRPr="00B014B3" w:rsidRDefault="008327B2" w:rsidP="008327B2">
            <w:pPr>
              <w:pStyle w:val="Default"/>
              <w:jc w:val="both"/>
              <w:rPr>
                <w:rFonts w:ascii="Calibri" w:hAnsi="Calibri" w:cs="Calibri"/>
                <w:lang w:val="es-GT"/>
              </w:rPr>
            </w:pPr>
            <w:r w:rsidRPr="00B014B3">
              <w:rPr>
                <w:rFonts w:ascii="Calibri" w:hAnsi="Calibri" w:cs="Calibri"/>
                <w:lang w:val="es-GT"/>
              </w:rPr>
              <w:t>Chiquimula</w:t>
            </w:r>
          </w:p>
        </w:tc>
        <w:tc>
          <w:tcPr>
            <w:tcW w:w="685" w:type="pct"/>
            <w:shd w:val="clear" w:color="auto" w:fill="DBE5F1"/>
          </w:tcPr>
          <w:p w:rsidR="008327B2" w:rsidRPr="00B014B3" w:rsidRDefault="008327B2" w:rsidP="008327B2">
            <w:pPr>
              <w:pStyle w:val="Default"/>
              <w:jc w:val="both"/>
              <w:rPr>
                <w:rFonts w:ascii="Calibri" w:hAnsi="Calibri" w:cs="Calibri"/>
                <w:lang w:val="es-GT"/>
              </w:rPr>
            </w:pPr>
            <w:r w:rsidRPr="00B014B3">
              <w:rPr>
                <w:rFonts w:ascii="Calibri" w:hAnsi="Calibri" w:cs="Calibri"/>
                <w:lang w:val="es-GT"/>
              </w:rPr>
              <w:t>0.643</w:t>
            </w:r>
          </w:p>
        </w:tc>
      </w:tr>
      <w:tr w:rsidR="008327B2" w:rsidRPr="00B014B3" w:rsidTr="00B014B3">
        <w:trPr>
          <w:trHeight w:val="283"/>
          <w:jc w:val="center"/>
        </w:trPr>
        <w:tc>
          <w:tcPr>
            <w:tcW w:w="692" w:type="pct"/>
            <w:shd w:val="clear" w:color="auto" w:fill="DBE5F1"/>
          </w:tcPr>
          <w:p w:rsidR="008327B2" w:rsidRPr="00B014B3" w:rsidRDefault="008327B2" w:rsidP="008327B2">
            <w:pPr>
              <w:pStyle w:val="Default"/>
              <w:jc w:val="center"/>
              <w:rPr>
                <w:rFonts w:ascii="Calibri" w:hAnsi="Calibri" w:cs="Calibri"/>
                <w:lang w:val="es-GT"/>
              </w:rPr>
            </w:pPr>
            <w:r w:rsidRPr="00B014B3">
              <w:rPr>
                <w:rFonts w:ascii="Calibri" w:hAnsi="Calibri" w:cs="Calibri"/>
                <w:lang w:val="es-GT"/>
              </w:rPr>
              <w:t>2</w:t>
            </w:r>
          </w:p>
        </w:tc>
        <w:tc>
          <w:tcPr>
            <w:tcW w:w="979" w:type="pct"/>
            <w:shd w:val="clear" w:color="auto" w:fill="DBE5F1"/>
          </w:tcPr>
          <w:p w:rsidR="008327B2" w:rsidRPr="00B014B3" w:rsidRDefault="008327B2" w:rsidP="008327B2">
            <w:pPr>
              <w:pStyle w:val="Default"/>
              <w:jc w:val="center"/>
              <w:rPr>
                <w:rFonts w:ascii="Calibri" w:hAnsi="Calibri" w:cs="Calibri"/>
                <w:lang w:val="es-GT"/>
              </w:rPr>
            </w:pPr>
            <w:r w:rsidRPr="00B014B3">
              <w:rPr>
                <w:rFonts w:ascii="Calibri" w:hAnsi="Calibri" w:cs="Calibri"/>
                <w:b/>
                <w:bCs/>
                <w:lang w:val="es-GT"/>
              </w:rPr>
              <w:t>58.4</w:t>
            </w:r>
          </w:p>
        </w:tc>
        <w:tc>
          <w:tcPr>
            <w:tcW w:w="1322" w:type="pct"/>
            <w:shd w:val="clear" w:color="auto" w:fill="DBE5F1"/>
          </w:tcPr>
          <w:p w:rsidR="008327B2" w:rsidRPr="00B014B3" w:rsidRDefault="008327B2" w:rsidP="008327B2">
            <w:pPr>
              <w:pStyle w:val="Default"/>
              <w:jc w:val="both"/>
              <w:rPr>
                <w:rFonts w:ascii="Calibri" w:hAnsi="Calibri" w:cs="Calibri"/>
                <w:lang w:val="es-GT"/>
              </w:rPr>
            </w:pPr>
            <w:r w:rsidRPr="00B014B3">
              <w:rPr>
                <w:rFonts w:ascii="Calibri" w:hAnsi="Calibri" w:cs="Calibri"/>
                <w:lang w:val="es-GT"/>
              </w:rPr>
              <w:t>San José del Golfo</w:t>
            </w:r>
          </w:p>
        </w:tc>
        <w:tc>
          <w:tcPr>
            <w:tcW w:w="1322" w:type="pct"/>
            <w:shd w:val="clear" w:color="auto" w:fill="DBE5F1"/>
          </w:tcPr>
          <w:p w:rsidR="008327B2" w:rsidRPr="00B014B3" w:rsidRDefault="008327B2" w:rsidP="008327B2">
            <w:pPr>
              <w:pStyle w:val="Default"/>
              <w:jc w:val="both"/>
              <w:rPr>
                <w:rFonts w:ascii="Calibri" w:hAnsi="Calibri" w:cs="Calibri"/>
                <w:lang w:val="es-GT"/>
              </w:rPr>
            </w:pPr>
            <w:r w:rsidRPr="00B014B3">
              <w:rPr>
                <w:rFonts w:ascii="Calibri" w:hAnsi="Calibri" w:cs="Calibri"/>
                <w:lang w:val="es-GT"/>
              </w:rPr>
              <w:t>Guatemala</w:t>
            </w:r>
          </w:p>
        </w:tc>
        <w:tc>
          <w:tcPr>
            <w:tcW w:w="685" w:type="pct"/>
            <w:shd w:val="clear" w:color="auto" w:fill="DBE5F1"/>
          </w:tcPr>
          <w:p w:rsidR="008327B2" w:rsidRPr="00B014B3" w:rsidRDefault="008327B2" w:rsidP="008327B2">
            <w:pPr>
              <w:pStyle w:val="Default"/>
              <w:jc w:val="both"/>
              <w:rPr>
                <w:rFonts w:ascii="Calibri" w:hAnsi="Calibri" w:cs="Calibri"/>
                <w:lang w:val="es-GT"/>
              </w:rPr>
            </w:pPr>
            <w:r w:rsidRPr="00B014B3">
              <w:rPr>
                <w:rFonts w:ascii="Calibri" w:hAnsi="Calibri" w:cs="Calibri"/>
                <w:lang w:val="es-GT"/>
              </w:rPr>
              <w:t>0.654</w:t>
            </w:r>
          </w:p>
        </w:tc>
      </w:tr>
      <w:tr w:rsidR="008327B2" w:rsidRPr="000822DA" w:rsidTr="00B014B3">
        <w:trPr>
          <w:trHeight w:val="283"/>
          <w:jc w:val="center"/>
        </w:trPr>
        <w:tc>
          <w:tcPr>
            <w:tcW w:w="692" w:type="pct"/>
            <w:shd w:val="clear" w:color="auto" w:fill="DBE5F1"/>
          </w:tcPr>
          <w:p w:rsidR="008327B2" w:rsidRPr="00B014B3" w:rsidRDefault="008327B2" w:rsidP="008327B2">
            <w:pPr>
              <w:pStyle w:val="Default"/>
              <w:jc w:val="center"/>
              <w:rPr>
                <w:rFonts w:ascii="Calibri" w:hAnsi="Calibri" w:cs="Calibri"/>
                <w:lang w:val="es-GT"/>
              </w:rPr>
            </w:pPr>
            <w:r w:rsidRPr="00B014B3">
              <w:rPr>
                <w:rFonts w:ascii="Calibri" w:hAnsi="Calibri" w:cs="Calibri"/>
                <w:lang w:val="es-GT"/>
              </w:rPr>
              <w:t>3</w:t>
            </w:r>
          </w:p>
        </w:tc>
        <w:tc>
          <w:tcPr>
            <w:tcW w:w="979"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b/>
                <w:bCs/>
              </w:rPr>
              <w:t>57.1</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San Miguel Ixtahuacán</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San Marcos</w:t>
            </w:r>
          </w:p>
        </w:tc>
        <w:tc>
          <w:tcPr>
            <w:tcW w:w="685"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0.502</w:t>
            </w:r>
          </w:p>
        </w:tc>
      </w:tr>
      <w:tr w:rsidR="008327B2" w:rsidRPr="000822DA" w:rsidTr="00B014B3">
        <w:trPr>
          <w:trHeight w:val="283"/>
          <w:jc w:val="center"/>
        </w:trPr>
        <w:tc>
          <w:tcPr>
            <w:tcW w:w="692"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rPr>
              <w:t>4</w:t>
            </w:r>
          </w:p>
        </w:tc>
        <w:tc>
          <w:tcPr>
            <w:tcW w:w="979"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b/>
                <w:bCs/>
              </w:rPr>
              <w:t>55.0</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Fraijanes</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Guatemala</w:t>
            </w:r>
          </w:p>
        </w:tc>
        <w:tc>
          <w:tcPr>
            <w:tcW w:w="685"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0.727</w:t>
            </w:r>
          </w:p>
        </w:tc>
      </w:tr>
      <w:tr w:rsidR="008327B2" w:rsidRPr="000822DA" w:rsidTr="00B014B3">
        <w:trPr>
          <w:trHeight w:val="283"/>
          <w:jc w:val="center"/>
        </w:trPr>
        <w:tc>
          <w:tcPr>
            <w:tcW w:w="692"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rPr>
              <w:t>5</w:t>
            </w:r>
          </w:p>
        </w:tc>
        <w:tc>
          <w:tcPr>
            <w:tcW w:w="979"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b/>
                <w:bCs/>
              </w:rPr>
              <w:t>54.9</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San Miguel Acatán</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Huehuetenango</w:t>
            </w:r>
          </w:p>
        </w:tc>
        <w:tc>
          <w:tcPr>
            <w:tcW w:w="685"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0.428</w:t>
            </w:r>
          </w:p>
        </w:tc>
      </w:tr>
      <w:tr w:rsidR="008327B2" w:rsidRPr="000822DA" w:rsidTr="00B014B3">
        <w:trPr>
          <w:trHeight w:val="283"/>
          <w:jc w:val="center"/>
        </w:trPr>
        <w:tc>
          <w:tcPr>
            <w:tcW w:w="692"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rPr>
              <w:t>6</w:t>
            </w:r>
          </w:p>
        </w:tc>
        <w:tc>
          <w:tcPr>
            <w:tcW w:w="979"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b/>
                <w:bCs/>
              </w:rPr>
              <w:t>53.6</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Chinautla</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Guatemala</w:t>
            </w:r>
          </w:p>
        </w:tc>
        <w:tc>
          <w:tcPr>
            <w:tcW w:w="685"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0.773</w:t>
            </w:r>
          </w:p>
        </w:tc>
      </w:tr>
      <w:tr w:rsidR="008327B2" w:rsidRPr="000822DA" w:rsidTr="00B014B3">
        <w:trPr>
          <w:trHeight w:val="283"/>
          <w:jc w:val="center"/>
        </w:trPr>
        <w:tc>
          <w:tcPr>
            <w:tcW w:w="692"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rPr>
              <w:t>7</w:t>
            </w:r>
          </w:p>
        </w:tc>
        <w:tc>
          <w:tcPr>
            <w:tcW w:w="979"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b/>
                <w:bCs/>
              </w:rPr>
              <w:t>53.4</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Santa Lucía Utatlán</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Sololá</w:t>
            </w:r>
          </w:p>
        </w:tc>
        <w:tc>
          <w:tcPr>
            <w:tcW w:w="685"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0.584</w:t>
            </w:r>
          </w:p>
        </w:tc>
      </w:tr>
      <w:tr w:rsidR="008327B2" w:rsidRPr="000822DA" w:rsidTr="00B014B3">
        <w:trPr>
          <w:trHeight w:val="283"/>
          <w:jc w:val="center"/>
        </w:trPr>
        <w:tc>
          <w:tcPr>
            <w:tcW w:w="692"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rPr>
              <w:t>8</w:t>
            </w:r>
          </w:p>
        </w:tc>
        <w:tc>
          <w:tcPr>
            <w:tcW w:w="979"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b/>
                <w:bCs/>
              </w:rPr>
              <w:t>52.7</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Santa Eulalia</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Huehuetenango</w:t>
            </w:r>
          </w:p>
        </w:tc>
        <w:tc>
          <w:tcPr>
            <w:tcW w:w="685"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0.482</w:t>
            </w:r>
          </w:p>
        </w:tc>
      </w:tr>
      <w:tr w:rsidR="008327B2" w:rsidRPr="000822DA" w:rsidTr="00B014B3">
        <w:trPr>
          <w:trHeight w:val="283"/>
          <w:jc w:val="center"/>
        </w:trPr>
        <w:tc>
          <w:tcPr>
            <w:tcW w:w="692"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rPr>
              <w:t>9</w:t>
            </w:r>
          </w:p>
        </w:tc>
        <w:tc>
          <w:tcPr>
            <w:tcW w:w="979"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b/>
                <w:bCs/>
              </w:rPr>
              <w:t>52.6</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San José La Arada</w:t>
            </w:r>
          </w:p>
        </w:tc>
        <w:tc>
          <w:tcPr>
            <w:tcW w:w="1322" w:type="pct"/>
            <w:shd w:val="clear" w:color="auto" w:fill="DBE5F1"/>
          </w:tcPr>
          <w:p w:rsidR="008327B2" w:rsidRPr="001A01AB" w:rsidRDefault="008327B2" w:rsidP="00436502">
            <w:pPr>
              <w:pStyle w:val="Default"/>
              <w:jc w:val="both"/>
              <w:rPr>
                <w:rFonts w:ascii="Calibri" w:hAnsi="Calibri" w:cs="Calibri"/>
              </w:rPr>
            </w:pPr>
            <w:r w:rsidRPr="001A01AB">
              <w:rPr>
                <w:rFonts w:ascii="Calibri" w:hAnsi="Calibri" w:cs="Calibri"/>
              </w:rPr>
              <w:t>Chiquimula</w:t>
            </w:r>
          </w:p>
        </w:tc>
        <w:tc>
          <w:tcPr>
            <w:tcW w:w="685"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0.581</w:t>
            </w:r>
          </w:p>
        </w:tc>
      </w:tr>
      <w:tr w:rsidR="008327B2" w:rsidRPr="000822DA" w:rsidTr="00B014B3">
        <w:trPr>
          <w:trHeight w:val="283"/>
          <w:jc w:val="center"/>
        </w:trPr>
        <w:tc>
          <w:tcPr>
            <w:tcW w:w="692"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rPr>
              <w:t>10</w:t>
            </w:r>
          </w:p>
        </w:tc>
        <w:tc>
          <w:tcPr>
            <w:tcW w:w="979" w:type="pct"/>
            <w:shd w:val="clear" w:color="auto" w:fill="DBE5F1"/>
          </w:tcPr>
          <w:p w:rsidR="008327B2" w:rsidRPr="001A01AB" w:rsidRDefault="008327B2" w:rsidP="008327B2">
            <w:pPr>
              <w:pStyle w:val="Default"/>
              <w:jc w:val="center"/>
              <w:rPr>
                <w:rFonts w:ascii="Calibri" w:hAnsi="Calibri" w:cs="Calibri"/>
              </w:rPr>
            </w:pPr>
            <w:r w:rsidRPr="001A01AB">
              <w:rPr>
                <w:rFonts w:ascii="Calibri" w:hAnsi="Calibri" w:cs="Calibri"/>
                <w:b/>
                <w:bCs/>
              </w:rPr>
              <w:t>52.5</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El Asintal</w:t>
            </w:r>
          </w:p>
        </w:tc>
        <w:tc>
          <w:tcPr>
            <w:tcW w:w="1322"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Retalhuleu</w:t>
            </w:r>
          </w:p>
        </w:tc>
        <w:tc>
          <w:tcPr>
            <w:tcW w:w="685" w:type="pct"/>
            <w:shd w:val="clear" w:color="auto" w:fill="DBE5F1"/>
          </w:tcPr>
          <w:p w:rsidR="008327B2" w:rsidRPr="001A01AB" w:rsidRDefault="008327B2" w:rsidP="008327B2">
            <w:pPr>
              <w:pStyle w:val="Default"/>
              <w:jc w:val="both"/>
              <w:rPr>
                <w:rFonts w:ascii="Calibri" w:hAnsi="Calibri" w:cs="Calibri"/>
              </w:rPr>
            </w:pPr>
            <w:r w:rsidRPr="001A01AB">
              <w:rPr>
                <w:rFonts w:ascii="Calibri" w:hAnsi="Calibri" w:cs="Calibri"/>
              </w:rPr>
              <w:t>0.586</w:t>
            </w:r>
          </w:p>
        </w:tc>
      </w:tr>
      <w:tr w:rsidR="00B014B3" w:rsidRPr="000822DA" w:rsidTr="00B014B3">
        <w:trPr>
          <w:trHeight w:val="65"/>
          <w:jc w:val="center"/>
        </w:trPr>
        <w:tc>
          <w:tcPr>
            <w:tcW w:w="5000" w:type="pct"/>
            <w:gridSpan w:val="5"/>
            <w:shd w:val="clear" w:color="auto" w:fill="auto"/>
          </w:tcPr>
          <w:p w:rsidR="00B014B3" w:rsidRPr="001A01AB" w:rsidRDefault="00B014B3" w:rsidP="008327B2">
            <w:pPr>
              <w:pStyle w:val="Default"/>
              <w:jc w:val="both"/>
              <w:rPr>
                <w:rFonts w:ascii="Calibri" w:hAnsi="Calibri" w:cs="Calibri"/>
                <w:sz w:val="16"/>
              </w:rPr>
            </w:pPr>
          </w:p>
        </w:tc>
      </w:tr>
      <w:tr w:rsidR="008327B2" w:rsidRPr="000822DA" w:rsidTr="00B014B3">
        <w:trPr>
          <w:trHeight w:val="283"/>
          <w:jc w:val="center"/>
        </w:trPr>
        <w:tc>
          <w:tcPr>
            <w:tcW w:w="692"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rPr>
              <w:t>324</w:t>
            </w:r>
          </w:p>
        </w:tc>
        <w:tc>
          <w:tcPr>
            <w:tcW w:w="979"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b/>
                <w:bCs/>
              </w:rPr>
              <w:t>20.5</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Pasaco</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Jutiapa</w:t>
            </w:r>
          </w:p>
        </w:tc>
        <w:tc>
          <w:tcPr>
            <w:tcW w:w="685"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b/>
                <w:bCs/>
              </w:rPr>
              <w:t>0.578</w:t>
            </w:r>
          </w:p>
        </w:tc>
      </w:tr>
      <w:tr w:rsidR="008327B2" w:rsidRPr="000822DA" w:rsidTr="00B014B3">
        <w:trPr>
          <w:trHeight w:val="283"/>
          <w:jc w:val="center"/>
        </w:trPr>
        <w:tc>
          <w:tcPr>
            <w:tcW w:w="692"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rPr>
              <w:t>325</w:t>
            </w:r>
          </w:p>
        </w:tc>
        <w:tc>
          <w:tcPr>
            <w:tcW w:w="979"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b/>
                <w:bCs/>
              </w:rPr>
              <w:t>19.3</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 xml:space="preserve">San Bernardino </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Suchitepéquez</w:t>
            </w:r>
          </w:p>
        </w:tc>
        <w:tc>
          <w:tcPr>
            <w:tcW w:w="685"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b/>
                <w:bCs/>
              </w:rPr>
              <w:t>0.558</w:t>
            </w:r>
          </w:p>
        </w:tc>
      </w:tr>
      <w:tr w:rsidR="008327B2" w:rsidRPr="000822DA" w:rsidTr="00B014B3">
        <w:trPr>
          <w:trHeight w:val="283"/>
          <w:jc w:val="center"/>
        </w:trPr>
        <w:tc>
          <w:tcPr>
            <w:tcW w:w="692"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rPr>
              <w:t>326</w:t>
            </w:r>
          </w:p>
        </w:tc>
        <w:tc>
          <w:tcPr>
            <w:tcW w:w="979"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b/>
                <w:bCs/>
              </w:rPr>
              <w:t>18.4</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Puerto Barrios</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Izabal</w:t>
            </w:r>
          </w:p>
        </w:tc>
        <w:tc>
          <w:tcPr>
            <w:tcW w:w="685"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b/>
                <w:bCs/>
              </w:rPr>
              <w:t>0.704</w:t>
            </w:r>
          </w:p>
        </w:tc>
      </w:tr>
      <w:tr w:rsidR="008327B2" w:rsidRPr="000822DA" w:rsidTr="00B014B3">
        <w:trPr>
          <w:trHeight w:val="283"/>
          <w:jc w:val="center"/>
        </w:trPr>
        <w:tc>
          <w:tcPr>
            <w:tcW w:w="692"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rPr>
              <w:t>327</w:t>
            </w:r>
          </w:p>
        </w:tc>
        <w:tc>
          <w:tcPr>
            <w:tcW w:w="979"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b/>
                <w:bCs/>
              </w:rPr>
              <w:t>16.3</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San José Acatempa</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Jutiapa</w:t>
            </w:r>
          </w:p>
        </w:tc>
        <w:tc>
          <w:tcPr>
            <w:tcW w:w="685"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b/>
                <w:bCs/>
              </w:rPr>
              <w:t>0.583</w:t>
            </w:r>
          </w:p>
        </w:tc>
      </w:tr>
      <w:tr w:rsidR="008327B2" w:rsidRPr="000822DA" w:rsidTr="00B014B3">
        <w:trPr>
          <w:trHeight w:val="283"/>
          <w:jc w:val="center"/>
        </w:trPr>
        <w:tc>
          <w:tcPr>
            <w:tcW w:w="692"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rPr>
              <w:t>328</w:t>
            </w:r>
          </w:p>
        </w:tc>
        <w:tc>
          <w:tcPr>
            <w:tcW w:w="979"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b/>
                <w:bCs/>
              </w:rPr>
              <w:t>16.1</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Agua Blanca</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Jutiapa</w:t>
            </w:r>
          </w:p>
        </w:tc>
        <w:tc>
          <w:tcPr>
            <w:tcW w:w="685"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b/>
                <w:bCs/>
              </w:rPr>
              <w:t>0.675</w:t>
            </w:r>
          </w:p>
        </w:tc>
      </w:tr>
      <w:tr w:rsidR="008327B2" w:rsidRPr="000822DA" w:rsidTr="00B014B3">
        <w:trPr>
          <w:trHeight w:val="283"/>
          <w:jc w:val="center"/>
        </w:trPr>
        <w:tc>
          <w:tcPr>
            <w:tcW w:w="692"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rPr>
              <w:t>329</w:t>
            </w:r>
          </w:p>
        </w:tc>
        <w:tc>
          <w:tcPr>
            <w:tcW w:w="979"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b/>
                <w:bCs/>
              </w:rPr>
              <w:t>14.4</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San José El Ídolo</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Suchitepéquez</w:t>
            </w:r>
          </w:p>
        </w:tc>
        <w:tc>
          <w:tcPr>
            <w:tcW w:w="685"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b/>
                <w:bCs/>
              </w:rPr>
              <w:t>0.538</w:t>
            </w:r>
          </w:p>
        </w:tc>
      </w:tr>
      <w:tr w:rsidR="008327B2" w:rsidRPr="000822DA" w:rsidTr="00B014B3">
        <w:trPr>
          <w:trHeight w:val="283"/>
          <w:jc w:val="center"/>
        </w:trPr>
        <w:tc>
          <w:tcPr>
            <w:tcW w:w="692"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rPr>
              <w:t>330</w:t>
            </w:r>
          </w:p>
        </w:tc>
        <w:tc>
          <w:tcPr>
            <w:tcW w:w="979"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b/>
                <w:bCs/>
              </w:rPr>
              <w:t>9.5</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Moyuta</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Jutiapa</w:t>
            </w:r>
          </w:p>
        </w:tc>
        <w:tc>
          <w:tcPr>
            <w:tcW w:w="685"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b/>
                <w:bCs/>
              </w:rPr>
              <w:t>0.572</w:t>
            </w:r>
          </w:p>
        </w:tc>
      </w:tr>
      <w:tr w:rsidR="008327B2" w:rsidRPr="000822DA" w:rsidTr="00B014B3">
        <w:trPr>
          <w:trHeight w:val="283"/>
          <w:jc w:val="center"/>
        </w:trPr>
        <w:tc>
          <w:tcPr>
            <w:tcW w:w="692"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rPr>
              <w:t>331</w:t>
            </w:r>
          </w:p>
        </w:tc>
        <w:tc>
          <w:tcPr>
            <w:tcW w:w="979"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b/>
                <w:bCs/>
              </w:rPr>
              <w:t>9.1</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Tucurú</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Alta Verapaz</w:t>
            </w:r>
          </w:p>
        </w:tc>
        <w:tc>
          <w:tcPr>
            <w:tcW w:w="685"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b/>
                <w:bCs/>
              </w:rPr>
              <w:t>0.461</w:t>
            </w:r>
          </w:p>
        </w:tc>
      </w:tr>
      <w:tr w:rsidR="008327B2" w:rsidRPr="000822DA" w:rsidTr="00B014B3">
        <w:trPr>
          <w:trHeight w:val="283"/>
          <w:jc w:val="center"/>
        </w:trPr>
        <w:tc>
          <w:tcPr>
            <w:tcW w:w="692"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rPr>
              <w:t>332</w:t>
            </w:r>
          </w:p>
        </w:tc>
        <w:tc>
          <w:tcPr>
            <w:tcW w:w="979"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b/>
                <w:bCs/>
              </w:rPr>
              <w:t>0</w:t>
            </w:r>
          </w:p>
        </w:tc>
        <w:tc>
          <w:tcPr>
            <w:tcW w:w="1322" w:type="pct"/>
            <w:shd w:val="clear" w:color="auto" w:fill="F5F5F5"/>
          </w:tcPr>
          <w:p w:rsidR="008327B2" w:rsidRPr="001A01AB" w:rsidRDefault="008327B2" w:rsidP="008327B2">
            <w:pPr>
              <w:pStyle w:val="Default"/>
              <w:jc w:val="both"/>
              <w:rPr>
                <w:rFonts w:ascii="Calibri" w:hAnsi="Calibri" w:cs="Calibri"/>
                <w:sz w:val="22"/>
              </w:rPr>
            </w:pPr>
            <w:r w:rsidRPr="001A01AB">
              <w:rPr>
                <w:rFonts w:ascii="Calibri" w:hAnsi="Calibri" w:cs="Calibri"/>
                <w:sz w:val="22"/>
              </w:rPr>
              <w:t>San Idelfonso Ixtahuacán</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Huehuetenango</w:t>
            </w:r>
          </w:p>
        </w:tc>
        <w:tc>
          <w:tcPr>
            <w:tcW w:w="685"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b/>
                <w:bCs/>
              </w:rPr>
              <w:t>0.517</w:t>
            </w:r>
          </w:p>
        </w:tc>
      </w:tr>
      <w:tr w:rsidR="008327B2" w:rsidRPr="000822DA" w:rsidTr="00B014B3">
        <w:trPr>
          <w:trHeight w:val="283"/>
          <w:jc w:val="center"/>
        </w:trPr>
        <w:tc>
          <w:tcPr>
            <w:tcW w:w="692"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rPr>
              <w:t>333</w:t>
            </w:r>
          </w:p>
        </w:tc>
        <w:tc>
          <w:tcPr>
            <w:tcW w:w="979" w:type="pct"/>
            <w:shd w:val="clear" w:color="auto" w:fill="F5F5F5"/>
          </w:tcPr>
          <w:p w:rsidR="008327B2" w:rsidRPr="001A01AB" w:rsidRDefault="008327B2" w:rsidP="008327B2">
            <w:pPr>
              <w:pStyle w:val="Default"/>
              <w:jc w:val="center"/>
              <w:rPr>
                <w:rFonts w:ascii="Calibri" w:hAnsi="Calibri" w:cs="Calibri"/>
              </w:rPr>
            </w:pPr>
            <w:r w:rsidRPr="001A01AB">
              <w:rPr>
                <w:rFonts w:ascii="Calibri" w:hAnsi="Calibri" w:cs="Calibri"/>
                <w:b/>
                <w:bCs/>
              </w:rPr>
              <w:t>0</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Comapa</w:t>
            </w:r>
          </w:p>
        </w:tc>
        <w:tc>
          <w:tcPr>
            <w:tcW w:w="1322"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rPr>
              <w:t>Jutiapa</w:t>
            </w:r>
          </w:p>
        </w:tc>
        <w:tc>
          <w:tcPr>
            <w:tcW w:w="685" w:type="pct"/>
            <w:shd w:val="clear" w:color="auto" w:fill="F5F5F5"/>
          </w:tcPr>
          <w:p w:rsidR="008327B2" w:rsidRPr="001A01AB" w:rsidRDefault="008327B2" w:rsidP="008327B2">
            <w:pPr>
              <w:pStyle w:val="Default"/>
              <w:jc w:val="both"/>
              <w:rPr>
                <w:rFonts w:ascii="Calibri" w:hAnsi="Calibri" w:cs="Calibri"/>
              </w:rPr>
            </w:pPr>
            <w:r w:rsidRPr="001A01AB">
              <w:rPr>
                <w:rFonts w:ascii="Calibri" w:hAnsi="Calibri" w:cs="Calibri"/>
                <w:b/>
                <w:bCs/>
              </w:rPr>
              <w:t>0.436</w:t>
            </w:r>
          </w:p>
        </w:tc>
      </w:tr>
    </w:tbl>
    <w:p w:rsidR="008327B2" w:rsidRPr="001A01AB" w:rsidRDefault="000213B1" w:rsidP="008327B2">
      <w:pPr>
        <w:autoSpaceDE w:val="0"/>
        <w:autoSpaceDN w:val="0"/>
        <w:adjustRightInd w:val="0"/>
        <w:ind w:right="146"/>
        <w:jc w:val="right"/>
        <w:rPr>
          <w:rFonts w:ascii="Calibri" w:hAnsi="Calibri" w:cs="Calibri"/>
          <w:sz w:val="20"/>
          <w:lang w:val="es-MX"/>
        </w:rPr>
      </w:pPr>
      <w:r>
        <w:rPr>
          <w:rFonts w:ascii="Calibri" w:hAnsi="Calibri" w:cs="Calibri"/>
          <w:sz w:val="20"/>
          <w:lang w:val="es-MX"/>
        </w:rPr>
        <w:t>Fuente</w:t>
      </w:r>
      <w:r w:rsidR="00B014B3">
        <w:rPr>
          <w:rFonts w:ascii="Calibri" w:hAnsi="Calibri" w:cs="Calibri"/>
          <w:sz w:val="20"/>
          <w:lang w:val="es-MX"/>
        </w:rPr>
        <w:t>:</w:t>
      </w:r>
      <w:r>
        <w:rPr>
          <w:rFonts w:ascii="Calibri" w:hAnsi="Calibri" w:cs="Calibri"/>
          <w:sz w:val="20"/>
          <w:lang w:val="es-MX"/>
        </w:rPr>
        <w:t xml:space="preserve"> SEGLEPLAN (</w:t>
      </w:r>
      <w:r w:rsidR="008327B2" w:rsidRPr="001A01AB">
        <w:rPr>
          <w:rFonts w:ascii="Calibri" w:hAnsi="Calibri" w:cs="Calibri"/>
          <w:sz w:val="20"/>
          <w:lang w:val="es-MX"/>
        </w:rPr>
        <w:t>2010</w:t>
      </w:r>
      <w:r>
        <w:rPr>
          <w:rFonts w:ascii="Calibri" w:hAnsi="Calibri" w:cs="Calibri"/>
          <w:sz w:val="20"/>
          <w:lang w:val="es-MX"/>
        </w:rPr>
        <w:t>)</w:t>
      </w:r>
      <w:r w:rsidR="008327B2" w:rsidRPr="001A01AB">
        <w:rPr>
          <w:rFonts w:ascii="Calibri" w:hAnsi="Calibri" w:cs="Calibri"/>
          <w:sz w:val="20"/>
          <w:lang w:val="es-MX"/>
        </w:rPr>
        <w:t>.</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t>Al evaluar de manera individual cada uno de los indicadores relevantes al 2010, se puede evidenciar lo siguiente:</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6B0A31">
      <w:pPr>
        <w:pStyle w:val="Prrafodelista"/>
        <w:numPr>
          <w:ilvl w:val="0"/>
          <w:numId w:val="46"/>
        </w:numPr>
        <w:autoSpaceDE w:val="0"/>
        <w:autoSpaceDN w:val="0"/>
        <w:adjustRightInd w:val="0"/>
        <w:spacing w:after="120" w:line="240" w:lineRule="auto"/>
        <w:ind w:left="357" w:hanging="357"/>
        <w:contextualSpacing w:val="0"/>
        <w:jc w:val="both"/>
        <w:rPr>
          <w:rFonts w:cs="Calibri"/>
          <w:sz w:val="24"/>
          <w:szCs w:val="24"/>
          <w:lang w:val="es-MX"/>
        </w:rPr>
      </w:pPr>
      <w:r w:rsidRPr="001A01AB">
        <w:rPr>
          <w:rFonts w:cs="Calibri"/>
          <w:sz w:val="24"/>
          <w:szCs w:val="24"/>
          <w:lang w:val="es-MX"/>
        </w:rPr>
        <w:t>Solamente 9 de 333 municipalidades presentan una alta independencia financiera (70-100%), mientras que 184 de 333 municipalidades presentan muy baja (0-15%).</w:t>
      </w:r>
    </w:p>
    <w:p w:rsidR="008327B2" w:rsidRPr="001A01AB" w:rsidRDefault="008327B2" w:rsidP="006B0A31">
      <w:pPr>
        <w:pStyle w:val="Prrafodelista"/>
        <w:numPr>
          <w:ilvl w:val="0"/>
          <w:numId w:val="46"/>
        </w:numPr>
        <w:autoSpaceDE w:val="0"/>
        <w:autoSpaceDN w:val="0"/>
        <w:adjustRightInd w:val="0"/>
        <w:spacing w:after="120" w:line="240" w:lineRule="auto"/>
        <w:ind w:left="357" w:hanging="357"/>
        <w:contextualSpacing w:val="0"/>
        <w:jc w:val="both"/>
        <w:rPr>
          <w:rFonts w:cs="Calibri"/>
          <w:sz w:val="24"/>
          <w:szCs w:val="24"/>
          <w:lang w:val="es-MX"/>
        </w:rPr>
      </w:pPr>
      <w:r w:rsidRPr="001A01AB">
        <w:rPr>
          <w:rFonts w:cs="Calibri"/>
          <w:sz w:val="24"/>
          <w:szCs w:val="24"/>
          <w:lang w:val="es-MX"/>
        </w:rPr>
        <w:t>En el indicador de inversión con recursos propios, únicamente 4 de las 333 municipalidades presentan una categoría alta, mientras 257 de 333 una categoría muy baja (0-15%).</w:t>
      </w:r>
    </w:p>
    <w:p w:rsidR="008327B2" w:rsidRPr="001A01AB" w:rsidRDefault="008327B2" w:rsidP="006B0A31">
      <w:pPr>
        <w:pStyle w:val="Prrafodelista"/>
        <w:numPr>
          <w:ilvl w:val="0"/>
          <w:numId w:val="46"/>
        </w:numPr>
        <w:autoSpaceDE w:val="0"/>
        <w:autoSpaceDN w:val="0"/>
        <w:adjustRightInd w:val="0"/>
        <w:spacing w:after="120" w:line="240" w:lineRule="auto"/>
        <w:ind w:left="357" w:hanging="357"/>
        <w:contextualSpacing w:val="0"/>
        <w:jc w:val="both"/>
        <w:rPr>
          <w:rFonts w:cs="Calibri"/>
          <w:sz w:val="24"/>
          <w:szCs w:val="24"/>
          <w:lang w:val="es-MX"/>
        </w:rPr>
      </w:pPr>
      <w:r w:rsidRPr="001A01AB">
        <w:rPr>
          <w:rFonts w:cs="Calibri"/>
          <w:sz w:val="24"/>
          <w:szCs w:val="24"/>
          <w:lang w:val="es-MX"/>
        </w:rPr>
        <w:t>Con el indicador del nivel de endeudamiento se reporta que 36 de 333 municipalidades está en una categoría alta y 197 municipalidades en una categoría muy baja (0-15%).</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t xml:space="preserve">Con base </w:t>
      </w:r>
      <w:r w:rsidR="00B014B3">
        <w:rPr>
          <w:rFonts w:ascii="Calibri" w:hAnsi="Calibri" w:cs="Calibri"/>
          <w:lang w:val="es-MX"/>
        </w:rPr>
        <w:t>en</w:t>
      </w:r>
      <w:r w:rsidRPr="001A01AB">
        <w:rPr>
          <w:rFonts w:ascii="Calibri" w:hAnsi="Calibri" w:cs="Calibri"/>
          <w:lang w:val="es-MX"/>
        </w:rPr>
        <w:t xml:space="preserve"> la obligatoriedad de coordinar con el ente planificador </w:t>
      </w:r>
      <w:r w:rsidR="005078B8">
        <w:rPr>
          <w:rFonts w:ascii="Calibri" w:hAnsi="Calibri" w:cs="Calibri"/>
          <w:lang w:val="es-MX"/>
        </w:rPr>
        <w:t>d</w:t>
      </w:r>
      <w:r w:rsidRPr="001A01AB">
        <w:rPr>
          <w:rFonts w:ascii="Calibri" w:hAnsi="Calibri" w:cs="Calibri"/>
          <w:lang w:val="es-MX"/>
        </w:rPr>
        <w:t>el Estado para la elaboración de un plan de desarrollo municipal articulado a las políticas nacionales</w:t>
      </w:r>
      <w:r w:rsidR="005078B8">
        <w:rPr>
          <w:rFonts w:ascii="Calibri" w:hAnsi="Calibri" w:cs="Calibri"/>
          <w:lang w:val="es-MX"/>
        </w:rPr>
        <w:t>,</w:t>
      </w:r>
      <w:r w:rsidR="00B014B3" w:rsidRPr="00B014B3">
        <w:rPr>
          <w:rFonts w:ascii="Calibri" w:hAnsi="Calibri" w:cs="Calibri"/>
          <w:lang w:val="es-MX"/>
        </w:rPr>
        <w:t xml:space="preserve"> </w:t>
      </w:r>
      <w:r w:rsidR="00B014B3" w:rsidRPr="001A01AB">
        <w:rPr>
          <w:rFonts w:ascii="Calibri" w:hAnsi="Calibri" w:cs="Calibri"/>
          <w:lang w:val="es-MX"/>
        </w:rPr>
        <w:t xml:space="preserve">establecida </w:t>
      </w:r>
      <w:r w:rsidR="00B014B3" w:rsidRPr="001A01AB">
        <w:rPr>
          <w:rFonts w:ascii="Calibri" w:hAnsi="Calibri" w:cs="Calibri"/>
          <w:lang w:val="es-MX"/>
        </w:rPr>
        <w:lastRenderedPageBreak/>
        <w:t xml:space="preserve">en la Ley de Consejos de Desarrollo Urbano y Rural y </w:t>
      </w:r>
      <w:r w:rsidR="00B014B3">
        <w:rPr>
          <w:rFonts w:ascii="Calibri" w:hAnsi="Calibri" w:cs="Calibri"/>
          <w:lang w:val="es-MX"/>
        </w:rPr>
        <w:t xml:space="preserve">en </w:t>
      </w:r>
      <w:r w:rsidR="00B014B3" w:rsidRPr="001A01AB">
        <w:rPr>
          <w:rFonts w:ascii="Calibri" w:hAnsi="Calibri" w:cs="Calibri"/>
          <w:lang w:val="es-MX"/>
        </w:rPr>
        <w:t>la Constitución Política de la República</w:t>
      </w:r>
      <w:r w:rsidRPr="001A01AB">
        <w:rPr>
          <w:rFonts w:ascii="Calibri" w:hAnsi="Calibri" w:cs="Calibri"/>
          <w:lang w:val="es-MX"/>
        </w:rPr>
        <w:t xml:space="preserve">, </w:t>
      </w:r>
      <w:r w:rsidRPr="005078B8">
        <w:rPr>
          <w:rFonts w:ascii="Calibri" w:hAnsi="Calibri" w:cs="Calibri"/>
          <w:highlight w:val="yellow"/>
          <w:lang w:val="es-MX"/>
        </w:rPr>
        <w:t>311 municipalidades cumplen con este indicador, mien</w:t>
      </w:r>
      <w:r w:rsidR="00E15B12" w:rsidRPr="005078B8">
        <w:rPr>
          <w:rFonts w:ascii="Calibri" w:hAnsi="Calibri" w:cs="Calibri"/>
          <w:highlight w:val="yellow"/>
          <w:lang w:val="es-MX"/>
        </w:rPr>
        <w:t>tras que al 2010 solamente 22</w:t>
      </w:r>
      <w:r w:rsidR="00E15B12">
        <w:rPr>
          <w:rFonts w:ascii="Calibri" w:hAnsi="Calibri" w:cs="Calibri"/>
          <w:lang w:val="es-MX"/>
        </w:rPr>
        <w:t xml:space="preserve"> </w:t>
      </w:r>
      <w:r w:rsidRPr="001A01AB">
        <w:rPr>
          <w:rFonts w:ascii="Calibri" w:hAnsi="Calibri" w:cs="Calibri"/>
          <w:lang w:val="es-MX"/>
        </w:rPr>
        <w:t xml:space="preserve">carecían </w:t>
      </w:r>
      <w:r w:rsidRPr="005078B8">
        <w:rPr>
          <w:rFonts w:ascii="Calibri" w:hAnsi="Calibri" w:cs="Calibri"/>
          <w:highlight w:val="yellow"/>
          <w:lang w:val="es-MX"/>
        </w:rPr>
        <w:t>de dicho instrumento</w:t>
      </w:r>
      <w:r w:rsidR="005078B8">
        <w:rPr>
          <w:rFonts w:ascii="Calibri" w:hAnsi="Calibri" w:cs="Calibri"/>
          <w:lang w:val="es-MX"/>
        </w:rPr>
        <w:t xml:space="preserve"> (F</w:t>
      </w:r>
      <w:r w:rsidR="005078B8" w:rsidRPr="001A01AB">
        <w:rPr>
          <w:rFonts w:ascii="Calibri" w:hAnsi="Calibri" w:cs="Calibri"/>
          <w:lang w:val="es-MX"/>
        </w:rPr>
        <w:t xml:space="preserve">igura </w:t>
      </w:r>
      <w:r w:rsidR="005078B8">
        <w:rPr>
          <w:rFonts w:ascii="Calibri" w:hAnsi="Calibri" w:cs="Calibri"/>
          <w:lang w:val="es-MX"/>
        </w:rPr>
        <w:t>56</w:t>
      </w:r>
      <w:r w:rsidR="005078B8" w:rsidRPr="001A01AB">
        <w:rPr>
          <w:rFonts w:ascii="Calibri" w:hAnsi="Calibri" w:cs="Calibri"/>
          <w:lang w:val="es-MX"/>
        </w:rPr>
        <w:t>)</w:t>
      </w:r>
      <w:r w:rsidRPr="001A01AB">
        <w:rPr>
          <w:rFonts w:ascii="Calibri" w:hAnsi="Calibri" w:cs="Calibri"/>
          <w:lang w:val="es-MX"/>
        </w:rPr>
        <w:t>.</w:t>
      </w:r>
    </w:p>
    <w:p w:rsidR="00016E8A" w:rsidRPr="001A01AB" w:rsidRDefault="00016E8A" w:rsidP="008327B2">
      <w:pPr>
        <w:autoSpaceDE w:val="0"/>
        <w:autoSpaceDN w:val="0"/>
        <w:adjustRightInd w:val="0"/>
        <w:jc w:val="both"/>
        <w:rPr>
          <w:rFonts w:ascii="Calibri" w:hAnsi="Calibri" w:cs="Calibri"/>
          <w:lang w:val="es-MX"/>
        </w:rPr>
      </w:pPr>
    </w:p>
    <w:p w:rsidR="008327B2" w:rsidRPr="00224B57" w:rsidRDefault="008327B2" w:rsidP="008327B2">
      <w:pPr>
        <w:spacing w:after="120"/>
        <w:jc w:val="center"/>
        <w:rPr>
          <w:rFonts w:ascii="Calibri" w:eastAsia="Calibri" w:hAnsi="Calibri" w:cs="Calibri"/>
          <w:b/>
          <w:color w:val="365F91"/>
          <w:sz w:val="22"/>
          <w:szCs w:val="22"/>
          <w:lang w:val="es-GT"/>
        </w:rPr>
      </w:pPr>
      <w:bookmarkStart w:id="458" w:name="_Toc340034524"/>
      <w:bookmarkStart w:id="459" w:name="_Toc343098438"/>
      <w:bookmarkStart w:id="460" w:name="_Toc343098546"/>
      <w:bookmarkStart w:id="461" w:name="_Toc347841279"/>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56</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Cumplimiento del plan de desarrollo articulado a las políticas nacionales</w:t>
      </w:r>
      <w:r w:rsidR="005078B8" w:rsidRPr="00224B57">
        <w:rPr>
          <w:rFonts w:ascii="Calibri" w:eastAsia="Calibri" w:hAnsi="Calibri" w:cs="Calibri"/>
          <w:b/>
          <w:color w:val="365F91"/>
          <w:sz w:val="22"/>
          <w:szCs w:val="22"/>
          <w:lang w:val="es-GT"/>
        </w:rPr>
        <w:t>. Año</w:t>
      </w:r>
      <w:r w:rsidRPr="00224B57">
        <w:rPr>
          <w:rFonts w:ascii="Calibri" w:eastAsia="Calibri" w:hAnsi="Calibri" w:cs="Calibri"/>
          <w:b/>
          <w:color w:val="365F91"/>
          <w:sz w:val="22"/>
          <w:szCs w:val="22"/>
          <w:lang w:val="es-GT"/>
        </w:rPr>
        <w:t xml:space="preserve"> 2010</w:t>
      </w:r>
      <w:bookmarkEnd w:id="458"/>
      <w:bookmarkEnd w:id="459"/>
      <w:bookmarkEnd w:id="460"/>
      <w:bookmarkEnd w:id="461"/>
    </w:p>
    <w:p w:rsidR="008327B2" w:rsidRPr="001A01AB" w:rsidRDefault="00544A9F" w:rsidP="008327B2">
      <w:pPr>
        <w:autoSpaceDE w:val="0"/>
        <w:autoSpaceDN w:val="0"/>
        <w:adjustRightInd w:val="0"/>
        <w:jc w:val="center"/>
        <w:rPr>
          <w:rFonts w:ascii="Calibri" w:hAnsi="Calibri" w:cs="Calibri"/>
          <w:lang w:val="es-MX"/>
        </w:rPr>
      </w:pPr>
      <w:r>
        <w:rPr>
          <w:noProof/>
          <w:lang w:val="es-GT" w:eastAsia="es-GT"/>
        </w:rPr>
        <mc:AlternateContent>
          <mc:Choice Requires="wps">
            <w:drawing>
              <wp:anchor distT="0" distB="0" distL="114300" distR="114300" simplePos="0" relativeHeight="251559936" behindDoc="0" locked="0" layoutInCell="1" allowOverlap="1">
                <wp:simplePos x="0" y="0"/>
                <wp:positionH relativeFrom="column">
                  <wp:posOffset>3403600</wp:posOffset>
                </wp:positionH>
                <wp:positionV relativeFrom="paragraph">
                  <wp:posOffset>2739390</wp:posOffset>
                </wp:positionV>
                <wp:extent cx="940435" cy="302260"/>
                <wp:effectExtent l="0" t="0" r="0" b="2540"/>
                <wp:wrapNone/>
                <wp:docPr id="159" name="Rectángulo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302260"/>
                        </a:xfrm>
                        <a:prstGeom prst="rect">
                          <a:avLst/>
                        </a:prstGeom>
                        <a:gradFill rotWithShape="0">
                          <a:gsLst>
                            <a:gs pos="0">
                              <a:srgbClr val="DBE5F1"/>
                            </a:gs>
                            <a:gs pos="100000">
                              <a:srgbClr val="DBE5F1">
                                <a:gamma/>
                                <a:tint val="20000"/>
                                <a:invGamma/>
                              </a:srgbClr>
                            </a:gs>
                          </a:gsLst>
                          <a:path path="shape">
                            <a:fillToRect l="50000" t="50000" r="50000" b="50000"/>
                          </a:path>
                        </a:gradFill>
                        <a:ln>
                          <a:noFill/>
                        </a:ln>
                        <a:extLst>
                          <a:ext uri="{91240B29-F687-4F45-9708-019B960494DF}">
                            <a14:hiddenLine xmlns:a14="http://schemas.microsoft.com/office/drawing/2010/main" w="317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59" o:spid="_x0000_s1026" style="position:absolute;margin-left:268pt;margin-top:215.7pt;width:74.05pt;height:23.8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" fillcolor="#dbe5f1" stroked="f" strokeweight=".25pt">
                <v:fill color2="#f8fafc" focusposition=".5,.5" focussize="" focus="100%" type="gradientRadial"/>
              </v:rect>
            </w:pict>
          </mc:Fallback>
        </mc:AlternateContent>
      </w:r>
      <w:r>
        <w:rPr>
          <w:rFonts w:ascii="Calibri" w:hAnsi="Calibri" w:cs="Calibri"/>
          <w:noProof/>
          <w:lang w:val="es-GT" w:eastAsia="es-GT"/>
        </w:rPr>
        <w:drawing>
          <wp:inline distT="0" distB="0" distL="0" distR="0">
            <wp:extent cx="5762625" cy="5962650"/>
            <wp:effectExtent l="0" t="0" r="9525" b="0"/>
            <wp:docPr id="2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extLst>
                        <a:ext uri="{28A0092B-C50C-407E-A947-70E740481C1C}">
                          <a14:useLocalDpi xmlns:a14="http://schemas.microsoft.com/office/drawing/2010/main" val="0"/>
                        </a:ext>
                      </a:extLst>
                    </a:blip>
                    <a:srcRect r="3963"/>
                    <a:stretch>
                      <a:fillRect/>
                    </a:stretch>
                  </pic:blipFill>
                  <pic:spPr bwMode="auto">
                    <a:xfrm>
                      <a:off x="0" y="0"/>
                      <a:ext cx="5762625" cy="5962650"/>
                    </a:xfrm>
                    <a:prstGeom prst="rect">
                      <a:avLst/>
                    </a:prstGeom>
                    <a:noFill/>
                    <a:ln>
                      <a:noFill/>
                    </a:ln>
                  </pic:spPr>
                </pic:pic>
              </a:graphicData>
            </a:graphic>
          </wp:inline>
        </w:drawing>
      </w:r>
    </w:p>
    <w:p w:rsidR="00E15B12" w:rsidRDefault="00E15B12" w:rsidP="008327B2">
      <w:pPr>
        <w:autoSpaceDE w:val="0"/>
        <w:autoSpaceDN w:val="0"/>
        <w:adjustRightInd w:val="0"/>
        <w:ind w:right="571"/>
        <w:jc w:val="right"/>
        <w:rPr>
          <w:rFonts w:ascii="Calibri" w:hAnsi="Calibri" w:cs="Calibri"/>
          <w:sz w:val="20"/>
          <w:lang w:val="es-MX"/>
        </w:rPr>
      </w:pPr>
    </w:p>
    <w:p w:rsidR="008327B2" w:rsidRPr="001A01AB" w:rsidRDefault="008327B2" w:rsidP="008327B2">
      <w:pPr>
        <w:autoSpaceDE w:val="0"/>
        <w:autoSpaceDN w:val="0"/>
        <w:adjustRightInd w:val="0"/>
        <w:ind w:right="571"/>
        <w:jc w:val="right"/>
        <w:rPr>
          <w:rFonts w:ascii="Calibri" w:hAnsi="Calibri" w:cs="Calibri"/>
          <w:sz w:val="20"/>
          <w:lang w:val="es-MX"/>
        </w:rPr>
      </w:pPr>
      <w:r w:rsidRPr="00E15B12">
        <w:rPr>
          <w:rFonts w:ascii="Calibri" w:hAnsi="Calibri" w:cs="Calibri"/>
          <w:sz w:val="20"/>
          <w:lang w:val="es-MX"/>
        </w:rPr>
        <w:t>Fuente</w:t>
      </w:r>
      <w:r w:rsidR="00E15B12" w:rsidRPr="00E15B12">
        <w:rPr>
          <w:rFonts w:ascii="Calibri" w:hAnsi="Calibri" w:cs="Calibri"/>
          <w:sz w:val="20"/>
          <w:lang w:val="es-MX"/>
        </w:rPr>
        <w:t>:</w:t>
      </w:r>
      <w:r w:rsidR="00E15B12">
        <w:rPr>
          <w:rFonts w:ascii="Calibri" w:hAnsi="Calibri" w:cs="Calibri"/>
          <w:sz w:val="20"/>
          <w:lang w:val="es-MX"/>
        </w:rPr>
        <w:t xml:space="preserve"> SEGEPLAN (</w:t>
      </w:r>
      <w:r w:rsidRPr="001A01AB">
        <w:rPr>
          <w:rFonts w:ascii="Calibri" w:hAnsi="Calibri" w:cs="Calibri"/>
          <w:sz w:val="20"/>
          <w:lang w:val="es-MX"/>
        </w:rPr>
        <w:t>2010</w:t>
      </w:r>
      <w:r w:rsidR="00E15B12">
        <w:rPr>
          <w:rFonts w:ascii="Calibri" w:hAnsi="Calibri" w:cs="Calibri"/>
          <w:sz w:val="20"/>
          <w:lang w:val="es-MX"/>
        </w:rPr>
        <w:t>)</w:t>
      </w:r>
      <w:r w:rsidRPr="001A01AB">
        <w:rPr>
          <w:rFonts w:ascii="Calibri" w:hAnsi="Calibri" w:cs="Calibri"/>
          <w:sz w:val="20"/>
          <w:lang w:val="es-MX"/>
        </w:rPr>
        <w:t>.</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t>La tendencia del indicador se encuentra aún en un nivel mínimo de gestión administrativa municipal, y es necesario cambiar hacia indicadores de desarrollo y mediciones en la prestación de servicios.</w:t>
      </w:r>
    </w:p>
    <w:p w:rsidR="008327B2" w:rsidRPr="001A01AB" w:rsidRDefault="008327B2" w:rsidP="008327B2">
      <w:pPr>
        <w:autoSpaceDE w:val="0"/>
        <w:autoSpaceDN w:val="0"/>
        <w:adjustRightInd w:val="0"/>
        <w:jc w:val="both"/>
        <w:rPr>
          <w:rFonts w:ascii="Calibri" w:hAnsi="Calibri" w:cs="Calibri"/>
          <w:lang w:val="es-MX"/>
        </w:rPr>
      </w:pPr>
    </w:p>
    <w:p w:rsidR="008327B2"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lastRenderedPageBreak/>
        <w:t>En ese sentido, es necesario implementar medidas integrales y correctivas por parte del municipio y el gobierno nacional, para la mejora de los procesos y sistemas de información que garanticen un registro adecuado de la información y la situación del municipio.</w:t>
      </w:r>
      <w:r w:rsidR="00141A70">
        <w:rPr>
          <w:rFonts w:ascii="Calibri" w:hAnsi="Calibri" w:cs="Calibri"/>
          <w:lang w:val="es-MX"/>
        </w:rPr>
        <w:t xml:space="preserve"> </w:t>
      </w:r>
      <w:r w:rsidRPr="001A01AB">
        <w:rPr>
          <w:rFonts w:ascii="Calibri" w:hAnsi="Calibri" w:cs="Calibri"/>
          <w:lang w:val="es-MX"/>
        </w:rPr>
        <w:t xml:space="preserve">De igual manera, se hace </w:t>
      </w:r>
      <w:r w:rsidR="00C41062">
        <w:rPr>
          <w:rFonts w:ascii="Calibri" w:hAnsi="Calibri" w:cs="Calibri"/>
          <w:lang w:val="es-MX"/>
        </w:rPr>
        <w:t>imprescindible</w:t>
      </w:r>
      <w:r w:rsidRPr="001A01AB">
        <w:rPr>
          <w:rFonts w:ascii="Calibri" w:hAnsi="Calibri" w:cs="Calibri"/>
          <w:lang w:val="es-MX"/>
        </w:rPr>
        <w:t xml:space="preserve"> la evaluación y monitoreo de la calidad de la información y de los indicadores de desarrollo.</w:t>
      </w:r>
    </w:p>
    <w:p w:rsidR="00E15B12" w:rsidRPr="001A01AB" w:rsidRDefault="00E15B1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t xml:space="preserve">De manera resumida, el </w:t>
      </w:r>
      <w:r w:rsidRPr="00C41062">
        <w:rPr>
          <w:rFonts w:ascii="Calibri" w:hAnsi="Calibri" w:cs="Calibri"/>
          <w:i/>
          <w:lang w:val="es-MX"/>
        </w:rPr>
        <w:t>Perfil Ambiental de Guatemala 2010-2012</w:t>
      </w:r>
      <w:r w:rsidRPr="001A01AB">
        <w:rPr>
          <w:rFonts w:ascii="Calibri" w:hAnsi="Calibri" w:cs="Calibri"/>
          <w:lang w:val="es-MX"/>
        </w:rPr>
        <w:t xml:space="preserve"> </w:t>
      </w:r>
      <w:r w:rsidR="00C41062">
        <w:rPr>
          <w:rFonts w:ascii="Calibri" w:hAnsi="Calibri" w:cs="Calibri"/>
          <w:lang w:val="es-MX"/>
        </w:rPr>
        <w:t>muestra un resumen del Índice A</w:t>
      </w:r>
      <w:r w:rsidRPr="001A01AB">
        <w:rPr>
          <w:rFonts w:ascii="Calibri" w:hAnsi="Calibri" w:cs="Calibri"/>
          <w:lang w:val="es-MX"/>
        </w:rPr>
        <w:t xml:space="preserve">mbiental </w:t>
      </w:r>
      <w:r w:rsidR="00C41062">
        <w:rPr>
          <w:rFonts w:ascii="Calibri" w:hAnsi="Calibri" w:cs="Calibri"/>
          <w:lang w:val="es-MX"/>
        </w:rPr>
        <w:t>M</w:t>
      </w:r>
      <w:r w:rsidRPr="001A01AB">
        <w:rPr>
          <w:rFonts w:ascii="Calibri" w:hAnsi="Calibri" w:cs="Calibri"/>
          <w:lang w:val="es-MX"/>
        </w:rPr>
        <w:t>unicipal desarrollado por el IARNA</w:t>
      </w:r>
      <w:r w:rsidR="00C41062">
        <w:rPr>
          <w:rFonts w:ascii="Calibri" w:hAnsi="Calibri" w:cs="Calibri"/>
          <w:lang w:val="es-MX"/>
        </w:rPr>
        <w:t>-URL</w:t>
      </w:r>
      <w:r w:rsidRPr="001A01AB">
        <w:rPr>
          <w:rFonts w:ascii="Calibri" w:hAnsi="Calibri" w:cs="Calibri"/>
          <w:lang w:val="es-MX"/>
        </w:rPr>
        <w:t>, el cual muestra que el 56% de los municipios del país se encuentra en un nivel bajo, mientras que el 43% restante se encuentra en un nivel medio bajo (</w:t>
      </w:r>
      <w:r w:rsidR="00C41062">
        <w:rPr>
          <w:rFonts w:ascii="Calibri" w:hAnsi="Calibri" w:cs="Calibri"/>
          <w:lang w:val="es-MX"/>
        </w:rPr>
        <w:t>Figura 57</w:t>
      </w:r>
      <w:r w:rsidRPr="001A01AB">
        <w:rPr>
          <w:rFonts w:ascii="Calibri" w:hAnsi="Calibri" w:cs="Calibri"/>
          <w:lang w:val="es-MX"/>
        </w:rPr>
        <w:t>). Estos porcentajes corresponden a la situación nacional, donde los indicadores de reforestación, manejo de suelo, pérdida de biodiversidad, manejo de desechos, entre otros, muestran tendencias negativas.</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t xml:space="preserve">La Figura </w:t>
      </w:r>
      <w:r w:rsidR="00C41062">
        <w:rPr>
          <w:rFonts w:ascii="Calibri" w:hAnsi="Calibri" w:cs="Calibri"/>
          <w:lang w:val="es-MX"/>
        </w:rPr>
        <w:t>58</w:t>
      </w:r>
      <w:r w:rsidRPr="001A01AB">
        <w:rPr>
          <w:rFonts w:ascii="Calibri" w:hAnsi="Calibri" w:cs="Calibri"/>
          <w:lang w:val="es-MX"/>
        </w:rPr>
        <w:t xml:space="preserve"> muestra la relación entre el índice ambiental y el gasto municipal dedicado al ambiente. </w:t>
      </w:r>
      <w:r w:rsidR="00C41062">
        <w:rPr>
          <w:rFonts w:ascii="Calibri" w:hAnsi="Calibri" w:cs="Calibri"/>
          <w:lang w:val="es-MX"/>
        </w:rPr>
        <w:t>S</w:t>
      </w:r>
      <w:r w:rsidRPr="001A01AB">
        <w:rPr>
          <w:rFonts w:ascii="Calibri" w:hAnsi="Calibri" w:cs="Calibri"/>
          <w:lang w:val="es-MX"/>
        </w:rPr>
        <w:t>e aprecia que el 83% de los municipios tiene un índice ambiental menor a 5 puntos y dedican menos del 12% de su presupuesto a aspectos ambientales (cuadrante inferior izquierdo), con un promedio de 0.9% de su presupuesto dedicado a inversiones ambientales.</w:t>
      </w:r>
    </w:p>
    <w:p w:rsidR="008327B2" w:rsidRPr="001A01AB" w:rsidRDefault="008327B2" w:rsidP="008327B2">
      <w:pPr>
        <w:autoSpaceDE w:val="0"/>
        <w:autoSpaceDN w:val="0"/>
        <w:adjustRightInd w:val="0"/>
        <w:jc w:val="both"/>
        <w:rPr>
          <w:rFonts w:ascii="Calibri" w:hAnsi="Calibri" w:cs="Calibri"/>
          <w:lang w:val="es-MX"/>
        </w:rPr>
      </w:pPr>
    </w:p>
    <w:tbl>
      <w:tblPr>
        <w:tblW w:w="9497" w:type="dxa"/>
        <w:jc w:val="center"/>
        <w:tblInd w:w="250" w:type="dxa"/>
        <w:tblLayout w:type="fixed"/>
        <w:tblLook w:val="04A0" w:firstRow="1" w:lastRow="0" w:firstColumn="1" w:lastColumn="0" w:noHBand="0" w:noVBand="1"/>
      </w:tblPr>
      <w:tblGrid>
        <w:gridCol w:w="4748"/>
        <w:gridCol w:w="4749"/>
      </w:tblGrid>
      <w:tr w:rsidR="008327B2" w:rsidRPr="00224B57" w:rsidTr="008327B2">
        <w:trPr>
          <w:jc w:val="center"/>
        </w:trPr>
        <w:tc>
          <w:tcPr>
            <w:tcW w:w="4748" w:type="dxa"/>
            <w:tcBorders>
              <w:bottom w:val="single" w:sz="4" w:space="0" w:color="auto"/>
            </w:tcBorders>
          </w:tcPr>
          <w:p w:rsidR="008327B2" w:rsidRPr="00224B57" w:rsidRDefault="008327B2" w:rsidP="00224B57">
            <w:pPr>
              <w:spacing w:after="120"/>
              <w:jc w:val="center"/>
              <w:rPr>
                <w:rFonts w:ascii="Calibri" w:eastAsia="Calibri" w:hAnsi="Calibri" w:cs="Calibri"/>
                <w:b/>
                <w:color w:val="365F91"/>
                <w:sz w:val="22"/>
                <w:szCs w:val="22"/>
                <w:lang w:val="es-GT"/>
              </w:rPr>
            </w:pPr>
            <w:bookmarkStart w:id="462" w:name="_Toc340034525"/>
            <w:bookmarkStart w:id="463" w:name="_Toc343098439"/>
            <w:bookmarkStart w:id="464" w:name="_Toc343098547"/>
            <w:bookmarkStart w:id="465" w:name="_Toc347841280"/>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57</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Índice ambiental nacional</w:t>
            </w:r>
            <w:bookmarkEnd w:id="462"/>
            <w:bookmarkEnd w:id="463"/>
            <w:bookmarkEnd w:id="464"/>
            <w:bookmarkEnd w:id="465"/>
          </w:p>
        </w:tc>
        <w:tc>
          <w:tcPr>
            <w:tcW w:w="4749" w:type="dxa"/>
            <w:tcBorders>
              <w:bottom w:val="single" w:sz="4" w:space="0" w:color="auto"/>
            </w:tcBorders>
          </w:tcPr>
          <w:p w:rsidR="008327B2" w:rsidRPr="00224B57" w:rsidRDefault="008327B2" w:rsidP="00224B57">
            <w:pPr>
              <w:spacing w:after="120"/>
              <w:jc w:val="center"/>
              <w:rPr>
                <w:rFonts w:ascii="Calibri" w:eastAsia="Calibri" w:hAnsi="Calibri" w:cs="Calibri"/>
                <w:b/>
                <w:color w:val="365F91"/>
                <w:sz w:val="22"/>
                <w:szCs w:val="22"/>
                <w:lang w:val="es-GT"/>
              </w:rPr>
            </w:pPr>
            <w:bookmarkStart w:id="466" w:name="_Toc340034526"/>
            <w:bookmarkStart w:id="467" w:name="_Toc343098440"/>
            <w:bookmarkStart w:id="468" w:name="_Toc343098548"/>
            <w:bookmarkStart w:id="469" w:name="_Toc347841281"/>
            <w:r w:rsidRPr="00224B57">
              <w:rPr>
                <w:rFonts w:ascii="Calibri" w:eastAsia="Calibri" w:hAnsi="Calibri" w:cs="Calibri"/>
                <w:b/>
                <w:color w:val="365F91"/>
                <w:sz w:val="22"/>
                <w:szCs w:val="22"/>
                <w:lang w:val="es-GT"/>
              </w:rPr>
              <w:t xml:space="preserve">Figura </w:t>
            </w:r>
            <w:r w:rsidRPr="00224B57">
              <w:rPr>
                <w:rFonts w:ascii="Calibri" w:eastAsia="Calibri" w:hAnsi="Calibri" w:cs="Calibri"/>
                <w:b/>
                <w:color w:val="365F91"/>
                <w:sz w:val="22"/>
                <w:szCs w:val="22"/>
                <w:lang w:val="es-GT"/>
              </w:rPr>
              <w:fldChar w:fldCharType="begin"/>
            </w:r>
            <w:r w:rsidRPr="00224B57">
              <w:rPr>
                <w:rFonts w:ascii="Calibri" w:eastAsia="Calibri" w:hAnsi="Calibri" w:cs="Calibri"/>
                <w:b/>
                <w:color w:val="365F91"/>
                <w:sz w:val="22"/>
                <w:szCs w:val="22"/>
                <w:lang w:val="es-GT"/>
              </w:rPr>
              <w:instrText xml:space="preserve"> SEQ Figura \* ARABIC </w:instrText>
            </w:r>
            <w:r w:rsidRPr="00224B57">
              <w:rPr>
                <w:rFonts w:ascii="Calibri" w:eastAsia="Calibri" w:hAnsi="Calibri" w:cs="Calibri"/>
                <w:b/>
                <w:color w:val="365F91"/>
                <w:sz w:val="22"/>
                <w:szCs w:val="22"/>
                <w:lang w:val="es-GT"/>
              </w:rPr>
              <w:fldChar w:fldCharType="separate"/>
            </w:r>
            <w:r w:rsidR="008C1EE0" w:rsidRPr="00224B57">
              <w:rPr>
                <w:rFonts w:ascii="Calibri" w:eastAsia="Calibri" w:hAnsi="Calibri" w:cs="Calibri"/>
                <w:b/>
                <w:color w:val="365F91"/>
                <w:sz w:val="22"/>
                <w:szCs w:val="22"/>
                <w:lang w:val="es-GT"/>
              </w:rPr>
              <w:t>58</w:t>
            </w:r>
            <w:r w:rsidRPr="00224B57">
              <w:rPr>
                <w:rFonts w:ascii="Calibri" w:eastAsia="Calibri" w:hAnsi="Calibri" w:cs="Calibri"/>
                <w:b/>
                <w:color w:val="365F91"/>
                <w:sz w:val="22"/>
                <w:szCs w:val="22"/>
                <w:lang w:val="es-GT"/>
              </w:rPr>
              <w:fldChar w:fldCharType="end"/>
            </w:r>
            <w:r w:rsidRPr="00224B57">
              <w:rPr>
                <w:rFonts w:ascii="Calibri" w:eastAsia="Calibri" w:hAnsi="Calibri" w:cs="Calibri"/>
                <w:b/>
                <w:color w:val="365F91"/>
                <w:sz w:val="22"/>
                <w:szCs w:val="22"/>
                <w:lang w:val="es-GT"/>
              </w:rPr>
              <w:t>. Índice y gasto ambiental municipal</w:t>
            </w:r>
            <w:bookmarkEnd w:id="466"/>
            <w:bookmarkEnd w:id="467"/>
            <w:bookmarkEnd w:id="468"/>
            <w:bookmarkEnd w:id="469"/>
          </w:p>
        </w:tc>
      </w:tr>
      <w:tr w:rsidR="008327B2" w:rsidRPr="000822DA" w:rsidTr="008327B2">
        <w:trPr>
          <w:jc w:val="center"/>
        </w:trPr>
        <w:tc>
          <w:tcPr>
            <w:tcW w:w="4748" w:type="dxa"/>
            <w:tcBorders>
              <w:top w:val="single" w:sz="4" w:space="0" w:color="auto"/>
              <w:left w:val="single" w:sz="4" w:space="0" w:color="auto"/>
              <w:bottom w:val="single" w:sz="4" w:space="0" w:color="auto"/>
              <w:right w:val="single" w:sz="4" w:space="0" w:color="auto"/>
            </w:tcBorders>
          </w:tcPr>
          <w:p w:rsidR="008327B2" w:rsidRPr="001A01AB" w:rsidRDefault="00544A9F" w:rsidP="008327B2">
            <w:pPr>
              <w:autoSpaceDE w:val="0"/>
              <w:autoSpaceDN w:val="0"/>
              <w:adjustRightInd w:val="0"/>
              <w:jc w:val="both"/>
              <w:rPr>
                <w:rFonts w:ascii="Calibri" w:hAnsi="Calibri" w:cs="Calibri"/>
                <w:lang w:val="es-MX"/>
              </w:rPr>
            </w:pPr>
            <w:r>
              <w:rPr>
                <w:rFonts w:ascii="Calibri" w:hAnsi="Calibri" w:cs="Calibri"/>
                <w:noProof/>
                <w:lang w:val="es-GT" w:eastAsia="es-GT"/>
              </w:rPr>
              <w:drawing>
                <wp:inline distT="0" distB="0" distL="0" distR="0">
                  <wp:extent cx="2990850" cy="2143125"/>
                  <wp:effectExtent l="0" t="0" r="0" b="9525"/>
                  <wp:docPr id="2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a:extLst>
                              <a:ext uri="{28A0092B-C50C-407E-A947-70E740481C1C}">
                                <a14:useLocalDpi xmlns:a14="http://schemas.microsoft.com/office/drawing/2010/main" val="0"/>
                              </a:ext>
                            </a:extLst>
                          </a:blip>
                          <a:srcRect l="2586" t="3139" b="2466"/>
                          <a:stretch>
                            <a:fillRect/>
                          </a:stretch>
                        </pic:blipFill>
                        <pic:spPr bwMode="auto">
                          <a:xfrm>
                            <a:off x="0" y="0"/>
                            <a:ext cx="2990850" cy="2143125"/>
                          </a:xfrm>
                          <a:prstGeom prst="rect">
                            <a:avLst/>
                          </a:prstGeom>
                          <a:noFill/>
                          <a:ln>
                            <a:noFill/>
                          </a:ln>
                        </pic:spPr>
                      </pic:pic>
                    </a:graphicData>
                  </a:graphic>
                </wp:inline>
              </w:drawing>
            </w:r>
          </w:p>
        </w:tc>
        <w:tc>
          <w:tcPr>
            <w:tcW w:w="4749" w:type="dxa"/>
            <w:tcBorders>
              <w:top w:val="single" w:sz="4" w:space="0" w:color="auto"/>
              <w:left w:val="single" w:sz="4" w:space="0" w:color="auto"/>
              <w:bottom w:val="single" w:sz="4" w:space="0" w:color="auto"/>
              <w:right w:val="single" w:sz="4" w:space="0" w:color="auto"/>
            </w:tcBorders>
          </w:tcPr>
          <w:p w:rsidR="008327B2" w:rsidRPr="001A01AB" w:rsidRDefault="00544A9F" w:rsidP="008327B2">
            <w:pPr>
              <w:autoSpaceDE w:val="0"/>
              <w:autoSpaceDN w:val="0"/>
              <w:adjustRightInd w:val="0"/>
              <w:jc w:val="both"/>
              <w:rPr>
                <w:rFonts w:ascii="Calibri" w:hAnsi="Calibri" w:cs="Calibri"/>
                <w:lang w:val="es-MX"/>
              </w:rPr>
            </w:pPr>
            <w:r>
              <w:rPr>
                <w:rFonts w:ascii="Calibri" w:hAnsi="Calibri" w:cs="Calibri"/>
                <w:noProof/>
                <w:lang w:val="es-GT" w:eastAsia="es-GT"/>
              </w:rPr>
              <w:drawing>
                <wp:inline distT="0" distB="0" distL="0" distR="0">
                  <wp:extent cx="2752725" cy="2105025"/>
                  <wp:effectExtent l="0" t="0" r="9525" b="9525"/>
                  <wp:docPr id="2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a:extLst>
                              <a:ext uri="{28A0092B-C50C-407E-A947-70E740481C1C}">
                                <a14:useLocalDpi xmlns:a14="http://schemas.microsoft.com/office/drawing/2010/main" val="0"/>
                              </a:ext>
                            </a:extLst>
                          </a:blip>
                          <a:srcRect l="2986" t="2481" r="3246" b="2853"/>
                          <a:stretch>
                            <a:fillRect/>
                          </a:stretch>
                        </pic:blipFill>
                        <pic:spPr bwMode="auto">
                          <a:xfrm>
                            <a:off x="0" y="0"/>
                            <a:ext cx="2752725" cy="2105025"/>
                          </a:xfrm>
                          <a:prstGeom prst="rect">
                            <a:avLst/>
                          </a:prstGeom>
                          <a:noFill/>
                          <a:ln>
                            <a:noFill/>
                          </a:ln>
                        </pic:spPr>
                      </pic:pic>
                    </a:graphicData>
                  </a:graphic>
                </wp:inline>
              </w:drawing>
            </w:r>
          </w:p>
        </w:tc>
      </w:tr>
    </w:tbl>
    <w:p w:rsidR="008327B2" w:rsidRPr="001A01AB" w:rsidRDefault="008327B2" w:rsidP="008327B2">
      <w:pPr>
        <w:autoSpaceDE w:val="0"/>
        <w:autoSpaceDN w:val="0"/>
        <w:adjustRightInd w:val="0"/>
        <w:jc w:val="right"/>
        <w:rPr>
          <w:rFonts w:ascii="Calibri" w:hAnsi="Calibri" w:cs="Calibri"/>
          <w:sz w:val="20"/>
          <w:lang w:val="es-MX"/>
        </w:rPr>
      </w:pPr>
      <w:r w:rsidRPr="001A01AB">
        <w:rPr>
          <w:rFonts w:ascii="Calibri" w:hAnsi="Calibri" w:cs="Calibri"/>
          <w:b/>
          <w:sz w:val="20"/>
          <w:lang w:val="es-MX"/>
        </w:rPr>
        <w:t>Fuente</w:t>
      </w:r>
      <w:r w:rsidRPr="001A01AB">
        <w:rPr>
          <w:rFonts w:ascii="Calibri" w:hAnsi="Calibri" w:cs="Calibri"/>
          <w:sz w:val="20"/>
          <w:lang w:val="es-MX"/>
        </w:rPr>
        <w:t xml:space="preserve">: </w:t>
      </w:r>
      <w:r w:rsidR="00E15B12">
        <w:rPr>
          <w:rFonts w:ascii="Calibri" w:hAnsi="Calibri" w:cs="Calibri"/>
          <w:sz w:val="20"/>
          <w:lang w:val="es-MX"/>
        </w:rPr>
        <w:t>IARNA-URL (2012).</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t>Entre los municipios más rezagados se encuentra</w:t>
      </w:r>
      <w:r w:rsidR="00C41062">
        <w:rPr>
          <w:rFonts w:ascii="Calibri" w:hAnsi="Calibri" w:cs="Calibri"/>
          <w:lang w:val="es-MX"/>
        </w:rPr>
        <w:t>n</w:t>
      </w:r>
      <w:r w:rsidRPr="001A01AB">
        <w:rPr>
          <w:rFonts w:ascii="Calibri" w:hAnsi="Calibri" w:cs="Calibri"/>
          <w:lang w:val="es-MX"/>
        </w:rPr>
        <w:t xml:space="preserve"> San Manuel Chaparrón (Jalapa), San Juan Tecuaco (Santa Rosa) y Cabañas (Zacapa), cuyo índice ambiental es menor de 3 puntos y su presupuesto ambiental menor al 0.2% del gasto del municipio. Los municipios de Zunil (Quetzaltenango), San Agustín Acasaguastlán (El Progreso) y Patzicía (Chimaltenango), dedicaron más del 12% de su presupuesto a inversiones ambientales.</w:t>
      </w:r>
    </w:p>
    <w:p w:rsidR="008327B2" w:rsidRPr="001A01AB" w:rsidRDefault="008327B2" w:rsidP="008327B2">
      <w:pPr>
        <w:autoSpaceDE w:val="0"/>
        <w:autoSpaceDN w:val="0"/>
        <w:adjustRightInd w:val="0"/>
        <w:jc w:val="both"/>
        <w:rPr>
          <w:rFonts w:ascii="Calibri" w:hAnsi="Calibri" w:cs="Calibri"/>
          <w:lang w:val="es-MX"/>
        </w:rPr>
      </w:pPr>
    </w:p>
    <w:p w:rsidR="008327B2" w:rsidRPr="001A01AB" w:rsidRDefault="008327B2" w:rsidP="008327B2">
      <w:pPr>
        <w:autoSpaceDE w:val="0"/>
        <w:autoSpaceDN w:val="0"/>
        <w:adjustRightInd w:val="0"/>
        <w:jc w:val="both"/>
        <w:rPr>
          <w:rFonts w:ascii="Calibri" w:hAnsi="Calibri" w:cs="Calibri"/>
          <w:lang w:val="es-MX"/>
        </w:rPr>
      </w:pPr>
      <w:r w:rsidRPr="001A01AB">
        <w:rPr>
          <w:rFonts w:ascii="Calibri" w:hAnsi="Calibri" w:cs="Calibri"/>
          <w:lang w:val="es-MX"/>
        </w:rPr>
        <w:t>El 17% de los municipios restantes se ubica en el cuadrante con puntajes mayores a 5 puntos en el índice ambiental (promedio de 5.5), con presupuestos ambientales promedio de 2.3% de los recursos totales municipales. Los municipios que sobresalen son San Miguel Petapa (Guatemala), San José Chacayá (Sololá) y Almolonga (Quetzaltenango). Cabe resaltar que sólo Zunil (Quetzaltenango), dedicó más del 25% de su presupuesto a inversiones ambientales.</w:t>
      </w:r>
    </w:p>
    <w:p w:rsidR="008327B2" w:rsidRPr="001A01AB" w:rsidRDefault="008327B2" w:rsidP="00760D64">
      <w:pPr>
        <w:jc w:val="both"/>
        <w:rPr>
          <w:rFonts w:ascii="Calibri" w:hAnsi="Calibri" w:cs="Calibri"/>
          <w:b/>
          <w:color w:val="365F91"/>
          <w:sz w:val="28"/>
          <w:lang w:val="es-GT"/>
        </w:rPr>
      </w:pPr>
      <w:r w:rsidRPr="001A01AB">
        <w:rPr>
          <w:rFonts w:ascii="Calibri" w:hAnsi="Calibri" w:cs="Calibri"/>
          <w:lang w:val="es-GT"/>
        </w:rPr>
        <w:br w:type="page"/>
      </w:r>
      <w:r w:rsidRPr="001A01AB">
        <w:rPr>
          <w:rFonts w:ascii="Calibri" w:hAnsi="Calibri" w:cs="Calibri"/>
          <w:b/>
          <w:color w:val="365F91"/>
          <w:sz w:val="28"/>
          <w:lang w:val="es-GT"/>
        </w:rPr>
        <w:lastRenderedPageBreak/>
        <w:t>Evaluación del FCD 5: Desarrollo institucional</w:t>
      </w:r>
    </w:p>
    <w:p w:rsidR="008327B2" w:rsidRPr="001A01AB" w:rsidRDefault="008327B2" w:rsidP="008327B2">
      <w:pPr>
        <w:autoSpaceDE w:val="0"/>
        <w:autoSpaceDN w:val="0"/>
        <w:adjustRightInd w:val="0"/>
        <w:jc w:val="both"/>
        <w:rPr>
          <w:rFonts w:ascii="Calibri" w:hAnsi="Calibri" w:cs="Calibri"/>
          <w:lang w:val="es-GT"/>
        </w:rPr>
      </w:pPr>
    </w:p>
    <w:p w:rsidR="008327B2" w:rsidRPr="001A01AB" w:rsidRDefault="008327B2" w:rsidP="008327B2">
      <w:pPr>
        <w:jc w:val="both"/>
        <w:rPr>
          <w:rFonts w:ascii="Calibri" w:hAnsi="Calibri" w:cs="Calibri"/>
          <w:lang w:val="es-GT"/>
        </w:rPr>
      </w:pPr>
      <w:r w:rsidRPr="001A01AB">
        <w:rPr>
          <w:rFonts w:ascii="Calibri" w:hAnsi="Calibri" w:cs="Calibri"/>
          <w:lang w:val="es-GT"/>
        </w:rPr>
        <w:t xml:space="preserve">Derivado del análisis </w:t>
      </w:r>
      <w:r w:rsidR="00C41062">
        <w:rPr>
          <w:rFonts w:ascii="Calibri" w:hAnsi="Calibri" w:cs="Calibri"/>
          <w:lang w:val="es-GT"/>
        </w:rPr>
        <w:t>r</w:t>
      </w:r>
      <w:r w:rsidRPr="001A01AB">
        <w:rPr>
          <w:rFonts w:ascii="Calibri" w:hAnsi="Calibri" w:cs="Calibri"/>
          <w:lang w:val="es-GT"/>
        </w:rPr>
        <w:t xml:space="preserve">ealizado, se </w:t>
      </w:r>
      <w:r w:rsidR="00C41062">
        <w:rPr>
          <w:rFonts w:ascii="Calibri" w:hAnsi="Calibri" w:cs="Calibri"/>
          <w:lang w:val="es-GT"/>
        </w:rPr>
        <w:t>determinaron</w:t>
      </w:r>
      <w:r w:rsidRPr="001A01AB">
        <w:rPr>
          <w:rFonts w:ascii="Calibri" w:hAnsi="Calibri" w:cs="Calibri"/>
          <w:lang w:val="es-GT"/>
        </w:rPr>
        <w:t xml:space="preserve"> las fortalezas, oportunidades, debilidades y amenazas (FODA) para este FCD. Adicionalmente</w:t>
      </w:r>
      <w:r w:rsidR="00C41062">
        <w:rPr>
          <w:rFonts w:ascii="Calibri" w:hAnsi="Calibri" w:cs="Calibri"/>
          <w:lang w:val="es-GT"/>
        </w:rPr>
        <w:t>,</w:t>
      </w:r>
      <w:r w:rsidRPr="001A01AB">
        <w:rPr>
          <w:rFonts w:ascii="Calibri" w:hAnsi="Calibri" w:cs="Calibri"/>
          <w:lang w:val="es-GT"/>
        </w:rPr>
        <w:t xml:space="preserve"> se </w:t>
      </w:r>
      <w:r w:rsidR="00436502" w:rsidRPr="001A01AB">
        <w:rPr>
          <w:rFonts w:ascii="Calibri" w:hAnsi="Calibri" w:cs="Calibri"/>
          <w:lang w:val="es-GT"/>
        </w:rPr>
        <w:t>analizó</w:t>
      </w:r>
      <w:r w:rsidRPr="001A01AB">
        <w:rPr>
          <w:rFonts w:ascii="Calibri" w:hAnsi="Calibri" w:cs="Calibri"/>
          <w:lang w:val="es-GT"/>
        </w:rPr>
        <w:t xml:space="preserve"> la tendencia que se espera d</w:t>
      </w:r>
      <w:r w:rsidR="00C41062">
        <w:rPr>
          <w:rFonts w:ascii="Calibri" w:hAnsi="Calibri" w:cs="Calibri"/>
          <w:lang w:val="es-GT"/>
        </w:rPr>
        <w:t>e estos factores, considerando el</w:t>
      </w:r>
      <w:r w:rsidRPr="001A01AB">
        <w:rPr>
          <w:rFonts w:ascii="Calibri" w:hAnsi="Calibri" w:cs="Calibri"/>
          <w:lang w:val="es-GT"/>
        </w:rPr>
        <w:t xml:space="preserve"> escenario tendencial que a la fecha se ha evaluado en el país. Los resultados </w:t>
      </w:r>
      <w:r w:rsidR="00C41062">
        <w:rPr>
          <w:rFonts w:ascii="Calibri" w:hAnsi="Calibri" w:cs="Calibri"/>
          <w:lang w:val="es-GT"/>
        </w:rPr>
        <w:t>se presentan a continuación:</w:t>
      </w:r>
    </w:p>
    <w:p w:rsidR="008327B2" w:rsidRPr="001A01AB" w:rsidRDefault="008327B2" w:rsidP="008327B2">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4788"/>
        <w:gridCol w:w="4788"/>
      </w:tblGrid>
      <w:tr w:rsidR="008327B2" w:rsidRPr="000364C9" w:rsidTr="001A01AB">
        <w:trPr>
          <w:jc w:val="center"/>
        </w:trPr>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Fortalezas: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El sector ambiental cuenta con una normativa más amplia</w:t>
            </w:r>
            <w:r w:rsidR="00C41062">
              <w:rPr>
                <w:rFonts w:ascii="Calibri" w:hAnsi="Calibri" w:cs="Calibri"/>
                <w:sz w:val="20"/>
                <w:szCs w:val="22"/>
                <w:lang w:val="es-GT"/>
              </w:rPr>
              <w:t>:</w:t>
            </w:r>
            <w:r w:rsidRPr="001A01AB">
              <w:rPr>
                <w:rFonts w:ascii="Calibri" w:hAnsi="Calibri" w:cs="Calibri"/>
                <w:sz w:val="20"/>
                <w:szCs w:val="22"/>
                <w:lang w:val="es-GT"/>
              </w:rPr>
              <w:t xml:space="preserve"> Ley de Protección y Mejoramiento del Medio Ambiente (Decreto 68-86), Ley de Áreas Protegidas (Dec</w:t>
            </w:r>
            <w:r w:rsidR="00C41062">
              <w:rPr>
                <w:rFonts w:ascii="Calibri" w:hAnsi="Calibri" w:cs="Calibri"/>
                <w:sz w:val="20"/>
                <w:szCs w:val="22"/>
                <w:lang w:val="es-GT"/>
              </w:rPr>
              <w:t>reto 4-89) y</w:t>
            </w:r>
            <w:r w:rsidRPr="001A01AB">
              <w:rPr>
                <w:rFonts w:ascii="Calibri" w:hAnsi="Calibri" w:cs="Calibri"/>
                <w:sz w:val="20"/>
                <w:szCs w:val="22"/>
                <w:lang w:val="es-GT"/>
              </w:rPr>
              <w:t xml:space="preserve"> Ley Forestal (Decreto 101-96).</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De acuerdo con cifras del MINFIN, el gasto social </w:t>
            </w:r>
            <w:r w:rsidR="00C41062">
              <w:rPr>
                <w:rFonts w:ascii="Calibri" w:hAnsi="Calibri" w:cs="Calibri"/>
                <w:sz w:val="20"/>
                <w:szCs w:val="22"/>
                <w:lang w:val="es-GT"/>
              </w:rPr>
              <w:t xml:space="preserve">se </w:t>
            </w:r>
            <w:r w:rsidRPr="001A01AB">
              <w:rPr>
                <w:rFonts w:ascii="Calibri" w:hAnsi="Calibri" w:cs="Calibri"/>
                <w:sz w:val="20"/>
                <w:szCs w:val="22"/>
                <w:lang w:val="es-GT"/>
              </w:rPr>
              <w:t>ha incrementado (términos absolutos) de Q3,067 millones en 1996 a Q14,604 millones en 2007.</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Por ley, el Estado transfiere a los Consejos Departamentales de Desarrollo (CODEDE) un monto equivalente a 1% de lo recaudado por</w:t>
            </w:r>
            <w:r w:rsidR="00C41062">
              <w:rPr>
                <w:rFonts w:ascii="Calibri" w:hAnsi="Calibri" w:cs="Calibri"/>
                <w:sz w:val="20"/>
                <w:szCs w:val="22"/>
                <w:lang w:val="es-GT"/>
              </w:rPr>
              <w:t xml:space="preserve"> concepto de la tasa única del Impuesto al Valor A</w:t>
            </w:r>
            <w:r w:rsidRPr="001A01AB">
              <w:rPr>
                <w:rFonts w:ascii="Calibri" w:hAnsi="Calibri" w:cs="Calibri"/>
                <w:sz w:val="20"/>
                <w:szCs w:val="22"/>
                <w:lang w:val="es-GT"/>
              </w:rPr>
              <w:t>gregado.</w:t>
            </w:r>
          </w:p>
          <w:p w:rsidR="008327B2" w:rsidRPr="001A01AB" w:rsidRDefault="00C4106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El P</w:t>
            </w:r>
            <w:r w:rsidR="008327B2" w:rsidRPr="001A01AB">
              <w:rPr>
                <w:rFonts w:ascii="Calibri" w:hAnsi="Calibri" w:cs="Calibri"/>
                <w:sz w:val="20"/>
                <w:szCs w:val="22"/>
                <w:lang w:val="es-GT"/>
              </w:rPr>
              <w:t>rograma de Incentivos Forestales para Poseedores de Pequeñas Extensiones de Tierra de Vocación Forestal o Agroforestal (P</w:t>
            </w:r>
            <w:r>
              <w:rPr>
                <w:rFonts w:ascii="Calibri" w:hAnsi="Calibri" w:cs="Calibri"/>
                <w:sz w:val="20"/>
                <w:szCs w:val="22"/>
                <w:lang w:val="es-GT"/>
              </w:rPr>
              <w:t>INPEP) se encuentra</w:t>
            </w:r>
            <w:r w:rsidRPr="001A01AB">
              <w:rPr>
                <w:rFonts w:ascii="Calibri" w:hAnsi="Calibri" w:cs="Calibri"/>
                <w:sz w:val="20"/>
                <w:szCs w:val="22"/>
                <w:lang w:val="es-GT"/>
              </w:rPr>
              <w:t xml:space="preserve"> </w:t>
            </w:r>
            <w:r>
              <w:rPr>
                <w:rFonts w:ascii="Calibri" w:hAnsi="Calibri" w:cs="Calibri"/>
                <w:sz w:val="20"/>
                <w:szCs w:val="22"/>
                <w:lang w:val="es-GT"/>
              </w:rPr>
              <w:t>e</w:t>
            </w:r>
            <w:r w:rsidRPr="001A01AB">
              <w:rPr>
                <w:rFonts w:ascii="Calibri" w:hAnsi="Calibri" w:cs="Calibri"/>
                <w:sz w:val="20"/>
                <w:szCs w:val="22"/>
                <w:lang w:val="es-GT"/>
              </w:rPr>
              <w:t>n operación</w:t>
            </w:r>
            <w:r>
              <w:rPr>
                <w:rFonts w:ascii="Calibri" w:hAnsi="Calibri" w:cs="Calibri"/>
                <w:sz w:val="20"/>
                <w:szCs w:val="22"/>
                <w:lang w:val="es-GT"/>
              </w:rPr>
              <w:t>.</w:t>
            </w:r>
          </w:p>
          <w:p w:rsidR="008327B2" w:rsidRPr="001A01AB" w:rsidRDefault="00C4106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0"/>
                <w:lang w:val="es-GT"/>
              </w:rPr>
            </w:pPr>
            <w:r>
              <w:rPr>
                <w:rFonts w:ascii="Calibri" w:hAnsi="Calibri" w:cs="Calibri"/>
                <w:sz w:val="20"/>
                <w:szCs w:val="22"/>
                <w:lang w:val="es-GT"/>
              </w:rPr>
              <w:t>Durante</w:t>
            </w:r>
            <w:r w:rsidR="008327B2" w:rsidRPr="001A01AB">
              <w:rPr>
                <w:rFonts w:ascii="Calibri" w:hAnsi="Calibri" w:cs="Calibri"/>
                <w:sz w:val="20"/>
                <w:szCs w:val="22"/>
                <w:lang w:val="es-GT"/>
              </w:rPr>
              <w:t xml:space="preserve"> el periodo 1998-2010, las plantaciones incentivadas por el INAB registraron un crecimien</w:t>
            </w:r>
            <w:r>
              <w:rPr>
                <w:rFonts w:ascii="Calibri" w:hAnsi="Calibri" w:cs="Calibri"/>
                <w:sz w:val="20"/>
                <w:szCs w:val="22"/>
                <w:lang w:val="es-GT"/>
              </w:rPr>
              <w:t>to promedio de 7,520 ha por año</w:t>
            </w:r>
            <w:r w:rsidR="008327B2" w:rsidRPr="001A01AB">
              <w:rPr>
                <w:rFonts w:ascii="Calibri" w:hAnsi="Calibri" w:cs="Calibri"/>
                <w:sz w:val="20"/>
                <w:szCs w:val="22"/>
                <w:lang w:val="es-GT"/>
              </w:rPr>
              <w:t xml:space="preserve"> como resultado de una política pública de largo plazo</w:t>
            </w:r>
            <w:r>
              <w:rPr>
                <w:rFonts w:ascii="Calibri" w:hAnsi="Calibri" w:cs="Calibri"/>
                <w:sz w:val="20"/>
                <w:szCs w:val="22"/>
                <w:lang w:val="es-GT"/>
              </w:rPr>
              <w:t>.</w:t>
            </w:r>
          </w:p>
        </w:tc>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Oportunidades: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Constitución Política de la República de Guatemala </w:t>
            </w:r>
            <w:r w:rsidR="00291ACD">
              <w:rPr>
                <w:rFonts w:ascii="Calibri" w:hAnsi="Calibri" w:cs="Calibri"/>
                <w:sz w:val="20"/>
                <w:szCs w:val="22"/>
                <w:lang w:val="es-GT"/>
              </w:rPr>
              <w:t>enfatiza la protección de</w:t>
            </w:r>
            <w:r w:rsidRPr="001A01AB">
              <w:rPr>
                <w:rFonts w:ascii="Calibri" w:hAnsi="Calibri" w:cs="Calibri"/>
                <w:sz w:val="20"/>
                <w:szCs w:val="22"/>
                <w:lang w:val="es-GT"/>
              </w:rPr>
              <w:t xml:space="preserve"> la persona humana, indicando que el Estado se organiza para proteger a la persona y a la familia</w:t>
            </w:r>
            <w:r w:rsidR="00291ACD">
              <w:rPr>
                <w:rFonts w:ascii="Calibri" w:hAnsi="Calibri" w:cs="Calibri"/>
                <w:sz w:val="20"/>
                <w:szCs w:val="22"/>
                <w:lang w:val="es-GT"/>
              </w:rPr>
              <w:t>,</w:t>
            </w:r>
            <w:r w:rsidRPr="001A01AB">
              <w:rPr>
                <w:rFonts w:ascii="Calibri" w:hAnsi="Calibri" w:cs="Calibri"/>
                <w:sz w:val="20"/>
                <w:szCs w:val="22"/>
                <w:lang w:val="es-GT"/>
              </w:rPr>
              <w:t xml:space="preserve"> y su fin supremo es la realización del bien común.</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Se establece el concepto de bienes de dominio público </w:t>
            </w:r>
            <w:r w:rsidR="00291ACD">
              <w:rPr>
                <w:rFonts w:ascii="Calibri" w:hAnsi="Calibri" w:cs="Calibri"/>
                <w:sz w:val="20"/>
                <w:szCs w:val="22"/>
                <w:lang w:val="es-GT"/>
              </w:rPr>
              <w:t>a</w:t>
            </w:r>
            <w:r w:rsidRPr="001A01AB">
              <w:rPr>
                <w:rFonts w:ascii="Calibri" w:hAnsi="Calibri" w:cs="Calibri"/>
                <w:sz w:val="20"/>
                <w:szCs w:val="22"/>
                <w:lang w:val="es-GT"/>
              </w:rPr>
              <w:t xml:space="preserve"> algunos recursos, descargando en el Estado el ejercicio de su salvaguarda, en función de la naturaleza social de </w:t>
            </w:r>
            <w:r w:rsidR="00291ACD">
              <w:rPr>
                <w:rFonts w:ascii="Calibri" w:hAnsi="Calibri" w:cs="Calibri"/>
                <w:sz w:val="20"/>
                <w:szCs w:val="22"/>
                <w:lang w:val="es-GT"/>
              </w:rPr>
              <w:t>los mismos</w:t>
            </w:r>
            <w:r w:rsidRPr="001A01AB">
              <w:rPr>
                <w:rFonts w:ascii="Calibri" w:hAnsi="Calibri" w:cs="Calibri"/>
                <w:sz w:val="20"/>
                <w:szCs w:val="22"/>
                <w:lang w:val="es-GT"/>
              </w:rPr>
              <w:t>.</w:t>
            </w:r>
          </w:p>
          <w:p w:rsidR="008327B2" w:rsidRPr="001A01AB" w:rsidRDefault="00291ACD"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A través de</w:t>
            </w:r>
            <w:r w:rsidR="008327B2" w:rsidRPr="001A01AB">
              <w:rPr>
                <w:rFonts w:ascii="Calibri" w:hAnsi="Calibri" w:cs="Calibri"/>
                <w:sz w:val="20"/>
                <w:szCs w:val="22"/>
                <w:lang w:val="es-GT"/>
              </w:rPr>
              <w:t xml:space="preserve">l Tratado de Libre Comercio entre </w:t>
            </w:r>
            <w:r>
              <w:rPr>
                <w:rFonts w:ascii="Calibri" w:hAnsi="Calibri" w:cs="Calibri"/>
                <w:sz w:val="20"/>
                <w:szCs w:val="22"/>
                <w:lang w:val="es-GT"/>
              </w:rPr>
              <w:t>Centroamérica</w:t>
            </w:r>
            <w:r w:rsidR="008327B2" w:rsidRPr="001A01AB">
              <w:rPr>
                <w:rFonts w:ascii="Calibri" w:hAnsi="Calibri" w:cs="Calibri"/>
                <w:sz w:val="20"/>
                <w:szCs w:val="22"/>
                <w:lang w:val="es-GT"/>
              </w:rPr>
              <w:t>, República Dominicana y Estados Unidos (DR-CAFTA), los países acordaron asegurar que sus leyes y políticas provean y estimulen altos niveles de protección ambiental.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Guatemala cuenta con una amplia disponibilidad promedio anual de agua (97,120 millones de m</w:t>
            </w:r>
            <w:r w:rsidRPr="00291ACD">
              <w:rPr>
                <w:rFonts w:ascii="Calibri" w:hAnsi="Calibri" w:cs="Calibri"/>
                <w:sz w:val="20"/>
                <w:szCs w:val="22"/>
                <w:vertAlign w:val="superscript"/>
                <w:lang w:val="es-GT"/>
              </w:rPr>
              <w:t>3</w:t>
            </w:r>
            <w:r w:rsidRPr="001A01AB">
              <w:rPr>
                <w:rFonts w:ascii="Calibri" w:hAnsi="Calibri" w:cs="Calibri"/>
                <w:sz w:val="20"/>
                <w:szCs w:val="22"/>
                <w:lang w:val="es-GT"/>
              </w:rPr>
              <w:t>, entre aguas superficiales y subterráneas)</w:t>
            </w:r>
            <w:r w:rsidR="00291ACD">
              <w:rPr>
                <w:rFonts w:ascii="Calibri" w:hAnsi="Calibri" w:cs="Calibri"/>
                <w:sz w:val="20"/>
                <w:szCs w:val="22"/>
                <w:lang w:val="es-GT"/>
              </w:rPr>
              <w:t>,</w:t>
            </w:r>
            <w:r w:rsidRPr="001A01AB">
              <w:rPr>
                <w:rFonts w:ascii="Calibri" w:hAnsi="Calibri" w:cs="Calibri"/>
                <w:sz w:val="20"/>
                <w:szCs w:val="22"/>
                <w:lang w:val="es-GT"/>
              </w:rPr>
              <w:t xml:space="preserve"> que supera abundantemente la demanda actual.</w:t>
            </w:r>
          </w:p>
        </w:tc>
      </w:tr>
      <w:tr w:rsidR="008327B2" w:rsidRPr="000364C9" w:rsidTr="001A01AB">
        <w:trPr>
          <w:jc w:val="center"/>
        </w:trPr>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t>Debilidades: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Existe poca legislación que oriente la actividad productiva agropecuaria en el país, contándose únicamente con la Ley de Sanidad Animal y Vegetal (Decreto 36-98). Las mayores orientaciones devienen del marco de funcionamiento del MAGA.</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políticas de Estado relacionadas con el sector agropecuario y ambiental, se basan en el derecho a la propiedad privada y al libre uso de la misma.</w:t>
            </w:r>
          </w:p>
          <w:p w:rsidR="008327B2" w:rsidRPr="001A01AB" w:rsidRDefault="008327B2" w:rsidP="001A01AB">
            <w:pPr>
              <w:numPr>
                <w:ilvl w:val="0"/>
                <w:numId w:val="27"/>
              </w:numPr>
              <w:tabs>
                <w:tab w:val="clear" w:pos="720"/>
                <w:tab w:val="num" w:pos="252"/>
                <w:tab w:val="num" w:pos="360"/>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Los flujos de financiamiento de las instituciones a la naturaleza son limitados, lo que explica las relaciones no sostenibles.</w:t>
            </w:r>
          </w:p>
          <w:p w:rsidR="008327B2" w:rsidRPr="001A01AB" w:rsidRDefault="004300B8" w:rsidP="001A01AB">
            <w:pPr>
              <w:numPr>
                <w:ilvl w:val="0"/>
                <w:numId w:val="27"/>
              </w:numPr>
              <w:tabs>
                <w:tab w:val="clear" w:pos="720"/>
                <w:tab w:val="num" w:pos="252"/>
                <w:tab w:val="num" w:pos="360"/>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S</w:t>
            </w:r>
            <w:r w:rsidR="008327B2" w:rsidRPr="001A01AB">
              <w:rPr>
                <w:rFonts w:ascii="Calibri" w:hAnsi="Calibri" w:cs="Calibri"/>
                <w:sz w:val="20"/>
                <w:szCs w:val="22"/>
                <w:lang w:val="es-GT"/>
              </w:rPr>
              <w:t>e evidencia que la dinámica de la inversión pública destinada al desarrollo y dinamización del sector ambiental, es insuficiente a las necesidades del país</w:t>
            </w:r>
            <w:r>
              <w:rPr>
                <w:rFonts w:ascii="Calibri" w:hAnsi="Calibri" w:cs="Calibri"/>
                <w:sz w:val="20"/>
                <w:szCs w:val="22"/>
                <w:lang w:val="es-GT"/>
              </w:rPr>
              <w:t>.</w:t>
            </w:r>
          </w:p>
          <w:p w:rsidR="008327B2" w:rsidRPr="001A01AB" w:rsidRDefault="008327B2" w:rsidP="001A01AB">
            <w:pPr>
              <w:numPr>
                <w:ilvl w:val="0"/>
                <w:numId w:val="27"/>
              </w:numPr>
              <w:tabs>
                <w:tab w:val="clear" w:pos="720"/>
                <w:tab w:val="num" w:pos="252"/>
                <w:tab w:val="num" w:pos="360"/>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Satisfacer los requerimientos de leña del 95.3% de la población rural, debería considerarse como una alternativa innovadora para atender este tema, invisible en las políticas públicas sectoriales.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La falta de legislación </w:t>
            </w:r>
            <w:r w:rsidR="004300B8">
              <w:rPr>
                <w:rFonts w:ascii="Calibri" w:hAnsi="Calibri" w:cs="Calibri"/>
                <w:sz w:val="20"/>
                <w:szCs w:val="22"/>
                <w:lang w:val="es-GT"/>
              </w:rPr>
              <w:t>respecto</w:t>
            </w:r>
            <w:r w:rsidRPr="001A01AB">
              <w:rPr>
                <w:rFonts w:ascii="Calibri" w:hAnsi="Calibri" w:cs="Calibri"/>
                <w:sz w:val="20"/>
                <w:szCs w:val="22"/>
                <w:lang w:val="es-GT"/>
              </w:rPr>
              <w:t xml:space="preserve"> </w:t>
            </w:r>
            <w:r w:rsidR="004300B8">
              <w:rPr>
                <w:rFonts w:ascii="Calibri" w:hAnsi="Calibri" w:cs="Calibri"/>
                <w:sz w:val="20"/>
                <w:szCs w:val="22"/>
                <w:lang w:val="es-GT"/>
              </w:rPr>
              <w:t>a</w:t>
            </w:r>
            <w:r w:rsidRPr="001A01AB">
              <w:rPr>
                <w:rFonts w:ascii="Calibri" w:hAnsi="Calibri" w:cs="Calibri"/>
                <w:sz w:val="20"/>
                <w:szCs w:val="22"/>
                <w:lang w:val="es-GT"/>
              </w:rPr>
              <w:t xml:space="preserve">l uso del agua muestra que </w:t>
            </w:r>
            <w:r w:rsidR="004300B8">
              <w:rPr>
                <w:rFonts w:ascii="Calibri" w:hAnsi="Calibri" w:cs="Calibri"/>
                <w:sz w:val="20"/>
                <w:szCs w:val="22"/>
                <w:lang w:val="es-GT"/>
              </w:rPr>
              <w:t>en 2010 se utilizaron</w:t>
            </w:r>
            <w:r w:rsidRPr="001A01AB">
              <w:rPr>
                <w:rFonts w:ascii="Calibri" w:hAnsi="Calibri" w:cs="Calibri"/>
                <w:sz w:val="20"/>
                <w:szCs w:val="22"/>
                <w:lang w:val="es-GT"/>
              </w:rPr>
              <w:t xml:space="preserve"> 20,374 millones </w:t>
            </w:r>
            <w:r w:rsidRPr="001A01AB">
              <w:rPr>
                <w:rFonts w:ascii="Calibri" w:hAnsi="Calibri" w:cs="Calibri"/>
                <w:sz w:val="20"/>
                <w:szCs w:val="22"/>
                <w:lang w:val="es-GT"/>
              </w:rPr>
              <w:lastRenderedPageBreak/>
              <w:t>de m</w:t>
            </w:r>
            <w:r w:rsidRPr="004300B8">
              <w:rPr>
                <w:rFonts w:ascii="Calibri" w:hAnsi="Calibri" w:cs="Calibri"/>
                <w:sz w:val="20"/>
                <w:szCs w:val="22"/>
                <w:vertAlign w:val="superscript"/>
                <w:lang w:val="es-GT"/>
              </w:rPr>
              <w:t>3</w:t>
            </w:r>
            <w:r w:rsidR="00E53329">
              <w:rPr>
                <w:rFonts w:ascii="Calibri" w:hAnsi="Calibri" w:cs="Calibri"/>
                <w:sz w:val="20"/>
                <w:szCs w:val="22"/>
                <w:lang w:val="es-GT"/>
              </w:rPr>
              <w:t xml:space="preserve">, </w:t>
            </w:r>
            <w:r w:rsidRPr="001A01AB">
              <w:rPr>
                <w:rFonts w:ascii="Calibri" w:hAnsi="Calibri" w:cs="Calibri"/>
                <w:sz w:val="20"/>
                <w:szCs w:val="22"/>
                <w:lang w:val="es-GT"/>
              </w:rPr>
              <w:t xml:space="preserve">sin regulaciones ambientales.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Por falta de normas y regulaciones claras, al menos 14 ríos principales y cuatro lagos presentan altos niveles de contaminación.</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autoridades creadas para el manejo sustentable y protección de los cuatro lagos más importantes del país (Atitlán, Amatitlán, Izabal-Río Dulce y Petén Itzá) tienen pocas capacidades para revertir los altos niveles de contaminación.</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debilidad institucional en el ordenamiento del territorio ha permitido un alto sobreuso de tierras.</w:t>
            </w:r>
          </w:p>
          <w:p w:rsidR="008327B2" w:rsidRPr="001A01AB" w:rsidRDefault="00291ACD"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Pr>
                <w:rFonts w:ascii="Calibri" w:hAnsi="Calibri" w:cs="Calibri"/>
                <w:sz w:val="20"/>
                <w:szCs w:val="22"/>
                <w:lang w:val="es-GT"/>
              </w:rPr>
              <w:t>La debilidad de</w:t>
            </w:r>
            <w:r w:rsidR="008327B2" w:rsidRPr="001A01AB">
              <w:rPr>
                <w:rFonts w:ascii="Calibri" w:hAnsi="Calibri" w:cs="Calibri"/>
                <w:sz w:val="20"/>
                <w:szCs w:val="22"/>
                <w:lang w:val="es-GT"/>
              </w:rPr>
              <w:t xml:space="preserve"> las políticas públicas legítimas ha provocado la falta de acceso a los medios de producción</w:t>
            </w:r>
            <w:r>
              <w:rPr>
                <w:rFonts w:ascii="Calibri" w:hAnsi="Calibri" w:cs="Calibri"/>
                <w:sz w:val="20"/>
                <w:szCs w:val="22"/>
                <w:lang w:val="es-GT"/>
              </w:rPr>
              <w:t xml:space="preserve"> y a</w:t>
            </w:r>
            <w:r w:rsidR="008327B2" w:rsidRPr="001A01AB">
              <w:rPr>
                <w:rFonts w:ascii="Calibri" w:hAnsi="Calibri" w:cs="Calibri"/>
                <w:sz w:val="20"/>
                <w:szCs w:val="22"/>
                <w:lang w:val="es-GT"/>
              </w:rPr>
              <w:t xml:space="preserve"> </w:t>
            </w:r>
            <w:r>
              <w:rPr>
                <w:rFonts w:ascii="Calibri" w:hAnsi="Calibri" w:cs="Calibri"/>
                <w:sz w:val="20"/>
                <w:szCs w:val="22"/>
                <w:lang w:val="es-GT"/>
              </w:rPr>
              <w:t>la</w:t>
            </w:r>
            <w:r w:rsidR="008327B2" w:rsidRPr="001A01AB">
              <w:rPr>
                <w:rFonts w:ascii="Calibri" w:hAnsi="Calibri" w:cs="Calibri"/>
                <w:sz w:val="20"/>
                <w:szCs w:val="22"/>
                <w:lang w:val="es-GT"/>
              </w:rPr>
              <w:t xml:space="preserve"> certeza jurídica sobre la tenencia y propiedad de la </w:t>
            </w:r>
            <w:r>
              <w:rPr>
                <w:rFonts w:ascii="Calibri" w:hAnsi="Calibri" w:cs="Calibri"/>
                <w:sz w:val="20"/>
                <w:szCs w:val="22"/>
                <w:lang w:val="es-GT"/>
              </w:rPr>
              <w:t>tierra</w:t>
            </w:r>
            <w:r w:rsidR="008327B2" w:rsidRPr="001A01AB">
              <w:rPr>
                <w:rFonts w:ascii="Calibri" w:hAnsi="Calibri" w:cs="Calibri"/>
                <w:sz w:val="20"/>
                <w:szCs w:val="22"/>
                <w:lang w:val="es-GT"/>
              </w:rPr>
              <w:t>.</w:t>
            </w:r>
          </w:p>
          <w:p w:rsidR="008327B2" w:rsidRPr="001A01AB" w:rsidRDefault="008327B2" w:rsidP="00291ACD">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 xml:space="preserve">Por falta de una institucionalidad en el tema </w:t>
            </w:r>
            <w:r w:rsidR="00291ACD">
              <w:rPr>
                <w:rFonts w:ascii="Calibri" w:hAnsi="Calibri" w:cs="Calibri"/>
                <w:sz w:val="20"/>
                <w:szCs w:val="22"/>
                <w:lang w:val="es-GT"/>
              </w:rPr>
              <w:t xml:space="preserve">de </w:t>
            </w:r>
            <w:r w:rsidRPr="001A01AB">
              <w:rPr>
                <w:rFonts w:ascii="Calibri" w:hAnsi="Calibri" w:cs="Calibri"/>
                <w:sz w:val="20"/>
                <w:szCs w:val="22"/>
                <w:lang w:val="es-GT"/>
              </w:rPr>
              <w:t>agua</w:t>
            </w:r>
            <w:r w:rsidR="00291ACD">
              <w:rPr>
                <w:rFonts w:ascii="Calibri" w:hAnsi="Calibri" w:cs="Calibri"/>
                <w:sz w:val="20"/>
                <w:szCs w:val="22"/>
                <w:lang w:val="es-GT"/>
              </w:rPr>
              <w:t>,</w:t>
            </w:r>
            <w:r w:rsidRPr="001A01AB">
              <w:rPr>
                <w:rFonts w:ascii="Calibri" w:hAnsi="Calibri" w:cs="Calibri"/>
                <w:sz w:val="20"/>
                <w:szCs w:val="22"/>
                <w:lang w:val="es-GT"/>
              </w:rPr>
              <w:t xml:space="preserve"> </w:t>
            </w:r>
            <w:r w:rsidR="00291ACD">
              <w:rPr>
                <w:rFonts w:ascii="Calibri" w:hAnsi="Calibri" w:cs="Calibri"/>
                <w:sz w:val="20"/>
                <w:szCs w:val="22"/>
                <w:lang w:val="es-GT"/>
              </w:rPr>
              <w:t>existe</w:t>
            </w:r>
            <w:r w:rsidRPr="001A01AB">
              <w:rPr>
                <w:rFonts w:ascii="Calibri" w:hAnsi="Calibri" w:cs="Calibri"/>
                <w:sz w:val="20"/>
                <w:szCs w:val="22"/>
                <w:lang w:val="es-GT"/>
              </w:rPr>
              <w:t xml:space="preserve"> déficit </w:t>
            </w:r>
            <w:r w:rsidR="00291ACD">
              <w:rPr>
                <w:rFonts w:ascii="Calibri" w:hAnsi="Calibri" w:cs="Calibri"/>
                <w:sz w:val="20"/>
                <w:szCs w:val="22"/>
                <w:lang w:val="es-GT"/>
              </w:rPr>
              <w:t>para</w:t>
            </w:r>
            <w:r w:rsidRPr="001A01AB">
              <w:rPr>
                <w:rFonts w:ascii="Calibri" w:hAnsi="Calibri" w:cs="Calibri"/>
                <w:sz w:val="20"/>
                <w:szCs w:val="22"/>
                <w:lang w:val="es-GT"/>
              </w:rPr>
              <w:t xml:space="preserve"> el fomento </w:t>
            </w:r>
            <w:r w:rsidR="00291ACD">
              <w:rPr>
                <w:rFonts w:ascii="Calibri" w:hAnsi="Calibri" w:cs="Calibri"/>
                <w:sz w:val="20"/>
                <w:szCs w:val="22"/>
                <w:lang w:val="es-GT"/>
              </w:rPr>
              <w:t>de</w:t>
            </w:r>
            <w:r w:rsidRPr="001A01AB">
              <w:rPr>
                <w:rFonts w:ascii="Calibri" w:hAnsi="Calibri" w:cs="Calibri"/>
                <w:sz w:val="20"/>
                <w:szCs w:val="22"/>
                <w:lang w:val="es-GT"/>
              </w:rPr>
              <w:t xml:space="preserve"> sistemas de riego rural que mejore</w:t>
            </w:r>
            <w:r w:rsidR="00291ACD">
              <w:rPr>
                <w:rFonts w:ascii="Calibri" w:hAnsi="Calibri" w:cs="Calibri"/>
                <w:sz w:val="20"/>
                <w:szCs w:val="22"/>
                <w:lang w:val="es-GT"/>
              </w:rPr>
              <w:t>n</w:t>
            </w:r>
            <w:r w:rsidRPr="001A01AB">
              <w:rPr>
                <w:rFonts w:ascii="Calibri" w:hAnsi="Calibri" w:cs="Calibri"/>
                <w:sz w:val="20"/>
                <w:szCs w:val="22"/>
                <w:lang w:val="es-GT"/>
              </w:rPr>
              <w:t xml:space="preserve"> las condiciones </w:t>
            </w:r>
            <w:r w:rsidR="00291ACD">
              <w:rPr>
                <w:rFonts w:ascii="Calibri" w:hAnsi="Calibri" w:cs="Calibri"/>
                <w:sz w:val="20"/>
                <w:szCs w:val="22"/>
                <w:lang w:val="es-GT"/>
              </w:rPr>
              <w:t>de</w:t>
            </w:r>
            <w:r w:rsidRPr="001A01AB">
              <w:rPr>
                <w:rFonts w:ascii="Calibri" w:hAnsi="Calibri" w:cs="Calibri"/>
                <w:sz w:val="20"/>
                <w:szCs w:val="22"/>
                <w:lang w:val="es-GT"/>
              </w:rPr>
              <w:t xml:space="preserve"> los campesinos.</w:t>
            </w:r>
          </w:p>
        </w:tc>
        <w:tc>
          <w:tcPr>
            <w:tcW w:w="4788" w:type="dxa"/>
            <w:shd w:val="clear" w:color="auto" w:fill="auto"/>
          </w:tcPr>
          <w:p w:rsidR="008327B2" w:rsidRPr="001A01AB" w:rsidRDefault="008327B2" w:rsidP="001A01AB">
            <w:pPr>
              <w:autoSpaceDE w:val="0"/>
              <w:autoSpaceDN w:val="0"/>
              <w:adjustRightInd w:val="0"/>
              <w:spacing w:before="40" w:after="40"/>
              <w:jc w:val="both"/>
              <w:rPr>
                <w:rFonts w:ascii="Calibri" w:hAnsi="Calibri" w:cs="Calibri"/>
                <w:b/>
                <w:color w:val="365F91"/>
                <w:sz w:val="20"/>
                <w:szCs w:val="22"/>
                <w:lang w:val="es-GT"/>
              </w:rPr>
            </w:pPr>
            <w:r w:rsidRPr="001A01AB">
              <w:rPr>
                <w:rFonts w:ascii="Calibri" w:hAnsi="Calibri" w:cs="Calibri"/>
                <w:b/>
                <w:color w:val="365F91"/>
                <w:sz w:val="20"/>
                <w:szCs w:val="22"/>
                <w:lang w:val="es-GT"/>
              </w:rPr>
              <w:lastRenderedPageBreak/>
              <w:t>Amenazas:</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políticas ambientales públicas no han buscado detener el creciente deterioro ambiental, son instrumentos diseñados para salvaguardar el sistema productivo, basado en el crecimiento económico.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Conflictos derivados de la falta de acceso a fuentes seguras de agua potable, principalmente en el área rural, donde el 24.73% de los hogares no posee servicio de agua potable</w:t>
            </w:r>
            <w:r w:rsidR="00291ACD" w:rsidRPr="001A01AB">
              <w:rPr>
                <w:rFonts w:ascii="Calibri" w:hAnsi="Calibri" w:cs="Calibri"/>
                <w:sz w:val="20"/>
                <w:szCs w:val="22"/>
                <w:lang w:val="es-GT"/>
              </w:rPr>
              <w:t xml:space="preserve"> al año 2011</w:t>
            </w:r>
            <w:r w:rsidRPr="001A01AB">
              <w:rPr>
                <w:rFonts w:ascii="Calibri" w:hAnsi="Calibri" w:cs="Calibri"/>
                <w:sz w:val="20"/>
                <w:szCs w:val="22"/>
                <w:lang w:val="es-GT"/>
              </w:rPr>
              <w:t>.</w:t>
            </w:r>
            <w:r w:rsidR="00291ACD">
              <w:rPr>
                <w:rFonts w:ascii="Calibri" w:hAnsi="Calibri" w:cs="Calibri"/>
                <w:sz w:val="20"/>
                <w:szCs w:val="22"/>
                <w:lang w:val="es-GT"/>
              </w:rPr>
              <w:t xml:space="preserve"> </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falta de una ley de aguas para Guatemala fomentará la ingobernabilidad y conflictividad por el uso del recurso.</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Erosión potencial de 48 millones de toneladas de suelo al año debido al sobreuso del suelo (24%).</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Las políticas generadas en el tema ambiental generan falsas expectativas y pocas veces son implementadas con instrumentos técnicos de gestión ambiental.</w:t>
            </w:r>
          </w:p>
          <w:p w:rsidR="008327B2" w:rsidRPr="001A01AB" w:rsidRDefault="008327B2" w:rsidP="001A01AB">
            <w:pPr>
              <w:numPr>
                <w:ilvl w:val="0"/>
                <w:numId w:val="27"/>
              </w:numPr>
              <w:tabs>
                <w:tab w:val="clear" w:pos="720"/>
                <w:tab w:val="num" w:pos="252"/>
              </w:tabs>
              <w:autoSpaceDE w:val="0"/>
              <w:autoSpaceDN w:val="0"/>
              <w:adjustRightInd w:val="0"/>
              <w:spacing w:before="40" w:after="40"/>
              <w:ind w:left="252" w:hanging="252"/>
              <w:jc w:val="both"/>
              <w:rPr>
                <w:rFonts w:ascii="Calibri" w:hAnsi="Calibri" w:cs="Calibri"/>
                <w:sz w:val="20"/>
                <w:szCs w:val="22"/>
                <w:lang w:val="es-GT"/>
              </w:rPr>
            </w:pPr>
            <w:r w:rsidRPr="001A01AB">
              <w:rPr>
                <w:rFonts w:ascii="Calibri" w:hAnsi="Calibri" w:cs="Calibri"/>
                <w:sz w:val="20"/>
                <w:szCs w:val="22"/>
                <w:lang w:val="es-GT"/>
              </w:rPr>
              <w:t>La ausencia de autonomía institucional pone en riesgo el desarrollo rural de Guatemala.</w:t>
            </w:r>
          </w:p>
        </w:tc>
      </w:tr>
    </w:tbl>
    <w:p w:rsidR="008327B2" w:rsidRPr="001A01AB" w:rsidRDefault="008327B2" w:rsidP="008327B2">
      <w:pPr>
        <w:jc w:val="both"/>
        <w:rPr>
          <w:rFonts w:ascii="Calibri" w:hAnsi="Calibri" w:cs="Calibri"/>
          <w:lang w:val="es-GT"/>
        </w:rPr>
      </w:pP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BE5F1"/>
        <w:tblLook w:val="01E0" w:firstRow="1" w:lastRow="1" w:firstColumn="1" w:lastColumn="1" w:noHBand="0" w:noVBand="0"/>
      </w:tblPr>
      <w:tblGrid>
        <w:gridCol w:w="9576"/>
      </w:tblGrid>
      <w:tr w:rsidR="008327B2" w:rsidRPr="000364C9" w:rsidTr="001A01AB">
        <w:trPr>
          <w:jc w:val="center"/>
        </w:trPr>
        <w:tc>
          <w:tcPr>
            <w:tcW w:w="9576" w:type="dxa"/>
            <w:shd w:val="clear" w:color="auto" w:fill="auto"/>
          </w:tcPr>
          <w:p w:rsidR="008327B2" w:rsidRPr="001A01AB" w:rsidRDefault="008327B2" w:rsidP="001A01AB">
            <w:pPr>
              <w:autoSpaceDE w:val="0"/>
              <w:autoSpaceDN w:val="0"/>
              <w:adjustRightInd w:val="0"/>
              <w:spacing w:after="60"/>
              <w:jc w:val="both"/>
              <w:rPr>
                <w:rFonts w:ascii="Calibri" w:hAnsi="Calibri" w:cs="Calibri"/>
                <w:b/>
                <w:color w:val="365F91"/>
                <w:sz w:val="22"/>
                <w:szCs w:val="22"/>
                <w:lang w:val="es-GT"/>
              </w:rPr>
            </w:pPr>
            <w:r w:rsidRPr="001A01AB">
              <w:rPr>
                <w:rFonts w:ascii="Calibri" w:hAnsi="Calibri" w:cs="Calibri"/>
                <w:b/>
                <w:color w:val="365F91"/>
                <w:sz w:val="22"/>
                <w:szCs w:val="22"/>
                <w:lang w:val="es-GT"/>
              </w:rPr>
              <w:t>Tendencias (basadas en un escenario de tipo tendencial)</w:t>
            </w:r>
          </w:p>
          <w:p w:rsidR="008327B2" w:rsidRPr="001A01AB" w:rsidRDefault="00291ACD" w:rsidP="00760D64">
            <w:pPr>
              <w:pStyle w:val="Prrafodelista"/>
              <w:numPr>
                <w:ilvl w:val="0"/>
                <w:numId w:val="28"/>
              </w:numPr>
              <w:autoSpaceDE w:val="0"/>
              <w:autoSpaceDN w:val="0"/>
              <w:adjustRightInd w:val="0"/>
              <w:spacing w:after="60" w:line="240" w:lineRule="auto"/>
              <w:ind w:left="284" w:hanging="284"/>
              <w:jc w:val="both"/>
              <w:rPr>
                <w:rFonts w:cs="Calibri"/>
              </w:rPr>
            </w:pPr>
            <w:r>
              <w:rPr>
                <w:rFonts w:cs="Calibri"/>
              </w:rPr>
              <w:t>A</w:t>
            </w:r>
            <w:r w:rsidR="008327B2" w:rsidRPr="001A01AB">
              <w:rPr>
                <w:rFonts w:cs="Calibri"/>
              </w:rPr>
              <w:t>larmante tendencia creciente de la tasa de deforestación anual.</w:t>
            </w:r>
          </w:p>
          <w:p w:rsidR="008327B2" w:rsidRPr="001A01AB" w:rsidRDefault="008327B2" w:rsidP="00760D64">
            <w:pPr>
              <w:pStyle w:val="Prrafodelista"/>
              <w:numPr>
                <w:ilvl w:val="0"/>
                <w:numId w:val="28"/>
              </w:numPr>
              <w:autoSpaceDE w:val="0"/>
              <w:autoSpaceDN w:val="0"/>
              <w:adjustRightInd w:val="0"/>
              <w:spacing w:after="60" w:line="240" w:lineRule="auto"/>
              <w:ind w:left="284" w:hanging="284"/>
              <w:jc w:val="both"/>
              <w:rPr>
                <w:rFonts w:cs="Calibri"/>
              </w:rPr>
            </w:pPr>
            <w:r w:rsidRPr="001A01AB">
              <w:rPr>
                <w:rFonts w:cs="Calibri"/>
              </w:rPr>
              <w:t xml:space="preserve">La regeneración natural de bosques se ha mantenido como un factor importante </w:t>
            </w:r>
            <w:r w:rsidR="00291ACD">
              <w:rPr>
                <w:rFonts w:cs="Calibri"/>
              </w:rPr>
              <w:t>en</w:t>
            </w:r>
            <w:r w:rsidRPr="001A01AB">
              <w:rPr>
                <w:rFonts w:cs="Calibri"/>
              </w:rPr>
              <w:t xml:space="preserve"> la recuperación de la cobertura forestal, pero esta tendencia no se considera permanente al no estar soportada por una política institucional. </w:t>
            </w:r>
          </w:p>
          <w:p w:rsidR="008327B2" w:rsidRPr="001A01AB" w:rsidRDefault="008327B2" w:rsidP="00760D64">
            <w:pPr>
              <w:pStyle w:val="Prrafodelista"/>
              <w:numPr>
                <w:ilvl w:val="0"/>
                <w:numId w:val="28"/>
              </w:numPr>
              <w:autoSpaceDE w:val="0"/>
              <w:autoSpaceDN w:val="0"/>
              <w:adjustRightInd w:val="0"/>
              <w:spacing w:after="60" w:line="240" w:lineRule="auto"/>
              <w:ind w:left="284" w:hanging="284"/>
              <w:jc w:val="both"/>
              <w:rPr>
                <w:rFonts w:cs="Calibri"/>
              </w:rPr>
            </w:pPr>
            <w:r w:rsidRPr="001A01AB">
              <w:rPr>
                <w:rFonts w:cs="Calibri"/>
              </w:rPr>
              <w:t xml:space="preserve">Si no hay evolución institucional en el manejo del SIGAP, la gestión en </w:t>
            </w:r>
            <w:r w:rsidR="00436502">
              <w:rPr>
                <w:rFonts w:cs="Calibri"/>
              </w:rPr>
              <w:t>áreas protegidas</w:t>
            </w:r>
            <w:r w:rsidRPr="001A01AB">
              <w:rPr>
                <w:rFonts w:cs="Calibri"/>
              </w:rPr>
              <w:t xml:space="preserve"> fracasará, debido a invasiones y al avance de </w:t>
            </w:r>
            <w:r w:rsidR="00291ACD">
              <w:rPr>
                <w:rFonts w:cs="Calibri"/>
              </w:rPr>
              <w:t xml:space="preserve">la </w:t>
            </w:r>
            <w:r w:rsidRPr="001A01AB">
              <w:rPr>
                <w:rFonts w:cs="Calibri"/>
              </w:rPr>
              <w:t xml:space="preserve">frontera agrícola y </w:t>
            </w:r>
            <w:r w:rsidR="00291ACD">
              <w:rPr>
                <w:rFonts w:cs="Calibri"/>
              </w:rPr>
              <w:t xml:space="preserve">la </w:t>
            </w:r>
            <w:r w:rsidRPr="001A01AB">
              <w:rPr>
                <w:rFonts w:cs="Calibri"/>
              </w:rPr>
              <w:t>narcoactividad.</w:t>
            </w:r>
          </w:p>
          <w:p w:rsidR="008327B2" w:rsidRPr="001A01AB" w:rsidRDefault="008327B2" w:rsidP="00760D64">
            <w:pPr>
              <w:pStyle w:val="Prrafodelista"/>
              <w:numPr>
                <w:ilvl w:val="0"/>
                <w:numId w:val="28"/>
              </w:numPr>
              <w:autoSpaceDE w:val="0"/>
              <w:autoSpaceDN w:val="0"/>
              <w:adjustRightInd w:val="0"/>
              <w:spacing w:after="60" w:line="240" w:lineRule="auto"/>
              <w:ind w:left="284" w:hanging="284"/>
              <w:jc w:val="both"/>
              <w:rPr>
                <w:rFonts w:cs="Calibri"/>
              </w:rPr>
            </w:pPr>
            <w:r w:rsidRPr="001A01AB">
              <w:rPr>
                <w:rFonts w:cs="Calibri"/>
              </w:rPr>
              <w:t xml:space="preserve">El área bajo manejo forestal sostenible se ha reducido de 22,060 </w:t>
            </w:r>
            <w:r w:rsidR="00291ACD">
              <w:rPr>
                <w:rFonts w:cs="Calibri"/>
              </w:rPr>
              <w:t xml:space="preserve">ha </w:t>
            </w:r>
            <w:r w:rsidRPr="001A01AB">
              <w:rPr>
                <w:rFonts w:cs="Calibri"/>
              </w:rPr>
              <w:t>en 2006 a 7,782 ha en 2010.</w:t>
            </w:r>
          </w:p>
          <w:p w:rsidR="008327B2" w:rsidRPr="001A01AB" w:rsidRDefault="008327B2" w:rsidP="00760D64">
            <w:pPr>
              <w:pStyle w:val="Prrafodelista"/>
              <w:numPr>
                <w:ilvl w:val="0"/>
                <w:numId w:val="28"/>
              </w:numPr>
              <w:autoSpaceDE w:val="0"/>
              <w:autoSpaceDN w:val="0"/>
              <w:adjustRightInd w:val="0"/>
              <w:spacing w:after="60" w:line="240" w:lineRule="auto"/>
              <w:ind w:left="284" w:hanging="284"/>
              <w:jc w:val="both"/>
              <w:rPr>
                <w:rFonts w:cs="Calibri"/>
              </w:rPr>
            </w:pPr>
            <w:r w:rsidRPr="001A01AB">
              <w:rPr>
                <w:rFonts w:cs="Calibri"/>
              </w:rPr>
              <w:t>El programa PINPEP es un instrumento que fortalecerá la productividad campesina rural para poseedores</w:t>
            </w:r>
            <w:r w:rsidR="00291ACD">
              <w:rPr>
                <w:rFonts w:cs="Calibri"/>
              </w:rPr>
              <w:t>, al incorporar</w:t>
            </w:r>
            <w:r w:rsidRPr="001A01AB">
              <w:rPr>
                <w:rFonts w:cs="Calibri"/>
              </w:rPr>
              <w:t xml:space="preserve"> </w:t>
            </w:r>
            <w:r w:rsidR="00291ACD">
              <w:rPr>
                <w:rFonts w:cs="Calibri"/>
              </w:rPr>
              <w:t xml:space="preserve">los sistemas agroforestales a </w:t>
            </w:r>
            <w:r w:rsidRPr="001A01AB">
              <w:rPr>
                <w:rFonts w:cs="Calibri"/>
              </w:rPr>
              <w:t>agroecosistemas productivos.</w:t>
            </w:r>
          </w:p>
          <w:p w:rsidR="008327B2" w:rsidRPr="001A01AB" w:rsidRDefault="008327B2" w:rsidP="00760D64">
            <w:pPr>
              <w:pStyle w:val="Prrafodelista"/>
              <w:numPr>
                <w:ilvl w:val="0"/>
                <w:numId w:val="28"/>
              </w:numPr>
              <w:autoSpaceDE w:val="0"/>
              <w:autoSpaceDN w:val="0"/>
              <w:adjustRightInd w:val="0"/>
              <w:spacing w:after="60" w:line="240" w:lineRule="auto"/>
              <w:ind w:left="284" w:hanging="284"/>
              <w:jc w:val="both"/>
              <w:rPr>
                <w:rFonts w:cs="Calibri"/>
              </w:rPr>
            </w:pPr>
            <w:r w:rsidRPr="001A01AB">
              <w:rPr>
                <w:rFonts w:cs="Calibri"/>
              </w:rPr>
              <w:t>El aumento de la población influirá en el crecimiento constante de la demanda de agua.</w:t>
            </w:r>
          </w:p>
          <w:p w:rsidR="008327B2" w:rsidRPr="001A01AB" w:rsidRDefault="008327B2" w:rsidP="00760D64">
            <w:pPr>
              <w:pStyle w:val="Prrafodelista"/>
              <w:numPr>
                <w:ilvl w:val="0"/>
                <w:numId w:val="28"/>
              </w:numPr>
              <w:autoSpaceDE w:val="0"/>
              <w:autoSpaceDN w:val="0"/>
              <w:adjustRightInd w:val="0"/>
              <w:spacing w:after="60" w:line="240" w:lineRule="auto"/>
              <w:ind w:left="284" w:hanging="284"/>
              <w:jc w:val="both"/>
              <w:rPr>
                <w:rFonts w:cs="Calibri"/>
              </w:rPr>
            </w:pPr>
            <w:r w:rsidRPr="001A01AB">
              <w:rPr>
                <w:rFonts w:cs="Calibri"/>
              </w:rPr>
              <w:t>Debido a intereses sociopolíticos difícilmente se dará una Ley de Aguas que regule el uso y manejo de la misma.</w:t>
            </w:r>
          </w:p>
          <w:p w:rsidR="008327B2" w:rsidRPr="001A01AB" w:rsidRDefault="008327B2" w:rsidP="00760D64">
            <w:pPr>
              <w:pStyle w:val="Prrafodelista"/>
              <w:numPr>
                <w:ilvl w:val="0"/>
                <w:numId w:val="28"/>
              </w:numPr>
              <w:autoSpaceDE w:val="0"/>
              <w:autoSpaceDN w:val="0"/>
              <w:adjustRightInd w:val="0"/>
              <w:spacing w:after="60" w:line="240" w:lineRule="auto"/>
              <w:ind w:left="284" w:hanging="284"/>
              <w:jc w:val="both"/>
              <w:rPr>
                <w:rFonts w:cs="Calibri"/>
              </w:rPr>
            </w:pPr>
            <w:r w:rsidRPr="001A01AB">
              <w:rPr>
                <w:rFonts w:cs="Calibri"/>
              </w:rPr>
              <w:t>Existe una clara tendencia hacia el incremento de la contaminación del agua como un hecho irreversible.</w:t>
            </w:r>
          </w:p>
          <w:p w:rsidR="008327B2" w:rsidRPr="001A01AB" w:rsidRDefault="008327B2" w:rsidP="00760D64">
            <w:pPr>
              <w:pStyle w:val="Prrafodelista"/>
              <w:numPr>
                <w:ilvl w:val="0"/>
                <w:numId w:val="28"/>
              </w:numPr>
              <w:autoSpaceDE w:val="0"/>
              <w:autoSpaceDN w:val="0"/>
              <w:adjustRightInd w:val="0"/>
              <w:spacing w:after="60" w:line="240" w:lineRule="auto"/>
              <w:ind w:left="284" w:hanging="284"/>
              <w:jc w:val="both"/>
              <w:rPr>
                <w:rFonts w:cs="Calibri"/>
              </w:rPr>
            </w:pPr>
            <w:r w:rsidRPr="001A01AB">
              <w:rPr>
                <w:rFonts w:cs="Calibri"/>
              </w:rPr>
              <w:t>Sin una ley de Desarrollo Rural, la expansión de la agricultura anual y de cultivos de subsistencia m</w:t>
            </w:r>
            <w:r w:rsidR="00291ACD">
              <w:rPr>
                <w:rFonts w:cs="Calibri"/>
              </w:rPr>
              <w:t>ostrará</w:t>
            </w:r>
            <w:r w:rsidRPr="001A01AB">
              <w:rPr>
                <w:rFonts w:cs="Calibri"/>
              </w:rPr>
              <w:t xml:space="preserve"> una tendencia a expandirse hacia tierras marginales para la agricultura. </w:t>
            </w:r>
          </w:p>
          <w:p w:rsidR="008327B2" w:rsidRPr="001A01AB" w:rsidRDefault="008327B2" w:rsidP="00760D64">
            <w:pPr>
              <w:pStyle w:val="Prrafodelista"/>
              <w:numPr>
                <w:ilvl w:val="0"/>
                <w:numId w:val="28"/>
              </w:numPr>
              <w:autoSpaceDE w:val="0"/>
              <w:autoSpaceDN w:val="0"/>
              <w:adjustRightInd w:val="0"/>
              <w:spacing w:after="60" w:line="240" w:lineRule="auto"/>
              <w:ind w:left="284" w:hanging="284"/>
              <w:jc w:val="both"/>
              <w:rPr>
                <w:rFonts w:cs="Calibri"/>
              </w:rPr>
            </w:pPr>
            <w:r w:rsidRPr="001A01AB">
              <w:rPr>
                <w:rFonts w:cs="Calibri"/>
              </w:rPr>
              <w:t xml:space="preserve">La </w:t>
            </w:r>
            <w:r w:rsidR="00291ACD">
              <w:rPr>
                <w:rFonts w:cs="Calibri"/>
              </w:rPr>
              <w:t>tendiente</w:t>
            </w:r>
            <w:r w:rsidRPr="001A01AB">
              <w:rPr>
                <w:rFonts w:cs="Calibri"/>
              </w:rPr>
              <w:t xml:space="preserve"> red</w:t>
            </w:r>
            <w:r w:rsidR="00291ACD">
              <w:rPr>
                <w:rFonts w:cs="Calibri"/>
              </w:rPr>
              <w:t>ucción de la cobertura forestal</w:t>
            </w:r>
            <w:r w:rsidRPr="001A01AB">
              <w:rPr>
                <w:rFonts w:cs="Calibri"/>
              </w:rPr>
              <w:t xml:space="preserve"> provoca el aumento de las tierras en condiciones de sobreuso, especialmente en zonas de ladera.</w:t>
            </w:r>
            <w:r w:rsidR="00141A70">
              <w:rPr>
                <w:rFonts w:cs="Calibri"/>
              </w:rPr>
              <w:t xml:space="preserve"> </w:t>
            </w:r>
            <w:r w:rsidRPr="001A01AB">
              <w:rPr>
                <w:rFonts w:cs="Calibri"/>
              </w:rPr>
              <w:t xml:space="preserve">Esto provoca </w:t>
            </w:r>
            <w:r w:rsidR="00291ACD">
              <w:rPr>
                <w:rFonts w:cs="Calibri"/>
              </w:rPr>
              <w:t>la pé</w:t>
            </w:r>
            <w:r w:rsidRPr="001A01AB">
              <w:rPr>
                <w:rFonts w:cs="Calibri"/>
              </w:rPr>
              <w:t>rdida de la fertilidad de los suelos, la cual se incrementará de no reducirse esta tendencia.</w:t>
            </w:r>
          </w:p>
          <w:p w:rsidR="008327B2" w:rsidRPr="001A01AB" w:rsidRDefault="008327B2" w:rsidP="00C54B82">
            <w:pPr>
              <w:pStyle w:val="Prrafodelista"/>
              <w:numPr>
                <w:ilvl w:val="0"/>
                <w:numId w:val="28"/>
              </w:numPr>
              <w:autoSpaceDE w:val="0"/>
              <w:autoSpaceDN w:val="0"/>
              <w:adjustRightInd w:val="0"/>
              <w:spacing w:after="60" w:line="240" w:lineRule="auto"/>
              <w:ind w:left="284" w:hanging="284"/>
              <w:jc w:val="both"/>
              <w:rPr>
                <w:rFonts w:cs="Calibri"/>
              </w:rPr>
            </w:pPr>
            <w:r w:rsidRPr="001A01AB">
              <w:rPr>
                <w:rFonts w:cs="Calibri"/>
              </w:rPr>
              <w:t xml:space="preserve">La tendencia en la asignación o incremento </w:t>
            </w:r>
            <w:r w:rsidR="00C54B82">
              <w:rPr>
                <w:rFonts w:cs="Calibri"/>
              </w:rPr>
              <w:t>de</w:t>
            </w:r>
            <w:r w:rsidRPr="001A01AB">
              <w:rPr>
                <w:rFonts w:cs="Calibri"/>
              </w:rPr>
              <w:t xml:space="preserve"> los presupuestos de funcionamiento de las instituciones ambientales, agrarias o de desarrollo rural</w:t>
            </w:r>
            <w:r w:rsidR="00C54B82">
              <w:rPr>
                <w:rFonts w:cs="Calibri"/>
              </w:rPr>
              <w:t>,</w:t>
            </w:r>
            <w:r w:rsidRPr="001A01AB">
              <w:rPr>
                <w:rFonts w:cs="Calibri"/>
              </w:rPr>
              <w:t xml:space="preserve"> no aumentará en comparación con otras carteras que maneja el Estado, lo que mantendrá debilitado el accionar de las mismas.</w:t>
            </w:r>
          </w:p>
        </w:tc>
      </w:tr>
    </w:tbl>
    <w:p w:rsidR="008327B2" w:rsidRPr="001A01AB" w:rsidRDefault="008327B2" w:rsidP="008327B2">
      <w:pPr>
        <w:autoSpaceDE w:val="0"/>
        <w:autoSpaceDN w:val="0"/>
        <w:adjustRightInd w:val="0"/>
        <w:jc w:val="both"/>
        <w:rPr>
          <w:rFonts w:ascii="Calibri" w:hAnsi="Calibri" w:cs="Calibri"/>
          <w:lang w:val="es-GT"/>
        </w:rPr>
      </w:pPr>
    </w:p>
    <w:p w:rsidR="00760D64" w:rsidRDefault="00760D64" w:rsidP="007311E3">
      <w:pPr>
        <w:autoSpaceDE w:val="0"/>
        <w:autoSpaceDN w:val="0"/>
        <w:adjustRightInd w:val="0"/>
        <w:jc w:val="both"/>
        <w:rPr>
          <w:rFonts w:ascii="Calibri" w:hAnsi="Calibri" w:cs="Calibri"/>
          <w:b/>
          <w:bCs/>
          <w:color w:val="365F91"/>
          <w:sz w:val="36"/>
          <w:szCs w:val="36"/>
          <w:lang w:val="es-GT"/>
        </w:rPr>
      </w:pPr>
    </w:p>
    <w:p w:rsidR="00C42663" w:rsidRDefault="00C42663" w:rsidP="007311E3">
      <w:pPr>
        <w:autoSpaceDE w:val="0"/>
        <w:autoSpaceDN w:val="0"/>
        <w:adjustRightInd w:val="0"/>
        <w:jc w:val="both"/>
        <w:rPr>
          <w:rFonts w:ascii="Calibri" w:hAnsi="Calibri" w:cs="Calibri"/>
          <w:b/>
          <w:bCs/>
          <w:color w:val="365F91"/>
          <w:sz w:val="36"/>
          <w:szCs w:val="36"/>
          <w:lang w:val="es-GT"/>
        </w:rPr>
      </w:pPr>
    </w:p>
    <w:p w:rsidR="007311E3" w:rsidRPr="001A01AB" w:rsidRDefault="008327B2" w:rsidP="007311E3">
      <w:pPr>
        <w:autoSpaceDE w:val="0"/>
        <w:autoSpaceDN w:val="0"/>
        <w:adjustRightInd w:val="0"/>
        <w:jc w:val="both"/>
        <w:rPr>
          <w:rFonts w:ascii="Calibri" w:hAnsi="Calibri" w:cs="Calibri"/>
          <w:b/>
          <w:bCs/>
          <w:color w:val="365F91"/>
          <w:sz w:val="36"/>
          <w:szCs w:val="36"/>
          <w:lang w:val="es-GT"/>
        </w:rPr>
      </w:pPr>
      <w:r w:rsidRPr="001A01AB">
        <w:rPr>
          <w:rFonts w:ascii="Calibri" w:hAnsi="Calibri" w:cs="Calibri"/>
          <w:b/>
          <w:bCs/>
          <w:color w:val="365F91"/>
          <w:sz w:val="36"/>
          <w:szCs w:val="36"/>
          <w:lang w:val="es-GT"/>
        </w:rPr>
        <w:lastRenderedPageBreak/>
        <w:t xml:space="preserve">Anexo 2. </w:t>
      </w:r>
      <w:r w:rsidR="007311E3" w:rsidRPr="001A01AB">
        <w:rPr>
          <w:rFonts w:ascii="Calibri" w:hAnsi="Calibri" w:cs="Calibri"/>
          <w:b/>
          <w:bCs/>
          <w:color w:val="365F91"/>
          <w:sz w:val="36"/>
          <w:szCs w:val="36"/>
          <w:lang w:val="es-GT"/>
        </w:rPr>
        <w:t>Proceso de consulta y validación de la EAE</w:t>
      </w:r>
    </w:p>
    <w:p w:rsidR="008327B2" w:rsidRPr="001A01AB" w:rsidRDefault="008327B2" w:rsidP="008327B2">
      <w:pPr>
        <w:autoSpaceDE w:val="0"/>
        <w:autoSpaceDN w:val="0"/>
        <w:adjustRightInd w:val="0"/>
        <w:jc w:val="both"/>
        <w:rPr>
          <w:rFonts w:ascii="Calibri" w:hAnsi="Calibri" w:cs="Calibri"/>
          <w:b/>
          <w:bCs/>
          <w:color w:val="365F91"/>
          <w:sz w:val="36"/>
          <w:szCs w:val="36"/>
          <w:lang w:val="es-GT"/>
        </w:rPr>
      </w:pPr>
    </w:p>
    <w:p w:rsidR="00034917" w:rsidRPr="00436502" w:rsidRDefault="00034917" w:rsidP="00034917">
      <w:pPr>
        <w:jc w:val="both"/>
        <w:rPr>
          <w:rFonts w:ascii="Calibri" w:hAnsi="Calibri" w:cs="Calibri"/>
          <w:lang w:val="es-GT"/>
        </w:rPr>
      </w:pPr>
      <w:r w:rsidRPr="00436502">
        <w:rPr>
          <w:rFonts w:ascii="Calibri" w:hAnsi="Calibri" w:cs="Calibri"/>
          <w:lang w:val="es-GT"/>
        </w:rPr>
        <w:t>Previo al abordaje específico de la metodología de consulta y validación realizada en la presente EAE, es importante tener claro algunos de los conceptos claves para este proceso, los cuales se describen a continuación:</w:t>
      </w:r>
    </w:p>
    <w:p w:rsidR="00034917" w:rsidRPr="003D69DF" w:rsidRDefault="00034917" w:rsidP="00034917">
      <w:pPr>
        <w:jc w:val="both"/>
        <w:rPr>
          <w:rFonts w:ascii="Calibri" w:hAnsi="Calibri" w:cs="Calibri"/>
          <w:color w:val="FF0000"/>
          <w:lang w:val="es-GT"/>
        </w:rPr>
      </w:pPr>
    </w:p>
    <w:p w:rsidR="00034917" w:rsidRPr="00436502" w:rsidRDefault="00034917" w:rsidP="00034917">
      <w:pPr>
        <w:jc w:val="both"/>
        <w:rPr>
          <w:rFonts w:ascii="Calibri" w:hAnsi="Calibri" w:cs="Calibri"/>
          <w:b/>
          <w:color w:val="365F91"/>
          <w:sz w:val="22"/>
          <w:szCs w:val="22"/>
          <w:lang w:val="es-GT"/>
        </w:rPr>
      </w:pPr>
      <w:r w:rsidRPr="00436502">
        <w:rPr>
          <w:rFonts w:ascii="Calibri" w:hAnsi="Calibri" w:cs="Calibri"/>
          <w:b/>
          <w:color w:val="365F91"/>
          <w:sz w:val="22"/>
          <w:szCs w:val="22"/>
          <w:lang w:val="es-GT"/>
        </w:rPr>
        <w:t>¿Qué se entiende por consulta pública?</w:t>
      </w:r>
    </w:p>
    <w:p w:rsidR="00436502" w:rsidRDefault="00436502" w:rsidP="00034917">
      <w:pPr>
        <w:jc w:val="both"/>
        <w:rPr>
          <w:rFonts w:ascii="Calibri" w:hAnsi="Calibri" w:cs="Calibri"/>
          <w:color w:val="FF0000"/>
          <w:lang w:val="es-GT"/>
        </w:rPr>
      </w:pPr>
    </w:p>
    <w:p w:rsidR="00034917" w:rsidRPr="00436502" w:rsidRDefault="00034917" w:rsidP="00034917">
      <w:pPr>
        <w:jc w:val="both"/>
        <w:rPr>
          <w:rFonts w:ascii="Calibri" w:hAnsi="Calibri" w:cs="Calibri"/>
          <w:lang w:val="es-GT"/>
        </w:rPr>
      </w:pPr>
      <w:r w:rsidRPr="00436502">
        <w:rPr>
          <w:rFonts w:ascii="Calibri" w:hAnsi="Calibri" w:cs="Calibri"/>
          <w:lang w:val="es-GT"/>
        </w:rPr>
        <w:t>La consulta pública es un instrumento para gestionar la comunicación bidireccional entre el patrocinador del proyecto o programa y el público o sociedad civil. Su objetivo es mejorar el proceso de adopción de decisiones y crear comprensión mutua</w:t>
      </w:r>
      <w:r w:rsidR="008955A0">
        <w:rPr>
          <w:rFonts w:ascii="Calibri" w:hAnsi="Calibri" w:cs="Calibri"/>
          <w:lang w:val="es-GT"/>
        </w:rPr>
        <w:t>,</w:t>
      </w:r>
      <w:r w:rsidRPr="00436502">
        <w:rPr>
          <w:rFonts w:ascii="Calibri" w:hAnsi="Calibri" w:cs="Calibri"/>
          <w:lang w:val="es-GT"/>
        </w:rPr>
        <w:t xml:space="preserve"> haciendo participar activamente a las personas, los grupos y las organizaciones que tienen algún interés en el proyecto o programa. Esa participación mejorará la viabilidad a largo plazo del programa o impactos de la EAE y aumentará sus beneficios para las personas afectadas a nivel local y otros interesados </w:t>
      </w:r>
      <w:r w:rsidRPr="00253520">
        <w:rPr>
          <w:rFonts w:ascii="Calibri" w:hAnsi="Calibri" w:cs="Calibri"/>
          <w:highlight w:val="magenta"/>
          <w:lang w:val="es-GT"/>
        </w:rPr>
        <w:t>(CFI, 1998).</w:t>
      </w:r>
    </w:p>
    <w:p w:rsidR="00034917" w:rsidRPr="003D69DF" w:rsidRDefault="00034917" w:rsidP="00034917">
      <w:pPr>
        <w:jc w:val="both"/>
        <w:rPr>
          <w:rFonts w:ascii="Calibri" w:hAnsi="Calibri" w:cs="Calibri"/>
          <w:color w:val="FF0000"/>
          <w:lang w:val="es-GT"/>
        </w:rPr>
      </w:pPr>
    </w:p>
    <w:p w:rsidR="00034917" w:rsidRPr="00436502" w:rsidRDefault="00034917" w:rsidP="00034917">
      <w:pPr>
        <w:jc w:val="both"/>
        <w:rPr>
          <w:rFonts w:ascii="Calibri" w:hAnsi="Calibri" w:cs="Calibri"/>
          <w:b/>
          <w:color w:val="365F91"/>
          <w:sz w:val="22"/>
          <w:szCs w:val="22"/>
          <w:lang w:val="es-GT"/>
        </w:rPr>
      </w:pPr>
      <w:r w:rsidRPr="00436502">
        <w:rPr>
          <w:rFonts w:ascii="Calibri" w:hAnsi="Calibri" w:cs="Calibri"/>
          <w:b/>
          <w:color w:val="365F91"/>
          <w:sz w:val="22"/>
          <w:szCs w:val="22"/>
          <w:lang w:val="es-GT"/>
        </w:rPr>
        <w:t>¿Por qué es necesario consultar con el público?</w:t>
      </w:r>
    </w:p>
    <w:p w:rsidR="00436502" w:rsidRDefault="00436502" w:rsidP="00034917">
      <w:pPr>
        <w:jc w:val="both"/>
        <w:rPr>
          <w:rFonts w:ascii="Calibri" w:hAnsi="Calibri" w:cs="Calibri"/>
          <w:color w:val="FF0000"/>
          <w:lang w:val="es-GT"/>
        </w:rPr>
      </w:pPr>
    </w:p>
    <w:p w:rsidR="00034917" w:rsidRPr="00436502" w:rsidRDefault="00034917" w:rsidP="00034917">
      <w:pPr>
        <w:jc w:val="both"/>
        <w:rPr>
          <w:rFonts w:ascii="Calibri" w:hAnsi="Calibri" w:cs="Calibri"/>
          <w:lang w:val="es-GT"/>
        </w:rPr>
      </w:pPr>
      <w:r w:rsidRPr="00436502">
        <w:rPr>
          <w:rFonts w:ascii="Calibri" w:hAnsi="Calibri" w:cs="Calibri"/>
          <w:lang w:val="es-GT"/>
        </w:rPr>
        <w:t>Cada vez más el sector público se ve obligado, tanto por el sector privado, como por la sociedad civil, a tener en cuenta los retos ambientales y sociales que plantea el desarrollo rural integral. L</w:t>
      </w:r>
      <w:r w:rsidR="00F92BC7">
        <w:rPr>
          <w:rFonts w:ascii="Calibri" w:hAnsi="Calibri" w:cs="Calibri"/>
          <w:lang w:val="es-GT"/>
        </w:rPr>
        <w:t>a consulta pública para una EAE</w:t>
      </w:r>
      <w:r w:rsidRPr="00436502">
        <w:rPr>
          <w:rFonts w:ascii="Calibri" w:hAnsi="Calibri" w:cs="Calibri"/>
          <w:lang w:val="es-GT"/>
        </w:rPr>
        <w:t xml:space="preserve"> desempeña una función decisiva para crear conciencia </w:t>
      </w:r>
      <w:r w:rsidR="00F92BC7">
        <w:rPr>
          <w:rFonts w:ascii="Calibri" w:hAnsi="Calibri" w:cs="Calibri"/>
          <w:lang w:val="es-GT"/>
        </w:rPr>
        <w:t>sobre</w:t>
      </w:r>
      <w:r w:rsidRPr="00436502">
        <w:rPr>
          <w:rFonts w:ascii="Calibri" w:hAnsi="Calibri" w:cs="Calibri"/>
          <w:lang w:val="es-GT"/>
        </w:rPr>
        <w:t xml:space="preserve"> las repercusiones de un programa y llegar a un acuerdo sobre enfoques técnicos y de gestión, que permitan obtener los máximos beneficios socio ambientales, y reducir las consecuencias negativas a la base de </w:t>
      </w:r>
      <w:r w:rsidR="00F92BC7">
        <w:rPr>
          <w:rFonts w:ascii="Calibri" w:hAnsi="Calibri" w:cs="Calibri"/>
          <w:lang w:val="es-GT"/>
        </w:rPr>
        <w:t xml:space="preserve">los </w:t>
      </w:r>
      <w:r w:rsidRPr="00436502">
        <w:rPr>
          <w:rFonts w:ascii="Calibri" w:hAnsi="Calibri" w:cs="Calibri"/>
          <w:lang w:val="es-GT"/>
        </w:rPr>
        <w:t>recursos naturales.  Las consultas públicas pueden llevar consigo una reducción de los riesgos financieros (provocados por los retrasos, las actuaciones judiciales y la publicidad negativa), ahorros directos de costos, una mayor cuota de mercado (gracias a una buena imagen pública) y un aumento de los beneficios sociales y ambientales para las comunidades locales (CFI, 1998).</w:t>
      </w:r>
    </w:p>
    <w:p w:rsidR="00034917" w:rsidRPr="003D69DF" w:rsidRDefault="00034917" w:rsidP="00034917">
      <w:pPr>
        <w:jc w:val="both"/>
        <w:rPr>
          <w:rFonts w:ascii="Calibri" w:hAnsi="Calibri" w:cs="Calibri"/>
          <w:color w:val="FF0000"/>
          <w:lang w:val="es-GT"/>
        </w:rPr>
      </w:pPr>
    </w:p>
    <w:p w:rsidR="00034917" w:rsidRPr="00436502" w:rsidRDefault="00034917" w:rsidP="00034917">
      <w:pPr>
        <w:jc w:val="both"/>
        <w:rPr>
          <w:rFonts w:ascii="Calibri" w:hAnsi="Calibri" w:cs="Calibri"/>
          <w:b/>
          <w:color w:val="365F91"/>
          <w:sz w:val="22"/>
          <w:szCs w:val="22"/>
          <w:lang w:val="es-GT"/>
        </w:rPr>
      </w:pPr>
      <w:r w:rsidRPr="00436502">
        <w:rPr>
          <w:rFonts w:ascii="Calibri" w:hAnsi="Calibri" w:cs="Calibri"/>
          <w:b/>
          <w:color w:val="365F91"/>
          <w:sz w:val="22"/>
          <w:szCs w:val="22"/>
          <w:lang w:val="es-GT"/>
        </w:rPr>
        <w:t>¿Por qué es necesaria la divulgación de información?</w:t>
      </w:r>
    </w:p>
    <w:p w:rsidR="00436502" w:rsidRDefault="00436502" w:rsidP="00034917">
      <w:pPr>
        <w:jc w:val="both"/>
        <w:rPr>
          <w:rFonts w:ascii="Calibri" w:hAnsi="Calibri" w:cs="Calibri"/>
          <w:lang w:val="es-GT"/>
        </w:rPr>
      </w:pPr>
    </w:p>
    <w:p w:rsidR="00034917" w:rsidRPr="00436502" w:rsidRDefault="00034917" w:rsidP="00034917">
      <w:pPr>
        <w:jc w:val="both"/>
        <w:rPr>
          <w:rFonts w:ascii="Calibri" w:hAnsi="Calibri" w:cs="Calibri"/>
          <w:lang w:val="es-GT"/>
        </w:rPr>
      </w:pPr>
      <w:r w:rsidRPr="00436502">
        <w:rPr>
          <w:rFonts w:ascii="Calibri" w:hAnsi="Calibri" w:cs="Calibri"/>
          <w:lang w:val="es-GT"/>
        </w:rPr>
        <w:t>La información es fundamental para la participación eficaz de los ciudadanos vinculados en las zonas próximas al desarrollo de actividades del programa. Un público bien informado comprenderá mejor el equilibrio entre las ventajas y los inconvenientes de un proyecto o actividad específica que impleme</w:t>
      </w:r>
      <w:r w:rsidR="00F92BC7">
        <w:rPr>
          <w:rFonts w:ascii="Calibri" w:hAnsi="Calibri" w:cs="Calibri"/>
          <w:lang w:val="es-GT"/>
        </w:rPr>
        <w:t>nte un programa nacional; podrá</w:t>
      </w:r>
      <w:r w:rsidRPr="00436502">
        <w:rPr>
          <w:rFonts w:ascii="Calibri" w:hAnsi="Calibri" w:cs="Calibri"/>
          <w:lang w:val="es-GT"/>
        </w:rPr>
        <w:t xml:space="preserve"> hacer una contribución significativa al diseño del proyecto; y tendrá más confianza en las inversiones públicas que serán de beneficio para el desarrollo rural integral, logrando una efectividad de las EAE en general (CFI, 1998).</w:t>
      </w:r>
    </w:p>
    <w:p w:rsidR="00034917" w:rsidRPr="003D69DF" w:rsidRDefault="00034917" w:rsidP="00034917">
      <w:pPr>
        <w:jc w:val="both"/>
        <w:rPr>
          <w:rFonts w:ascii="Calibri" w:hAnsi="Calibri" w:cs="Calibri"/>
          <w:color w:val="FF0000"/>
          <w:lang w:val="es-GT"/>
        </w:rPr>
      </w:pPr>
    </w:p>
    <w:p w:rsidR="00034917" w:rsidRPr="00436502" w:rsidRDefault="00034917" w:rsidP="00034917">
      <w:pPr>
        <w:jc w:val="both"/>
        <w:rPr>
          <w:rFonts w:ascii="Calibri" w:hAnsi="Calibri" w:cs="Calibri"/>
          <w:b/>
          <w:color w:val="365F91"/>
          <w:sz w:val="22"/>
          <w:szCs w:val="22"/>
          <w:lang w:val="es-GT"/>
        </w:rPr>
      </w:pPr>
      <w:r w:rsidRPr="00436502">
        <w:rPr>
          <w:rFonts w:ascii="Calibri" w:hAnsi="Calibri" w:cs="Calibri"/>
          <w:b/>
          <w:color w:val="365F91"/>
          <w:sz w:val="22"/>
          <w:szCs w:val="22"/>
          <w:lang w:val="es-GT"/>
        </w:rPr>
        <w:t>¿Quién es el público?</w:t>
      </w:r>
    </w:p>
    <w:p w:rsidR="00436502" w:rsidRDefault="00436502" w:rsidP="00034917">
      <w:pPr>
        <w:jc w:val="both"/>
        <w:rPr>
          <w:rFonts w:ascii="Calibri" w:hAnsi="Calibri" w:cs="Calibri"/>
          <w:color w:val="FF0000"/>
          <w:lang w:val="es-GT"/>
        </w:rPr>
      </w:pPr>
    </w:p>
    <w:p w:rsidR="00034917" w:rsidRDefault="00034917" w:rsidP="00034917">
      <w:pPr>
        <w:jc w:val="both"/>
        <w:rPr>
          <w:rFonts w:ascii="Calibri" w:hAnsi="Calibri" w:cs="Calibri"/>
          <w:lang w:val="es-GT"/>
        </w:rPr>
      </w:pPr>
      <w:r w:rsidRPr="00436502">
        <w:rPr>
          <w:rFonts w:ascii="Calibri" w:hAnsi="Calibri" w:cs="Calibri"/>
          <w:lang w:val="es-GT"/>
        </w:rPr>
        <w:t xml:space="preserve">Consultar con el público supone hacer intervenir a las personas que se ven afectadas o involucradas directa e indirectamente por las actividades de un proyecto o programa, así como </w:t>
      </w:r>
      <w:r w:rsidRPr="00436502">
        <w:rPr>
          <w:rFonts w:ascii="Calibri" w:hAnsi="Calibri" w:cs="Calibri"/>
          <w:lang w:val="es-GT"/>
        </w:rPr>
        <w:lastRenderedPageBreak/>
        <w:t>otras partes interesadas que poseen la capacidad de influir, positiva o negativamente, en los resultados del mismo y del impacto de la EAE. Esas personas suelen ser denominadas interesados, y entre ellas se cuentan:</w:t>
      </w:r>
    </w:p>
    <w:p w:rsidR="00F92BC7" w:rsidRPr="00436502" w:rsidRDefault="00F92BC7" w:rsidP="00034917">
      <w:pPr>
        <w:jc w:val="both"/>
        <w:rPr>
          <w:rFonts w:ascii="Calibri" w:hAnsi="Calibri" w:cs="Calibri"/>
          <w:lang w:val="es-GT"/>
        </w:rPr>
      </w:pPr>
    </w:p>
    <w:p w:rsidR="00034917" w:rsidRPr="00436502" w:rsidRDefault="00034917" w:rsidP="00034917">
      <w:pPr>
        <w:numPr>
          <w:ilvl w:val="0"/>
          <w:numId w:val="39"/>
        </w:numPr>
        <w:ind w:left="426"/>
        <w:jc w:val="both"/>
        <w:rPr>
          <w:rFonts w:ascii="Calibri" w:hAnsi="Calibri" w:cs="Calibri"/>
          <w:lang w:val="es-GT"/>
        </w:rPr>
      </w:pPr>
      <w:r w:rsidRPr="00436502">
        <w:rPr>
          <w:rFonts w:ascii="Calibri" w:hAnsi="Calibri" w:cs="Calibri"/>
          <w:lang w:val="es-GT"/>
        </w:rPr>
        <w:t>Personas afectadas por el programa, como personas particulares y las famili</w:t>
      </w:r>
      <w:r w:rsidR="00436502" w:rsidRPr="00436502">
        <w:rPr>
          <w:rFonts w:ascii="Calibri" w:hAnsi="Calibri" w:cs="Calibri"/>
          <w:lang w:val="es-GT"/>
        </w:rPr>
        <w:t>as que viven cerca del proyecto;</w:t>
      </w:r>
      <w:r w:rsidRPr="00436502">
        <w:rPr>
          <w:rFonts w:ascii="Calibri" w:hAnsi="Calibri" w:cs="Calibri"/>
          <w:lang w:val="es-GT"/>
        </w:rPr>
        <w:t xml:space="preserve"> </w:t>
      </w:r>
    </w:p>
    <w:p w:rsidR="00034917" w:rsidRPr="00436502" w:rsidRDefault="00034917" w:rsidP="00034917">
      <w:pPr>
        <w:numPr>
          <w:ilvl w:val="0"/>
          <w:numId w:val="39"/>
        </w:numPr>
        <w:ind w:left="426"/>
        <w:jc w:val="both"/>
        <w:rPr>
          <w:rFonts w:ascii="Calibri" w:hAnsi="Calibri" w:cs="Calibri"/>
          <w:lang w:val="es-GT"/>
        </w:rPr>
      </w:pPr>
      <w:r w:rsidRPr="00436502">
        <w:rPr>
          <w:rFonts w:ascii="Calibri" w:hAnsi="Calibri" w:cs="Calibri"/>
          <w:lang w:val="es-GT"/>
        </w:rPr>
        <w:t xml:space="preserve">Grupos indígenas y sus líderes tradicionales; </w:t>
      </w:r>
    </w:p>
    <w:p w:rsidR="00034917" w:rsidRPr="00436502" w:rsidRDefault="00034917" w:rsidP="00034917">
      <w:pPr>
        <w:numPr>
          <w:ilvl w:val="0"/>
          <w:numId w:val="39"/>
        </w:numPr>
        <w:ind w:left="426"/>
        <w:jc w:val="both"/>
        <w:rPr>
          <w:rFonts w:ascii="Calibri" w:hAnsi="Calibri" w:cs="Calibri"/>
          <w:lang w:val="es-GT"/>
        </w:rPr>
      </w:pPr>
      <w:r w:rsidRPr="00436502">
        <w:rPr>
          <w:rFonts w:ascii="Calibri" w:hAnsi="Calibri" w:cs="Calibri"/>
          <w:lang w:val="es-GT"/>
        </w:rPr>
        <w:t xml:space="preserve">El patrocinador del programa; </w:t>
      </w:r>
    </w:p>
    <w:p w:rsidR="00034917" w:rsidRPr="00436502" w:rsidRDefault="00034917" w:rsidP="00034917">
      <w:pPr>
        <w:numPr>
          <w:ilvl w:val="0"/>
          <w:numId w:val="39"/>
        </w:numPr>
        <w:ind w:left="426"/>
        <w:jc w:val="both"/>
        <w:rPr>
          <w:rFonts w:ascii="Calibri" w:hAnsi="Calibri" w:cs="Calibri"/>
          <w:lang w:val="es-GT"/>
        </w:rPr>
      </w:pPr>
      <w:r w:rsidRPr="00436502">
        <w:rPr>
          <w:rFonts w:ascii="Calibri" w:hAnsi="Calibri" w:cs="Calibri"/>
          <w:lang w:val="es-GT"/>
        </w:rPr>
        <w:t xml:space="preserve">Representantes del sector público, como los titulares de cargos electivos a nivel local y los departamentos de la administración local y central; </w:t>
      </w:r>
    </w:p>
    <w:p w:rsidR="00034917" w:rsidRPr="00436502" w:rsidRDefault="00034917" w:rsidP="00034917">
      <w:pPr>
        <w:numPr>
          <w:ilvl w:val="0"/>
          <w:numId w:val="39"/>
        </w:numPr>
        <w:ind w:left="426"/>
        <w:jc w:val="both"/>
        <w:rPr>
          <w:rFonts w:ascii="Calibri" w:hAnsi="Calibri" w:cs="Calibri"/>
          <w:lang w:val="es-GT"/>
        </w:rPr>
      </w:pPr>
      <w:r w:rsidRPr="00436502">
        <w:rPr>
          <w:rFonts w:ascii="Calibri" w:hAnsi="Calibri" w:cs="Calibri"/>
          <w:lang w:val="es-GT"/>
        </w:rPr>
        <w:t>Entidades como las organizaciones no gubernamentales (ONG) locales, nacionale</w:t>
      </w:r>
      <w:r w:rsidR="00436502" w:rsidRPr="00436502">
        <w:rPr>
          <w:rFonts w:ascii="Calibri" w:hAnsi="Calibri" w:cs="Calibri"/>
          <w:lang w:val="es-GT"/>
        </w:rPr>
        <w:t>s e internacionales;</w:t>
      </w:r>
    </w:p>
    <w:p w:rsidR="00034917" w:rsidRPr="00436502" w:rsidRDefault="00034917" w:rsidP="00034917">
      <w:pPr>
        <w:numPr>
          <w:ilvl w:val="0"/>
          <w:numId w:val="39"/>
        </w:numPr>
        <w:ind w:left="426"/>
        <w:jc w:val="both"/>
        <w:rPr>
          <w:rFonts w:ascii="Calibri" w:hAnsi="Calibri" w:cs="Calibri"/>
          <w:lang w:val="es-GT"/>
        </w:rPr>
      </w:pPr>
      <w:r w:rsidRPr="00436502">
        <w:rPr>
          <w:rFonts w:ascii="Calibri" w:hAnsi="Calibri" w:cs="Calibri"/>
          <w:lang w:val="es-GT"/>
        </w:rPr>
        <w:t>Las universidades y centros de investigación</w:t>
      </w:r>
      <w:r w:rsidR="00436502" w:rsidRPr="00436502">
        <w:rPr>
          <w:rFonts w:ascii="Calibri" w:hAnsi="Calibri" w:cs="Calibri"/>
          <w:lang w:val="es-GT"/>
        </w:rPr>
        <w:t>;</w:t>
      </w:r>
    </w:p>
    <w:p w:rsidR="00034917" w:rsidRPr="00436502" w:rsidRDefault="00034917" w:rsidP="00034917">
      <w:pPr>
        <w:numPr>
          <w:ilvl w:val="0"/>
          <w:numId w:val="39"/>
        </w:numPr>
        <w:ind w:left="426"/>
        <w:jc w:val="both"/>
        <w:rPr>
          <w:rFonts w:ascii="Calibri" w:hAnsi="Calibri" w:cs="Calibri"/>
          <w:lang w:val="es-GT"/>
        </w:rPr>
      </w:pPr>
      <w:r w:rsidRPr="00436502">
        <w:rPr>
          <w:rFonts w:ascii="Calibri" w:hAnsi="Calibri" w:cs="Calibri"/>
          <w:lang w:val="es-GT"/>
        </w:rPr>
        <w:t>Los grupos religiosos; y</w:t>
      </w:r>
    </w:p>
    <w:p w:rsidR="00034917" w:rsidRPr="00436502" w:rsidRDefault="00034917" w:rsidP="00034917">
      <w:pPr>
        <w:numPr>
          <w:ilvl w:val="0"/>
          <w:numId w:val="39"/>
        </w:numPr>
        <w:ind w:left="426"/>
        <w:jc w:val="both"/>
        <w:rPr>
          <w:rFonts w:ascii="Calibri" w:hAnsi="Calibri" w:cs="Calibri"/>
          <w:lang w:val="es-GT"/>
        </w:rPr>
      </w:pPr>
      <w:r w:rsidRPr="00436502">
        <w:rPr>
          <w:rFonts w:ascii="Calibri" w:hAnsi="Calibri" w:cs="Calibri"/>
          <w:lang w:val="es-GT"/>
        </w:rPr>
        <w:t xml:space="preserve">Empresas del sector privado y asociaciones empresariales. </w:t>
      </w:r>
    </w:p>
    <w:p w:rsidR="00436502" w:rsidRPr="00436502" w:rsidRDefault="00436502" w:rsidP="00034917">
      <w:pPr>
        <w:jc w:val="both"/>
        <w:rPr>
          <w:rFonts w:ascii="Calibri" w:hAnsi="Calibri" w:cs="Calibri"/>
          <w:lang w:val="es-GT"/>
        </w:rPr>
      </w:pPr>
    </w:p>
    <w:p w:rsidR="00034917" w:rsidRPr="00436502" w:rsidRDefault="00034917" w:rsidP="00034917">
      <w:pPr>
        <w:jc w:val="both"/>
        <w:rPr>
          <w:rFonts w:ascii="Calibri" w:hAnsi="Calibri" w:cs="Calibri"/>
          <w:lang w:val="es-GT"/>
        </w:rPr>
      </w:pPr>
      <w:r w:rsidRPr="00436502">
        <w:rPr>
          <w:rFonts w:ascii="Calibri" w:hAnsi="Calibri" w:cs="Calibri"/>
          <w:lang w:val="es-GT"/>
        </w:rPr>
        <w:t>Identificar a todos los interesados o informantes clave, especialmente los pobres y marginados, es esencial para que la consulta produzca buenos resultados y mejor efectividad de la EAE (CFI, 1998).</w:t>
      </w:r>
    </w:p>
    <w:p w:rsidR="00034917" w:rsidRPr="00436502" w:rsidRDefault="00034917" w:rsidP="00034917">
      <w:pPr>
        <w:jc w:val="both"/>
        <w:rPr>
          <w:rFonts w:ascii="Calibri" w:hAnsi="Calibri" w:cs="Calibri"/>
          <w:lang w:val="es-GT"/>
        </w:rPr>
      </w:pPr>
    </w:p>
    <w:p w:rsidR="00034917" w:rsidRDefault="00034917" w:rsidP="00034917">
      <w:pPr>
        <w:jc w:val="both"/>
        <w:rPr>
          <w:rFonts w:ascii="Calibri" w:hAnsi="Calibri" w:cs="Calibri"/>
          <w:lang w:val="es-GT"/>
        </w:rPr>
      </w:pPr>
      <w:r w:rsidRPr="00436502">
        <w:rPr>
          <w:rFonts w:ascii="Calibri" w:hAnsi="Calibri" w:cs="Calibri"/>
          <w:lang w:val="es-GT"/>
        </w:rPr>
        <w:t xml:space="preserve">Algunas de las consultas públicas y validación de una EAE pueden exigir explícitamente situaciones concretas </w:t>
      </w:r>
      <w:r w:rsidRPr="00F92BC7">
        <w:rPr>
          <w:rFonts w:ascii="Calibri" w:hAnsi="Calibri" w:cs="Calibri"/>
          <w:highlight w:val="yellow"/>
          <w:lang w:val="es-GT"/>
        </w:rPr>
        <w:t>a los programas para desarrollo rural integra de FIDA a implementar,</w:t>
      </w:r>
      <w:r w:rsidRPr="00436502">
        <w:rPr>
          <w:rFonts w:ascii="Calibri" w:hAnsi="Calibri" w:cs="Calibri"/>
          <w:lang w:val="es-GT"/>
        </w:rPr>
        <w:t xml:space="preserve"> tales como: </w:t>
      </w:r>
    </w:p>
    <w:p w:rsidR="00F92BC7" w:rsidRPr="00436502" w:rsidRDefault="00F92BC7" w:rsidP="00034917">
      <w:pPr>
        <w:jc w:val="both"/>
        <w:rPr>
          <w:rFonts w:ascii="Calibri" w:hAnsi="Calibri" w:cs="Calibri"/>
          <w:lang w:val="es-GT"/>
        </w:rPr>
      </w:pPr>
    </w:p>
    <w:p w:rsidR="00034917" w:rsidRPr="00436502" w:rsidRDefault="00034917" w:rsidP="00EC05B0">
      <w:pPr>
        <w:numPr>
          <w:ilvl w:val="0"/>
          <w:numId w:val="70"/>
        </w:numPr>
        <w:jc w:val="both"/>
        <w:rPr>
          <w:rFonts w:ascii="Calibri" w:hAnsi="Calibri" w:cs="Calibri"/>
          <w:lang w:val="es-GT"/>
        </w:rPr>
      </w:pPr>
      <w:r w:rsidRPr="00436502">
        <w:rPr>
          <w:rFonts w:ascii="Calibri" w:hAnsi="Calibri" w:cs="Calibri"/>
          <w:lang w:val="es-GT"/>
        </w:rPr>
        <w:t>La inclusión o protección</w:t>
      </w:r>
      <w:r w:rsidR="00F92BC7">
        <w:rPr>
          <w:rFonts w:ascii="Calibri" w:hAnsi="Calibri" w:cs="Calibri"/>
          <w:lang w:val="es-GT"/>
        </w:rPr>
        <w:t xml:space="preserve"> de</w:t>
      </w:r>
      <w:r w:rsidRPr="00436502">
        <w:rPr>
          <w:rFonts w:ascii="Calibri" w:hAnsi="Calibri" w:cs="Calibri"/>
          <w:lang w:val="es-GT"/>
        </w:rPr>
        <w:t xml:space="preserve"> hábitats naturales.</w:t>
      </w:r>
    </w:p>
    <w:p w:rsidR="00034917" w:rsidRPr="00436502" w:rsidRDefault="00034917" w:rsidP="00EC05B0">
      <w:pPr>
        <w:numPr>
          <w:ilvl w:val="0"/>
          <w:numId w:val="70"/>
        </w:numPr>
        <w:jc w:val="both"/>
        <w:rPr>
          <w:rFonts w:ascii="Calibri" w:hAnsi="Calibri" w:cs="Calibri"/>
          <w:lang w:val="es-GT"/>
        </w:rPr>
      </w:pPr>
      <w:r w:rsidRPr="00436502">
        <w:rPr>
          <w:rFonts w:ascii="Calibri" w:hAnsi="Calibri" w:cs="Calibri"/>
          <w:lang w:val="es-GT"/>
        </w:rPr>
        <w:t>Las poblaciones indígenas o poco representadas.</w:t>
      </w:r>
    </w:p>
    <w:p w:rsidR="00034917" w:rsidRPr="00436502" w:rsidRDefault="00034917" w:rsidP="00EC05B0">
      <w:pPr>
        <w:numPr>
          <w:ilvl w:val="0"/>
          <w:numId w:val="70"/>
        </w:numPr>
        <w:jc w:val="both"/>
        <w:rPr>
          <w:rFonts w:ascii="Calibri" w:hAnsi="Calibri" w:cs="Calibri"/>
          <w:lang w:val="es-GT"/>
        </w:rPr>
      </w:pPr>
      <w:r w:rsidRPr="00436502">
        <w:rPr>
          <w:rFonts w:ascii="Calibri" w:hAnsi="Calibri" w:cs="Calibri"/>
          <w:lang w:val="es-GT"/>
        </w:rPr>
        <w:t xml:space="preserve">Protección del patrimonio cultural </w:t>
      </w:r>
    </w:p>
    <w:p w:rsidR="00034917" w:rsidRPr="00436502" w:rsidRDefault="00034917" w:rsidP="00EC05B0">
      <w:pPr>
        <w:numPr>
          <w:ilvl w:val="0"/>
          <w:numId w:val="70"/>
        </w:numPr>
        <w:jc w:val="both"/>
        <w:rPr>
          <w:rFonts w:ascii="Calibri" w:hAnsi="Calibri" w:cs="Calibri"/>
          <w:lang w:val="es-GT"/>
        </w:rPr>
      </w:pPr>
      <w:r w:rsidRPr="00436502">
        <w:rPr>
          <w:rFonts w:ascii="Calibri" w:hAnsi="Calibri" w:cs="Calibri"/>
          <w:lang w:val="es-GT"/>
        </w:rPr>
        <w:t>Reasentamiento voluntario.</w:t>
      </w:r>
    </w:p>
    <w:p w:rsidR="00034917" w:rsidRPr="00436502" w:rsidRDefault="00034917" w:rsidP="00EC05B0">
      <w:pPr>
        <w:numPr>
          <w:ilvl w:val="0"/>
          <w:numId w:val="70"/>
        </w:numPr>
        <w:jc w:val="both"/>
        <w:rPr>
          <w:rFonts w:ascii="Calibri" w:hAnsi="Calibri" w:cs="Calibri"/>
          <w:lang w:val="es-GT"/>
        </w:rPr>
      </w:pPr>
      <w:r w:rsidRPr="00436502">
        <w:rPr>
          <w:rFonts w:ascii="Calibri" w:hAnsi="Calibri" w:cs="Calibri"/>
          <w:lang w:val="es-GT"/>
        </w:rPr>
        <w:t>Silvicultura</w:t>
      </w:r>
      <w:r w:rsidR="00F92BC7">
        <w:rPr>
          <w:rFonts w:ascii="Calibri" w:hAnsi="Calibri" w:cs="Calibri"/>
          <w:lang w:val="es-GT"/>
        </w:rPr>
        <w:t>.</w:t>
      </w:r>
    </w:p>
    <w:p w:rsidR="00034917" w:rsidRPr="00436502" w:rsidRDefault="00034917" w:rsidP="00EC05B0">
      <w:pPr>
        <w:numPr>
          <w:ilvl w:val="0"/>
          <w:numId w:val="70"/>
        </w:numPr>
        <w:jc w:val="both"/>
        <w:rPr>
          <w:rFonts w:ascii="Calibri" w:hAnsi="Calibri" w:cs="Calibri"/>
          <w:lang w:val="es-GT"/>
        </w:rPr>
      </w:pPr>
      <w:r w:rsidRPr="00436502">
        <w:rPr>
          <w:rFonts w:ascii="Calibri" w:hAnsi="Calibri" w:cs="Calibri"/>
          <w:lang w:val="es-GT"/>
        </w:rPr>
        <w:t>Actividades o proyectos cercanos o en vías navegables internacionales, entre otros.</w:t>
      </w:r>
    </w:p>
    <w:p w:rsidR="00034917" w:rsidRPr="00436502" w:rsidRDefault="00034917" w:rsidP="00034917">
      <w:pPr>
        <w:jc w:val="both"/>
        <w:rPr>
          <w:rFonts w:ascii="Calibri" w:hAnsi="Calibri" w:cs="Calibri"/>
          <w:lang w:val="es-GT"/>
        </w:rPr>
      </w:pPr>
    </w:p>
    <w:p w:rsidR="00034917" w:rsidRDefault="00034917" w:rsidP="00034917">
      <w:pPr>
        <w:jc w:val="both"/>
        <w:rPr>
          <w:rFonts w:ascii="Calibri" w:hAnsi="Calibri" w:cs="Calibri"/>
          <w:lang w:val="es-GT"/>
        </w:rPr>
      </w:pPr>
      <w:r w:rsidRPr="00436502">
        <w:rPr>
          <w:rFonts w:ascii="Calibri" w:hAnsi="Calibri" w:cs="Calibri"/>
          <w:lang w:val="es-GT"/>
        </w:rPr>
        <w:t xml:space="preserve">Algunas consideraciones positivas y tomadas en cuenta </w:t>
      </w:r>
      <w:r w:rsidR="00F92BC7">
        <w:rPr>
          <w:rFonts w:ascii="Calibri" w:hAnsi="Calibri" w:cs="Calibri"/>
          <w:lang w:val="es-GT"/>
        </w:rPr>
        <w:t>durante</w:t>
      </w:r>
      <w:r w:rsidRPr="00436502">
        <w:rPr>
          <w:rFonts w:ascii="Calibri" w:hAnsi="Calibri" w:cs="Calibri"/>
          <w:lang w:val="es-GT"/>
        </w:rPr>
        <w:t xml:space="preserve"> el proceso de consulta pública, validación e información</w:t>
      </w:r>
      <w:r w:rsidR="00F92BC7">
        <w:rPr>
          <w:rFonts w:ascii="Calibri" w:hAnsi="Calibri" w:cs="Calibri"/>
          <w:lang w:val="es-GT"/>
        </w:rPr>
        <w:t>,</w:t>
      </w:r>
      <w:r w:rsidRPr="00436502">
        <w:rPr>
          <w:rFonts w:ascii="Calibri" w:hAnsi="Calibri" w:cs="Calibri"/>
          <w:lang w:val="es-GT"/>
        </w:rPr>
        <w:t xml:space="preserve"> permitirán a la EAE tener efectos positivos como los siguientes:</w:t>
      </w:r>
    </w:p>
    <w:p w:rsidR="00F92BC7" w:rsidRPr="00436502" w:rsidRDefault="00F92BC7" w:rsidP="00034917">
      <w:pPr>
        <w:jc w:val="both"/>
        <w:rPr>
          <w:rFonts w:ascii="Calibri" w:hAnsi="Calibri" w:cs="Calibri"/>
          <w:lang w:val="es-GT"/>
        </w:rPr>
      </w:pPr>
    </w:p>
    <w:p w:rsidR="00034917" w:rsidRPr="00436502" w:rsidRDefault="00034917" w:rsidP="00EC05B0">
      <w:pPr>
        <w:numPr>
          <w:ilvl w:val="0"/>
          <w:numId w:val="71"/>
        </w:numPr>
        <w:jc w:val="both"/>
        <w:rPr>
          <w:rFonts w:ascii="Calibri" w:hAnsi="Calibri" w:cs="Calibri"/>
          <w:lang w:val="es-GT"/>
        </w:rPr>
      </w:pPr>
      <w:r w:rsidRPr="00436502">
        <w:rPr>
          <w:rFonts w:ascii="Calibri" w:hAnsi="Calibri" w:cs="Calibri"/>
          <w:lang w:val="es-GT"/>
        </w:rPr>
        <w:t>Reducir el riesgo financiero de los programas de FIDA.</w:t>
      </w:r>
    </w:p>
    <w:p w:rsidR="00034917" w:rsidRPr="00436502" w:rsidRDefault="00034917" w:rsidP="00EC05B0">
      <w:pPr>
        <w:numPr>
          <w:ilvl w:val="0"/>
          <w:numId w:val="71"/>
        </w:numPr>
        <w:jc w:val="both"/>
        <w:rPr>
          <w:rFonts w:ascii="Calibri" w:hAnsi="Calibri" w:cs="Calibri"/>
          <w:lang w:val="es-GT"/>
        </w:rPr>
      </w:pPr>
      <w:r w:rsidRPr="00436502">
        <w:rPr>
          <w:rFonts w:ascii="Calibri" w:hAnsi="Calibri" w:cs="Calibri"/>
          <w:lang w:val="es-GT"/>
        </w:rPr>
        <w:t>Reducción de los costos directos.</w:t>
      </w:r>
    </w:p>
    <w:p w:rsidR="00034917" w:rsidRPr="00436502" w:rsidRDefault="00034917" w:rsidP="00EC05B0">
      <w:pPr>
        <w:numPr>
          <w:ilvl w:val="0"/>
          <w:numId w:val="71"/>
        </w:numPr>
        <w:jc w:val="both"/>
        <w:rPr>
          <w:rFonts w:ascii="Calibri" w:hAnsi="Calibri" w:cs="Calibri"/>
          <w:lang w:val="es-GT"/>
        </w:rPr>
      </w:pPr>
      <w:r w:rsidRPr="00436502">
        <w:rPr>
          <w:rFonts w:ascii="Calibri" w:hAnsi="Calibri" w:cs="Calibri"/>
          <w:lang w:val="es-GT"/>
        </w:rPr>
        <w:t xml:space="preserve">Aumento de los impactos sociales, ambientales e institucionales a la base de </w:t>
      </w:r>
      <w:r w:rsidR="00F92BC7">
        <w:rPr>
          <w:rFonts w:ascii="Calibri" w:hAnsi="Calibri" w:cs="Calibri"/>
          <w:lang w:val="es-GT"/>
        </w:rPr>
        <w:t xml:space="preserve">los </w:t>
      </w:r>
      <w:r w:rsidRPr="00436502">
        <w:rPr>
          <w:rFonts w:ascii="Calibri" w:hAnsi="Calibri" w:cs="Calibri"/>
          <w:lang w:val="es-GT"/>
        </w:rPr>
        <w:t>recursos naturales.</w:t>
      </w:r>
    </w:p>
    <w:p w:rsidR="00034917" w:rsidRPr="00436502" w:rsidRDefault="00034917" w:rsidP="00EC05B0">
      <w:pPr>
        <w:numPr>
          <w:ilvl w:val="0"/>
          <w:numId w:val="71"/>
        </w:numPr>
        <w:jc w:val="both"/>
        <w:rPr>
          <w:rFonts w:ascii="Calibri" w:hAnsi="Calibri" w:cs="Calibri"/>
          <w:lang w:val="es-GT"/>
        </w:rPr>
      </w:pPr>
      <w:r w:rsidRPr="00436502">
        <w:rPr>
          <w:rFonts w:ascii="Calibri" w:hAnsi="Calibri" w:cs="Calibri"/>
          <w:lang w:val="es-GT"/>
        </w:rPr>
        <w:t>Aumento de los beneficios sociales y económicos para mejorar el desarrollo rural integral de las comunidades.</w:t>
      </w:r>
    </w:p>
    <w:p w:rsidR="00034917" w:rsidRPr="00436502" w:rsidRDefault="00034917" w:rsidP="00034917">
      <w:pPr>
        <w:jc w:val="both"/>
        <w:rPr>
          <w:rFonts w:ascii="Calibri" w:hAnsi="Calibri" w:cs="Calibri"/>
          <w:lang w:val="es-GT"/>
        </w:rPr>
      </w:pPr>
    </w:p>
    <w:p w:rsidR="00034917" w:rsidRPr="00436502" w:rsidRDefault="00034917" w:rsidP="00034917">
      <w:pPr>
        <w:jc w:val="both"/>
        <w:rPr>
          <w:rFonts w:ascii="Calibri" w:hAnsi="Calibri" w:cs="Calibri"/>
          <w:lang w:val="es-GT"/>
        </w:rPr>
      </w:pPr>
      <w:r w:rsidRPr="00436502">
        <w:rPr>
          <w:rFonts w:ascii="Calibri" w:hAnsi="Calibri" w:cs="Calibri"/>
          <w:lang w:val="es-GT"/>
        </w:rPr>
        <w:t xml:space="preserve">Otra consideración ha sido la eficacia del costo de una buena consulta pública para evitar costos o impactos negativos en la implementación de una EAE, tales como: retrasos en actividades, </w:t>
      </w:r>
      <w:r w:rsidRPr="00436502">
        <w:rPr>
          <w:rFonts w:ascii="Calibri" w:hAnsi="Calibri" w:cs="Calibri"/>
          <w:lang w:val="es-GT"/>
        </w:rPr>
        <w:lastRenderedPageBreak/>
        <w:t xml:space="preserve">debilitamiento institucional, </w:t>
      </w:r>
      <w:r w:rsidR="00F92BC7">
        <w:rPr>
          <w:rFonts w:ascii="Calibri" w:hAnsi="Calibri" w:cs="Calibri"/>
          <w:lang w:val="es-GT"/>
        </w:rPr>
        <w:t xml:space="preserve">y </w:t>
      </w:r>
      <w:r w:rsidRPr="00436502">
        <w:rPr>
          <w:rFonts w:ascii="Calibri" w:hAnsi="Calibri" w:cs="Calibri"/>
          <w:lang w:val="es-GT"/>
        </w:rPr>
        <w:t>perjuicio o reputación del programa e instituciones implementadoras.</w:t>
      </w:r>
    </w:p>
    <w:p w:rsidR="00034917" w:rsidRPr="00436502" w:rsidRDefault="00034917" w:rsidP="00034917">
      <w:pPr>
        <w:jc w:val="both"/>
        <w:rPr>
          <w:rFonts w:ascii="Calibri" w:hAnsi="Calibri" w:cs="Calibri"/>
          <w:lang w:val="es-GT"/>
        </w:rPr>
      </w:pPr>
    </w:p>
    <w:p w:rsidR="00034917" w:rsidRPr="003D69DF" w:rsidRDefault="00034917" w:rsidP="00034917">
      <w:pPr>
        <w:jc w:val="both"/>
        <w:rPr>
          <w:rFonts w:ascii="Calibri" w:hAnsi="Calibri" w:cs="Calibri"/>
          <w:lang w:val="es-GT"/>
        </w:rPr>
      </w:pPr>
      <w:r w:rsidRPr="003D69DF">
        <w:rPr>
          <w:rFonts w:ascii="Calibri" w:hAnsi="Calibri" w:cs="Calibri"/>
          <w:lang w:val="es-GT"/>
        </w:rPr>
        <w:t>Las Evaluaciones Ambientales Estratégicas son propuestas que se retroalimentan mediante procesos de consulta con actores e informantes clave relacionados con el sujeto de evaluación, en el presente caso, el desarrollo rural integral. De forma similar, para la consolidación de la evaluación es necesario llevar a cabo procesos de socialización y validación de los resultados, conclusiones y directrices o recomendaciones de sustentabilidad ambiental.</w:t>
      </w:r>
    </w:p>
    <w:p w:rsidR="00034917" w:rsidRPr="003D69DF" w:rsidRDefault="00034917" w:rsidP="00034917">
      <w:pPr>
        <w:jc w:val="both"/>
        <w:rPr>
          <w:rFonts w:ascii="Calibri" w:hAnsi="Calibri" w:cs="Calibri"/>
          <w:lang w:val="es-GT"/>
        </w:rPr>
      </w:pPr>
    </w:p>
    <w:p w:rsidR="00034917" w:rsidRPr="003D69DF" w:rsidRDefault="00034917" w:rsidP="00034917">
      <w:pPr>
        <w:jc w:val="both"/>
        <w:rPr>
          <w:rFonts w:ascii="Calibri" w:hAnsi="Calibri" w:cs="Calibri"/>
          <w:lang w:val="es-GT"/>
        </w:rPr>
      </w:pPr>
      <w:r w:rsidRPr="003D69DF">
        <w:rPr>
          <w:rFonts w:ascii="Calibri" w:hAnsi="Calibri" w:cs="Calibri"/>
          <w:lang w:val="es-GT"/>
        </w:rPr>
        <w:t>El diseño del proceso de consulta y validación fue realizado en las fases iniciales de la evaluación</w:t>
      </w:r>
      <w:r w:rsidR="00F7077A">
        <w:rPr>
          <w:rFonts w:ascii="Calibri" w:hAnsi="Calibri" w:cs="Calibri"/>
          <w:lang w:val="es-GT"/>
        </w:rPr>
        <w:t xml:space="preserve"> ambiental estratégica</w:t>
      </w:r>
      <w:r w:rsidRPr="003D69DF">
        <w:rPr>
          <w:rFonts w:ascii="Calibri" w:hAnsi="Calibri" w:cs="Calibri"/>
          <w:lang w:val="es-GT"/>
        </w:rPr>
        <w:t xml:space="preserve"> mediante la conformación de una metodología, la identificación y convocatoria de los actores e informantes clave, el diseño de las herramientas e instrumentos a utilizar en el proceso y la planificación de las actividades. Inicialmente</w:t>
      </w:r>
      <w:r w:rsidR="00F7077A">
        <w:rPr>
          <w:rFonts w:ascii="Calibri" w:hAnsi="Calibri" w:cs="Calibri"/>
          <w:lang w:val="es-GT"/>
        </w:rPr>
        <w:t>,</w:t>
      </w:r>
      <w:r w:rsidRPr="003D69DF">
        <w:rPr>
          <w:rFonts w:ascii="Calibri" w:hAnsi="Calibri" w:cs="Calibri"/>
          <w:lang w:val="es-GT"/>
        </w:rPr>
        <w:t xml:space="preserve"> el método fue calibrado dentro del equipo técnico, con el objetivo de evaluar su efectividad al momento de desarrollar las actividades del proceso de consulta. </w:t>
      </w:r>
    </w:p>
    <w:p w:rsidR="00034917" w:rsidRPr="003D69DF" w:rsidRDefault="00034917" w:rsidP="00034917">
      <w:pPr>
        <w:jc w:val="both"/>
        <w:rPr>
          <w:rFonts w:ascii="Calibri" w:hAnsi="Calibri" w:cs="Calibri"/>
          <w:lang w:val="es-GT"/>
        </w:rPr>
      </w:pPr>
    </w:p>
    <w:p w:rsidR="00034917" w:rsidRPr="00436502" w:rsidRDefault="00034917" w:rsidP="00034917">
      <w:pPr>
        <w:jc w:val="both"/>
        <w:rPr>
          <w:rFonts w:ascii="Calibri" w:hAnsi="Calibri" w:cs="Calibri"/>
          <w:lang w:val="es-GT"/>
        </w:rPr>
      </w:pPr>
      <w:r w:rsidRPr="00436502">
        <w:rPr>
          <w:rFonts w:ascii="Calibri" w:hAnsi="Calibri" w:cs="Calibri"/>
          <w:lang w:val="es-GT"/>
        </w:rPr>
        <w:t xml:space="preserve">Tomando </w:t>
      </w:r>
      <w:r w:rsidR="00F7077A">
        <w:rPr>
          <w:rFonts w:ascii="Calibri" w:hAnsi="Calibri" w:cs="Calibri"/>
          <w:lang w:val="es-GT"/>
        </w:rPr>
        <w:t>como</w:t>
      </w:r>
      <w:r w:rsidRPr="00436502">
        <w:rPr>
          <w:rFonts w:ascii="Calibri" w:hAnsi="Calibri" w:cs="Calibri"/>
          <w:lang w:val="es-GT"/>
        </w:rPr>
        <w:t xml:space="preserve"> base lo establecido por CFI en 1998, se consideraron las 11 medidas para la gestión de la consulta pública. Sin embargo, el nivel de abordaje o profundidad por cada medida fue proporcional al desarrollo de la EAE.  La consulta pública no debe considerarse una actividad aislada, se trata de un proceso interactivo que comienza durante el diseño conceptual de un proyecto y continúa a lo largo de las etapas de construcción y operación. Las medidas de gestión se plantean para orientar a los implementadores en la preparación y aplicación eficaz de un proceso de divulgación y consulta pública en cualquier momento de la EAE, las cuales se describen a continuación:</w:t>
      </w:r>
    </w:p>
    <w:p w:rsidR="00034917" w:rsidRPr="00436502" w:rsidRDefault="00034917" w:rsidP="00034917">
      <w:pPr>
        <w:jc w:val="both"/>
        <w:rPr>
          <w:rFonts w:ascii="Calibri" w:hAnsi="Calibri" w:cs="Calibri"/>
          <w:lang w:val="es-GT"/>
        </w:rPr>
      </w:pPr>
    </w:p>
    <w:p w:rsidR="00034917" w:rsidRPr="00436502" w:rsidRDefault="00F7077A" w:rsidP="00EC05B0">
      <w:pPr>
        <w:numPr>
          <w:ilvl w:val="0"/>
          <w:numId w:val="72"/>
        </w:numPr>
        <w:jc w:val="both"/>
        <w:rPr>
          <w:rFonts w:ascii="Calibri" w:hAnsi="Calibri" w:cs="Calibri"/>
          <w:lang w:val="es-GT"/>
        </w:rPr>
      </w:pPr>
      <w:r>
        <w:rPr>
          <w:rFonts w:ascii="Calibri" w:hAnsi="Calibri" w:cs="Calibri"/>
          <w:lang w:val="es-GT"/>
        </w:rPr>
        <w:t>Planificación anticipada.</w:t>
      </w:r>
      <w:r w:rsidR="00034917" w:rsidRPr="00436502">
        <w:rPr>
          <w:rFonts w:ascii="Calibri" w:hAnsi="Calibri" w:cs="Calibri"/>
          <w:lang w:val="es-GT"/>
        </w:rPr>
        <w:t xml:space="preserve"> </w:t>
      </w:r>
      <w:r>
        <w:rPr>
          <w:rFonts w:ascii="Calibri" w:hAnsi="Calibri" w:cs="Calibri"/>
          <w:lang w:val="es-GT"/>
        </w:rPr>
        <w:t>R</w:t>
      </w:r>
      <w:r w:rsidR="00034917" w:rsidRPr="00436502">
        <w:rPr>
          <w:rFonts w:ascii="Calibri" w:hAnsi="Calibri" w:cs="Calibri"/>
          <w:lang w:val="es-GT"/>
        </w:rPr>
        <w:t xml:space="preserve">equiere </w:t>
      </w:r>
      <w:r>
        <w:rPr>
          <w:rFonts w:ascii="Calibri" w:hAnsi="Calibri" w:cs="Calibri"/>
          <w:lang w:val="es-GT"/>
        </w:rPr>
        <w:t xml:space="preserve">de </w:t>
      </w:r>
      <w:r w:rsidR="00034917" w:rsidRPr="00436502">
        <w:rPr>
          <w:rFonts w:ascii="Calibri" w:hAnsi="Calibri" w:cs="Calibri"/>
          <w:lang w:val="es-GT"/>
        </w:rPr>
        <w:t>una actividad de investigación para identificar: i) cualquier riesgo que pueda plantear al proyecto el contexto ambiental y social local; ii) las personas o grupos importantes que puedan verse afectados por el programa o que puedan influir negativa o positivamente en sus resultados; y iii) los requisitos normativos locales que contemplan la participación del público.</w:t>
      </w:r>
    </w:p>
    <w:p w:rsidR="00034917" w:rsidRPr="00436502" w:rsidRDefault="00034917" w:rsidP="00034917">
      <w:pPr>
        <w:ind w:left="720"/>
        <w:jc w:val="both"/>
        <w:rPr>
          <w:rFonts w:ascii="Calibri" w:hAnsi="Calibri" w:cs="Calibri"/>
          <w:lang w:val="es-GT"/>
        </w:rPr>
      </w:pPr>
    </w:p>
    <w:p w:rsidR="00034917" w:rsidRPr="00436502" w:rsidRDefault="00034917" w:rsidP="00EC05B0">
      <w:pPr>
        <w:numPr>
          <w:ilvl w:val="0"/>
          <w:numId w:val="72"/>
        </w:numPr>
        <w:autoSpaceDE w:val="0"/>
        <w:autoSpaceDN w:val="0"/>
        <w:adjustRightInd w:val="0"/>
        <w:jc w:val="both"/>
        <w:rPr>
          <w:rFonts w:ascii="Calibri" w:hAnsi="Calibri" w:cs="Calibri"/>
          <w:lang w:val="es-GT"/>
        </w:rPr>
      </w:pPr>
      <w:r w:rsidRPr="00436502">
        <w:rPr>
          <w:rFonts w:ascii="Calibri" w:hAnsi="Calibri" w:cs="Calibri"/>
          <w:lang w:val="es-GT"/>
        </w:rPr>
        <w:t>Ensayo del progr</w:t>
      </w:r>
      <w:r w:rsidR="00BE31CC">
        <w:rPr>
          <w:rFonts w:ascii="Calibri" w:hAnsi="Calibri" w:cs="Calibri"/>
          <w:lang w:val="es-GT"/>
        </w:rPr>
        <w:t>ama. E</w:t>
      </w:r>
      <w:r w:rsidRPr="00436502">
        <w:rPr>
          <w:rFonts w:ascii="Calibri" w:hAnsi="Calibri" w:cs="Calibri"/>
          <w:lang w:val="es-GT"/>
        </w:rPr>
        <w:t>s necesario ensayar las propuestas. Por ejemplo, preguntarse si el proceso de gestión previsto estará estructurado de manera que: identifique, informe, de oportunidades de participación o exposición de inquietudes, responda a preocupaciones y comunique las respuestas a las personas o grupos consultados</w:t>
      </w:r>
    </w:p>
    <w:p w:rsidR="00034917" w:rsidRPr="00436502" w:rsidRDefault="00034917" w:rsidP="00034917">
      <w:pPr>
        <w:pStyle w:val="Prrafodelista"/>
        <w:spacing w:after="0" w:line="240" w:lineRule="auto"/>
        <w:contextualSpacing w:val="0"/>
        <w:rPr>
          <w:rFonts w:cs="Calibri"/>
          <w:sz w:val="24"/>
          <w:szCs w:val="24"/>
        </w:rPr>
      </w:pPr>
    </w:p>
    <w:p w:rsidR="00034917" w:rsidRPr="00436502" w:rsidRDefault="00BE31CC" w:rsidP="00EC05B0">
      <w:pPr>
        <w:numPr>
          <w:ilvl w:val="0"/>
          <w:numId w:val="72"/>
        </w:numPr>
        <w:jc w:val="both"/>
        <w:rPr>
          <w:rFonts w:ascii="Calibri" w:hAnsi="Calibri" w:cs="Calibri"/>
          <w:lang w:val="es-GT"/>
        </w:rPr>
      </w:pPr>
      <w:r>
        <w:rPr>
          <w:rFonts w:ascii="Calibri" w:hAnsi="Calibri" w:cs="Calibri"/>
          <w:lang w:val="es-GT"/>
        </w:rPr>
        <w:t>Inversión de tiempo y dinero.</w:t>
      </w:r>
      <w:r w:rsidR="00034917" w:rsidRPr="00436502">
        <w:rPr>
          <w:rFonts w:ascii="Calibri" w:hAnsi="Calibri" w:cs="Calibri"/>
          <w:lang w:val="es-GT"/>
        </w:rPr>
        <w:t xml:space="preserve"> </w:t>
      </w:r>
      <w:r>
        <w:rPr>
          <w:rFonts w:ascii="Calibri" w:hAnsi="Calibri" w:cs="Calibri"/>
          <w:lang w:val="es-GT"/>
        </w:rPr>
        <w:t>S</w:t>
      </w:r>
      <w:r w:rsidR="00034917" w:rsidRPr="00436502">
        <w:rPr>
          <w:rFonts w:ascii="Calibri" w:hAnsi="Calibri" w:cs="Calibri"/>
          <w:lang w:val="es-GT"/>
        </w:rPr>
        <w:t>ebe considerarse como una inversión necesaria en el futuro del programa o de la EAE.  En este sentido</w:t>
      </w:r>
      <w:r>
        <w:rPr>
          <w:rFonts w:ascii="Calibri" w:hAnsi="Calibri" w:cs="Calibri"/>
          <w:lang w:val="es-GT"/>
        </w:rPr>
        <w:t>,</w:t>
      </w:r>
      <w:r w:rsidR="00034917" w:rsidRPr="00436502">
        <w:rPr>
          <w:rFonts w:ascii="Calibri" w:hAnsi="Calibri" w:cs="Calibri"/>
          <w:lang w:val="es-GT"/>
        </w:rPr>
        <w:t xml:space="preserve"> la EAE debe tener un presupuesto específico destinado únicamente para consulta, validación e información de la implementación de la EAE.</w:t>
      </w:r>
    </w:p>
    <w:p w:rsidR="00034917" w:rsidRPr="00436502" w:rsidRDefault="00034917" w:rsidP="00034917">
      <w:pPr>
        <w:pStyle w:val="Prrafodelista"/>
        <w:spacing w:after="0" w:line="240" w:lineRule="auto"/>
        <w:contextualSpacing w:val="0"/>
        <w:rPr>
          <w:rFonts w:cs="Calibri"/>
          <w:sz w:val="24"/>
          <w:szCs w:val="24"/>
        </w:rPr>
      </w:pPr>
    </w:p>
    <w:p w:rsidR="00034917" w:rsidRPr="00436502" w:rsidRDefault="00034917" w:rsidP="00EC05B0">
      <w:pPr>
        <w:numPr>
          <w:ilvl w:val="0"/>
          <w:numId w:val="72"/>
        </w:numPr>
        <w:autoSpaceDE w:val="0"/>
        <w:autoSpaceDN w:val="0"/>
        <w:adjustRightInd w:val="0"/>
        <w:jc w:val="both"/>
        <w:rPr>
          <w:rFonts w:ascii="Calibri" w:hAnsi="Calibri" w:cs="Calibri"/>
          <w:lang w:val="es-GT"/>
        </w:rPr>
      </w:pPr>
      <w:r w:rsidRPr="00436502">
        <w:rPr>
          <w:rFonts w:ascii="Calibri" w:hAnsi="Calibri" w:cs="Calibri"/>
          <w:lang w:val="es-GT"/>
        </w:rPr>
        <w:t>Participación directa</w:t>
      </w:r>
      <w:r w:rsidR="00BE31CC">
        <w:rPr>
          <w:rFonts w:ascii="Calibri" w:hAnsi="Calibri" w:cs="Calibri"/>
          <w:lang w:val="es-GT"/>
        </w:rPr>
        <w:t xml:space="preserve"> de los gerentes de operaciones. P</w:t>
      </w:r>
      <w:r w:rsidRPr="00436502">
        <w:rPr>
          <w:rFonts w:ascii="Calibri" w:hAnsi="Calibri" w:cs="Calibri"/>
          <w:lang w:val="es-GT"/>
        </w:rPr>
        <w:t>or lo regular</w:t>
      </w:r>
      <w:r w:rsidR="00BE31CC">
        <w:rPr>
          <w:rFonts w:ascii="Calibri" w:hAnsi="Calibri" w:cs="Calibri"/>
          <w:lang w:val="es-GT"/>
        </w:rPr>
        <w:t>,</w:t>
      </w:r>
      <w:r w:rsidRPr="00436502">
        <w:rPr>
          <w:rFonts w:ascii="Calibri" w:hAnsi="Calibri" w:cs="Calibri"/>
          <w:lang w:val="es-GT"/>
        </w:rPr>
        <w:t xml:space="preserve"> la dedicación de los directivos superiores no es suficiente para lograr los objetivos de la consulta pública, es </w:t>
      </w:r>
      <w:r w:rsidRPr="00436502">
        <w:rPr>
          <w:rFonts w:ascii="Calibri" w:hAnsi="Calibri" w:cs="Calibri"/>
          <w:lang w:val="es-GT"/>
        </w:rPr>
        <w:lastRenderedPageBreak/>
        <w:t>necesario el apoyo y la participación activa de los niveles más altos de la administración y su compromiso de integrar las preocupaciones de los interesados.</w:t>
      </w:r>
    </w:p>
    <w:p w:rsidR="00034917" w:rsidRPr="00436502" w:rsidRDefault="00034917" w:rsidP="00034917">
      <w:pPr>
        <w:ind w:left="720"/>
        <w:jc w:val="both"/>
        <w:rPr>
          <w:rFonts w:ascii="Calibri" w:hAnsi="Calibri" w:cs="Calibri"/>
          <w:lang w:val="es-GT"/>
        </w:rPr>
      </w:pPr>
    </w:p>
    <w:p w:rsidR="009C5346" w:rsidRDefault="00034917" w:rsidP="00EC05B0">
      <w:pPr>
        <w:numPr>
          <w:ilvl w:val="0"/>
          <w:numId w:val="72"/>
        </w:numPr>
        <w:autoSpaceDE w:val="0"/>
        <w:autoSpaceDN w:val="0"/>
        <w:adjustRightInd w:val="0"/>
        <w:jc w:val="both"/>
        <w:rPr>
          <w:rFonts w:ascii="Calibri" w:hAnsi="Calibri" w:cs="Calibri"/>
          <w:lang w:val="es-GT"/>
        </w:rPr>
      </w:pPr>
      <w:r w:rsidRPr="00436502">
        <w:rPr>
          <w:rFonts w:ascii="Calibri" w:hAnsi="Calibri" w:cs="Calibri"/>
          <w:lang w:val="es-GT"/>
        </w:rPr>
        <w:t>Contratación y cap</w:t>
      </w:r>
      <w:r w:rsidR="009C5346">
        <w:rPr>
          <w:rFonts w:ascii="Calibri" w:hAnsi="Calibri" w:cs="Calibri"/>
          <w:lang w:val="es-GT"/>
        </w:rPr>
        <w:t>acitación del personal adecuado. E</w:t>
      </w:r>
      <w:r w:rsidRPr="00436502">
        <w:rPr>
          <w:rFonts w:ascii="Calibri" w:hAnsi="Calibri" w:cs="Calibri"/>
          <w:lang w:val="es-GT"/>
        </w:rPr>
        <w:t xml:space="preserve">n esta medida se tiene que designar a una persona, que actuará como agente de enlace con la comunidad o actores clave del proceso </w:t>
      </w:r>
      <w:r w:rsidR="009C5346">
        <w:rPr>
          <w:rFonts w:ascii="Calibri" w:hAnsi="Calibri" w:cs="Calibri"/>
          <w:lang w:val="es-GT"/>
        </w:rPr>
        <w:t>de EAE, o a un equipo que posea</w:t>
      </w:r>
      <w:r w:rsidRPr="00436502">
        <w:rPr>
          <w:rFonts w:ascii="Calibri" w:hAnsi="Calibri" w:cs="Calibri"/>
          <w:lang w:val="es-GT"/>
        </w:rPr>
        <w:t xml:space="preserve"> las cualificaciones y la autoridad pertinentes para la realización de actividades de consulta pública en diferentes niveles. </w:t>
      </w:r>
    </w:p>
    <w:p w:rsidR="009C5346" w:rsidRDefault="009C5346" w:rsidP="009C5346">
      <w:pPr>
        <w:pStyle w:val="Prrafodelista"/>
        <w:rPr>
          <w:rFonts w:cs="Calibri"/>
        </w:rPr>
      </w:pPr>
    </w:p>
    <w:p w:rsidR="00034917" w:rsidRPr="00436502" w:rsidRDefault="00034917" w:rsidP="00EC05B0">
      <w:pPr>
        <w:numPr>
          <w:ilvl w:val="0"/>
          <w:numId w:val="72"/>
        </w:numPr>
        <w:autoSpaceDE w:val="0"/>
        <w:autoSpaceDN w:val="0"/>
        <w:adjustRightInd w:val="0"/>
        <w:jc w:val="both"/>
        <w:rPr>
          <w:rFonts w:ascii="Calibri" w:hAnsi="Calibri" w:cs="Calibri"/>
          <w:lang w:val="es-GT"/>
        </w:rPr>
      </w:pPr>
      <w:r w:rsidRPr="00436502">
        <w:rPr>
          <w:rFonts w:ascii="Calibri" w:hAnsi="Calibri" w:cs="Calibri"/>
          <w:lang w:val="es-GT"/>
        </w:rPr>
        <w:t>Mantenimiento d</w:t>
      </w:r>
      <w:r w:rsidR="009C5346">
        <w:rPr>
          <w:rFonts w:ascii="Calibri" w:hAnsi="Calibri" w:cs="Calibri"/>
          <w:lang w:val="es-GT"/>
        </w:rPr>
        <w:t>e la responsabilidad general p</w:t>
      </w:r>
      <w:r w:rsidRPr="00436502">
        <w:rPr>
          <w:rFonts w:ascii="Calibri" w:hAnsi="Calibri" w:cs="Calibri"/>
          <w:lang w:val="es-GT"/>
        </w:rPr>
        <w:t xml:space="preserve">ara la realización de las actividades de consulta, por ejemplo: que sean deficientes, si no realizan consultas; si el mensaje no </w:t>
      </w:r>
      <w:r w:rsidR="009C5346">
        <w:rPr>
          <w:rFonts w:ascii="Calibri" w:hAnsi="Calibri" w:cs="Calibri"/>
          <w:lang w:val="es-GT"/>
        </w:rPr>
        <w:t>es el adecuado a los beneficios;</w:t>
      </w:r>
      <w:r w:rsidRPr="00436502">
        <w:rPr>
          <w:rFonts w:ascii="Calibri" w:hAnsi="Calibri" w:cs="Calibri"/>
          <w:lang w:val="es-GT"/>
        </w:rPr>
        <w:t xml:space="preserve"> falsas expectativas (oportunidades de empleo) que no se podrán cumplir; o si no aplican las medidas, entre otras.</w:t>
      </w:r>
    </w:p>
    <w:p w:rsidR="00034917" w:rsidRPr="00436502" w:rsidRDefault="00034917" w:rsidP="00034917">
      <w:pPr>
        <w:autoSpaceDE w:val="0"/>
        <w:autoSpaceDN w:val="0"/>
        <w:adjustRightInd w:val="0"/>
        <w:ind w:left="720"/>
        <w:jc w:val="both"/>
        <w:rPr>
          <w:rFonts w:ascii="Calibri" w:hAnsi="Calibri" w:cs="Calibri"/>
          <w:lang w:val="es-GT"/>
        </w:rPr>
      </w:pPr>
    </w:p>
    <w:p w:rsidR="00034917" w:rsidRPr="00436502" w:rsidRDefault="00034917" w:rsidP="00EC05B0">
      <w:pPr>
        <w:numPr>
          <w:ilvl w:val="0"/>
          <w:numId w:val="72"/>
        </w:numPr>
        <w:autoSpaceDE w:val="0"/>
        <w:autoSpaceDN w:val="0"/>
        <w:adjustRightInd w:val="0"/>
        <w:jc w:val="both"/>
        <w:rPr>
          <w:rFonts w:ascii="Calibri" w:hAnsi="Calibri" w:cs="Calibri"/>
          <w:lang w:val="es-GT"/>
        </w:rPr>
      </w:pPr>
      <w:r w:rsidRPr="00436502">
        <w:rPr>
          <w:rFonts w:ascii="Calibri" w:hAnsi="Calibri" w:cs="Calibri"/>
          <w:lang w:val="es-GT"/>
        </w:rPr>
        <w:t>Coordinación de to</w:t>
      </w:r>
      <w:r w:rsidR="009C5346">
        <w:rPr>
          <w:rFonts w:ascii="Calibri" w:hAnsi="Calibri" w:cs="Calibri"/>
          <w:lang w:val="es-GT"/>
        </w:rPr>
        <w:t>das las actividades de consulta.</w:t>
      </w:r>
      <w:r w:rsidRPr="00436502">
        <w:rPr>
          <w:rFonts w:ascii="Calibri" w:hAnsi="Calibri" w:cs="Calibri"/>
          <w:lang w:val="es-GT"/>
        </w:rPr>
        <w:t xml:space="preserve"> La coordinación hará que la información transmitida sea coherente, mejorará la eficiencia, reducirá la confusión y hará menos probable que la EAE adquiera compromisos incompatibles entre sí.</w:t>
      </w:r>
    </w:p>
    <w:p w:rsidR="00034917" w:rsidRPr="00436502" w:rsidRDefault="00034917" w:rsidP="00034917">
      <w:pPr>
        <w:autoSpaceDE w:val="0"/>
        <w:autoSpaceDN w:val="0"/>
        <w:adjustRightInd w:val="0"/>
        <w:ind w:left="720"/>
        <w:jc w:val="both"/>
        <w:rPr>
          <w:rFonts w:ascii="Calibri" w:hAnsi="Calibri" w:cs="Calibri"/>
          <w:lang w:val="es-GT"/>
        </w:rPr>
      </w:pPr>
    </w:p>
    <w:p w:rsidR="00034917" w:rsidRPr="00436502" w:rsidRDefault="00034917" w:rsidP="00EC05B0">
      <w:pPr>
        <w:numPr>
          <w:ilvl w:val="0"/>
          <w:numId w:val="72"/>
        </w:numPr>
        <w:autoSpaceDE w:val="0"/>
        <w:autoSpaceDN w:val="0"/>
        <w:adjustRightInd w:val="0"/>
        <w:jc w:val="both"/>
        <w:rPr>
          <w:rFonts w:ascii="Calibri" w:hAnsi="Calibri" w:cs="Calibri"/>
          <w:lang w:val="es-GT"/>
        </w:rPr>
      </w:pPr>
      <w:r w:rsidRPr="00436502">
        <w:rPr>
          <w:rFonts w:ascii="Calibri" w:hAnsi="Calibri" w:cs="Calibri"/>
          <w:lang w:val="es-GT"/>
        </w:rPr>
        <w:t>Foment</w:t>
      </w:r>
      <w:r w:rsidR="009C5346">
        <w:rPr>
          <w:rFonts w:ascii="Calibri" w:hAnsi="Calibri" w:cs="Calibri"/>
          <w:lang w:val="es-GT"/>
        </w:rPr>
        <w:t>o del diálogo y de la confianza.</w:t>
      </w:r>
      <w:r w:rsidRPr="00436502">
        <w:rPr>
          <w:rFonts w:ascii="Calibri" w:hAnsi="Calibri" w:cs="Calibri"/>
          <w:lang w:val="es-GT"/>
        </w:rPr>
        <w:t xml:space="preserve"> Es importante procurar que sean siempre las mismas personas quienes lleven a cabo las consultas públicas e interactúen con los interesados fundamentales. Crear familiaridad permitirá comprender las inquietudes prioritarias y las necesidades de los grupos afectados, así como la dinámica de poder y las estructuras sociales a nivel local. Por otra parte, será más probable que los grupos afectados acepten las directrices de la EAE si confían en el compromiso de la misma con ellos y comprenden las limitaciones a que está sujeto el implementador. </w:t>
      </w:r>
    </w:p>
    <w:p w:rsidR="00034917" w:rsidRPr="00436502" w:rsidRDefault="00034917" w:rsidP="00034917">
      <w:pPr>
        <w:autoSpaceDE w:val="0"/>
        <w:autoSpaceDN w:val="0"/>
        <w:adjustRightInd w:val="0"/>
        <w:ind w:left="720"/>
        <w:jc w:val="both"/>
        <w:rPr>
          <w:rFonts w:ascii="Calibri" w:hAnsi="Calibri" w:cs="Calibri"/>
          <w:lang w:val="es-GT"/>
        </w:rPr>
      </w:pPr>
    </w:p>
    <w:p w:rsidR="00034917" w:rsidRPr="00436502" w:rsidRDefault="00034917" w:rsidP="00EC05B0">
      <w:pPr>
        <w:numPr>
          <w:ilvl w:val="0"/>
          <w:numId w:val="72"/>
        </w:numPr>
        <w:autoSpaceDE w:val="0"/>
        <w:autoSpaceDN w:val="0"/>
        <w:adjustRightInd w:val="0"/>
        <w:jc w:val="both"/>
        <w:rPr>
          <w:rFonts w:ascii="Calibri" w:hAnsi="Calibri" w:cs="Calibri"/>
          <w:lang w:val="es-GT"/>
        </w:rPr>
      </w:pPr>
      <w:r w:rsidRPr="00436502">
        <w:rPr>
          <w:rFonts w:ascii="Calibri" w:hAnsi="Calibri" w:cs="Calibri"/>
          <w:lang w:val="es-GT"/>
        </w:rPr>
        <w:t>Gestión de las expectativas</w:t>
      </w:r>
      <w:r w:rsidR="009C5346">
        <w:rPr>
          <w:rFonts w:ascii="Calibri" w:hAnsi="Calibri" w:cs="Calibri"/>
          <w:lang w:val="es-GT"/>
        </w:rPr>
        <w:t>. L</w:t>
      </w:r>
      <w:r w:rsidRPr="00436502">
        <w:rPr>
          <w:rFonts w:ascii="Calibri" w:hAnsi="Calibri" w:cs="Calibri"/>
          <w:lang w:val="es-GT"/>
        </w:rPr>
        <w:t xml:space="preserve">as consultas brindan una oportunidad de explicar el papel de la EAE y los límites de su aportación a las comunidades locales </w:t>
      </w:r>
      <w:r w:rsidRPr="009C5346">
        <w:rPr>
          <w:rFonts w:ascii="Calibri" w:hAnsi="Calibri" w:cs="Calibri"/>
          <w:highlight w:val="yellow"/>
          <w:lang w:val="es-GT"/>
        </w:rPr>
        <w:t>e implementador del programa</w:t>
      </w:r>
      <w:r w:rsidRPr="00436502">
        <w:rPr>
          <w:rFonts w:ascii="Calibri" w:hAnsi="Calibri" w:cs="Calibri"/>
          <w:lang w:val="es-GT"/>
        </w:rPr>
        <w:t xml:space="preserve"> y de su responsabilidad para con ellos. Para evitar exigencias y expectativas poco realistas, el implementador debe adoptar desde el principio una actitud clara y firme al describir cuáles pueden ser los resultados del proyecto. </w:t>
      </w:r>
    </w:p>
    <w:p w:rsidR="00034917" w:rsidRPr="00436502" w:rsidRDefault="00034917" w:rsidP="00034917">
      <w:pPr>
        <w:autoSpaceDE w:val="0"/>
        <w:autoSpaceDN w:val="0"/>
        <w:adjustRightInd w:val="0"/>
        <w:ind w:left="720"/>
        <w:jc w:val="both"/>
        <w:rPr>
          <w:rFonts w:ascii="Calibri" w:hAnsi="Calibri" w:cs="Calibri"/>
          <w:lang w:val="es-GT"/>
        </w:rPr>
      </w:pPr>
    </w:p>
    <w:p w:rsidR="00034917" w:rsidRPr="00436502" w:rsidRDefault="00034917" w:rsidP="00EC05B0">
      <w:pPr>
        <w:numPr>
          <w:ilvl w:val="0"/>
          <w:numId w:val="72"/>
        </w:numPr>
        <w:autoSpaceDE w:val="0"/>
        <w:autoSpaceDN w:val="0"/>
        <w:adjustRightInd w:val="0"/>
        <w:jc w:val="both"/>
        <w:rPr>
          <w:rFonts w:ascii="Calibri" w:hAnsi="Calibri" w:cs="Calibri"/>
          <w:lang w:val="es-GT"/>
        </w:rPr>
      </w:pPr>
      <w:r w:rsidRPr="00436502">
        <w:rPr>
          <w:rFonts w:ascii="Calibri" w:hAnsi="Calibri" w:cs="Calibri"/>
          <w:lang w:val="es-GT"/>
        </w:rPr>
        <w:t>Colaboración con los gobiernos</w:t>
      </w:r>
      <w:r w:rsidR="009C5346">
        <w:rPr>
          <w:rFonts w:ascii="Calibri" w:hAnsi="Calibri" w:cs="Calibri"/>
          <w:lang w:val="es-GT"/>
        </w:rPr>
        <w:t>.</w:t>
      </w:r>
      <w:r w:rsidRPr="00436502">
        <w:rPr>
          <w:rFonts w:ascii="Calibri" w:hAnsi="Calibri" w:cs="Calibri"/>
          <w:lang w:val="es-GT"/>
        </w:rPr>
        <w:t xml:space="preserve"> El éxito de la EAE depende de forma decisiva del apoyo de las autoridades</w:t>
      </w:r>
      <w:r w:rsidR="009C5346">
        <w:rPr>
          <w:rFonts w:ascii="Calibri" w:hAnsi="Calibri" w:cs="Calibri"/>
          <w:lang w:val="es-GT"/>
        </w:rPr>
        <w:t>,</w:t>
      </w:r>
      <w:r w:rsidRPr="00436502">
        <w:rPr>
          <w:rFonts w:ascii="Calibri" w:hAnsi="Calibri" w:cs="Calibri"/>
          <w:lang w:val="es-GT"/>
        </w:rPr>
        <w:t xml:space="preserve"> y una buena relación de trabajo con los departamentos competentes de la administración pública es esencial. La consulta es un instrumento muy útil para obtener la aceptación de la EAE y de los programas por parte del gobierno. </w:t>
      </w:r>
      <w:r w:rsidRPr="009C5346">
        <w:rPr>
          <w:rFonts w:ascii="Calibri" w:hAnsi="Calibri" w:cs="Calibri"/>
          <w:highlight w:val="yellow"/>
          <w:lang w:val="es-GT"/>
        </w:rPr>
        <w:t>Siempre que sea posible, habrá que colaborar estrechamente con las autoridades competentes, que para este caso es el desarrollo rural integral.</w:t>
      </w:r>
      <w:r w:rsidRPr="00436502">
        <w:rPr>
          <w:rFonts w:ascii="Calibri" w:hAnsi="Calibri" w:cs="Calibri"/>
          <w:lang w:val="es-GT"/>
        </w:rPr>
        <w:t xml:space="preserve"> A menudo</w:t>
      </w:r>
      <w:r w:rsidR="009C5346">
        <w:rPr>
          <w:rFonts w:ascii="Calibri" w:hAnsi="Calibri" w:cs="Calibri"/>
          <w:lang w:val="es-GT"/>
        </w:rPr>
        <w:t>,</w:t>
      </w:r>
      <w:r w:rsidRPr="00436502">
        <w:rPr>
          <w:rFonts w:ascii="Calibri" w:hAnsi="Calibri" w:cs="Calibri"/>
          <w:lang w:val="es-GT"/>
        </w:rPr>
        <w:t xml:space="preserve"> las autoridades locales tienen relaciones estrechas con los actores e informantes clave y pueden facilitar las conversaciones con representantes decisivos, además de contribuir a aclarar la definición de competencias entre la municipalidad local y el implementador de la EAE.</w:t>
      </w:r>
      <w:r w:rsidR="00436502">
        <w:rPr>
          <w:rFonts w:ascii="Calibri" w:hAnsi="Calibri" w:cs="Calibri"/>
          <w:lang w:val="es-GT"/>
        </w:rPr>
        <w:br/>
      </w:r>
    </w:p>
    <w:p w:rsidR="00034917" w:rsidRPr="00436502" w:rsidRDefault="00034917" w:rsidP="00EC05B0">
      <w:pPr>
        <w:numPr>
          <w:ilvl w:val="0"/>
          <w:numId w:val="72"/>
        </w:numPr>
        <w:jc w:val="both"/>
        <w:rPr>
          <w:rFonts w:ascii="Calibri" w:hAnsi="Calibri" w:cs="Calibri"/>
          <w:lang w:val="es-GT"/>
        </w:rPr>
      </w:pPr>
      <w:r w:rsidRPr="00436502">
        <w:rPr>
          <w:rFonts w:ascii="Calibri" w:hAnsi="Calibri" w:cs="Calibri"/>
          <w:lang w:val="es-GT"/>
        </w:rPr>
        <w:t>Colaboración con las ONG y las organizaciones de base comunitaria.</w:t>
      </w:r>
    </w:p>
    <w:p w:rsidR="00034917" w:rsidRPr="003D69DF" w:rsidRDefault="00034917" w:rsidP="00034917">
      <w:pPr>
        <w:jc w:val="both"/>
        <w:rPr>
          <w:rFonts w:ascii="Calibri" w:hAnsi="Calibri" w:cs="Calibri"/>
          <w:lang w:val="es-GT"/>
        </w:rPr>
      </w:pPr>
    </w:p>
    <w:p w:rsidR="00034917" w:rsidRPr="003D69DF" w:rsidRDefault="00034917" w:rsidP="00034917">
      <w:pPr>
        <w:jc w:val="both"/>
        <w:rPr>
          <w:rFonts w:ascii="Calibri" w:hAnsi="Calibri" w:cs="Calibri"/>
          <w:lang w:val="es-GT"/>
        </w:rPr>
      </w:pPr>
      <w:r w:rsidRPr="003D69DF">
        <w:rPr>
          <w:rFonts w:ascii="Calibri" w:hAnsi="Calibri" w:cs="Calibri"/>
          <w:lang w:val="es-GT"/>
        </w:rPr>
        <w:lastRenderedPageBreak/>
        <w:t xml:space="preserve">Debido a las condiciones externas y la dinámica del entorno, el equipo responsable de la elaboración de la EAE decidió tomar </w:t>
      </w:r>
      <w:r w:rsidR="009C5346">
        <w:rPr>
          <w:rFonts w:ascii="Calibri" w:hAnsi="Calibri" w:cs="Calibri"/>
          <w:lang w:val="es-GT"/>
        </w:rPr>
        <w:t>como</w:t>
      </w:r>
      <w:r w:rsidRPr="003D69DF">
        <w:rPr>
          <w:rFonts w:ascii="Calibri" w:hAnsi="Calibri" w:cs="Calibri"/>
          <w:lang w:val="es-GT"/>
        </w:rPr>
        <w:t xml:space="preserve"> base y adaptar las 11 medidas en un proceso de consulta y retroalimentación, utilizando herramientas y métodos como las entrevistas bilaterales y las visitas institucionales con los actores clave identificados y que aceptaron participar en el proceso. En este punto, se realizaron grupos focales incorporando actores e inform</w:t>
      </w:r>
      <w:r w:rsidR="009C5346">
        <w:rPr>
          <w:rFonts w:ascii="Calibri" w:hAnsi="Calibri" w:cs="Calibri"/>
          <w:lang w:val="es-GT"/>
        </w:rPr>
        <w:t>antes estrechamente vinculados con</w:t>
      </w:r>
      <w:r w:rsidRPr="003D69DF">
        <w:rPr>
          <w:rFonts w:ascii="Calibri" w:hAnsi="Calibri" w:cs="Calibri"/>
          <w:lang w:val="es-GT"/>
        </w:rPr>
        <w:t xml:space="preserve"> la temática del desarrollo rural de Guatemala, con el propósito de capturar y caracterizar la perspectiva de cada institución visitada (seguridad alimentaria, ambiental, agricultura, entre otras) y obtener insumos clave para enfocar la evaluación.</w:t>
      </w:r>
    </w:p>
    <w:p w:rsidR="00034917" w:rsidRPr="003D69DF" w:rsidRDefault="00034917" w:rsidP="00034917">
      <w:pPr>
        <w:jc w:val="both"/>
        <w:rPr>
          <w:rFonts w:ascii="Calibri" w:hAnsi="Calibri" w:cs="Calibri"/>
          <w:lang w:val="es-GT"/>
        </w:rPr>
      </w:pPr>
    </w:p>
    <w:p w:rsidR="00034917" w:rsidRPr="003D69DF" w:rsidRDefault="00034917" w:rsidP="00034917">
      <w:pPr>
        <w:jc w:val="both"/>
        <w:rPr>
          <w:rFonts w:ascii="Calibri" w:hAnsi="Calibri" w:cs="Calibri"/>
          <w:lang w:val="es-GT"/>
        </w:rPr>
      </w:pPr>
      <w:r w:rsidRPr="003D69DF">
        <w:rPr>
          <w:rFonts w:ascii="Calibri" w:hAnsi="Calibri" w:cs="Calibri"/>
          <w:lang w:val="es-GT"/>
        </w:rPr>
        <w:t>A continuación se describen, de manera breve, las etapas del referido proceso de retroalimentación y consulta:</w:t>
      </w:r>
    </w:p>
    <w:p w:rsidR="00034917" w:rsidRPr="003D69DF" w:rsidRDefault="00034917" w:rsidP="00034917">
      <w:pPr>
        <w:jc w:val="both"/>
        <w:rPr>
          <w:rFonts w:ascii="Calibri" w:hAnsi="Calibri" w:cs="Calibri"/>
          <w:lang w:val="es-GT"/>
        </w:rPr>
      </w:pPr>
    </w:p>
    <w:p w:rsidR="00034917" w:rsidRPr="003D69DF" w:rsidRDefault="00034917" w:rsidP="00034917">
      <w:pPr>
        <w:jc w:val="both"/>
        <w:rPr>
          <w:rFonts w:ascii="Calibri" w:hAnsi="Calibri" w:cs="Calibri"/>
          <w:b/>
          <w:bCs/>
          <w:color w:val="365F91"/>
          <w:lang w:val="es-GT"/>
        </w:rPr>
      </w:pPr>
      <w:bookmarkStart w:id="470" w:name="_Toc338589275"/>
      <w:r w:rsidRPr="003D69DF">
        <w:rPr>
          <w:rFonts w:ascii="Calibri" w:hAnsi="Calibri" w:cs="Calibri"/>
          <w:b/>
          <w:bCs/>
          <w:color w:val="365F91"/>
          <w:lang w:val="es-GT"/>
        </w:rPr>
        <w:t>Etapa 1.</w:t>
      </w:r>
      <w:bookmarkEnd w:id="470"/>
    </w:p>
    <w:p w:rsidR="00034917" w:rsidRPr="003D69DF" w:rsidRDefault="00034917" w:rsidP="00034917">
      <w:pPr>
        <w:jc w:val="both"/>
        <w:rPr>
          <w:rFonts w:ascii="Calibri" w:hAnsi="Calibri" w:cs="Calibri"/>
          <w:b/>
          <w:bCs/>
          <w:color w:val="365F91"/>
          <w:lang w:val="es-GT"/>
        </w:rPr>
      </w:pPr>
      <w:bookmarkStart w:id="471" w:name="_Toc338589276"/>
      <w:r w:rsidRPr="003D69DF">
        <w:rPr>
          <w:rFonts w:ascii="Calibri" w:hAnsi="Calibri" w:cs="Calibri"/>
          <w:b/>
          <w:bCs/>
          <w:color w:val="365F91"/>
          <w:lang w:val="es-GT"/>
        </w:rPr>
        <w:t>Análisis de la situación actual</w:t>
      </w:r>
      <w:bookmarkEnd w:id="471"/>
    </w:p>
    <w:p w:rsidR="00034917" w:rsidRPr="003D69DF" w:rsidRDefault="00034917" w:rsidP="00034917">
      <w:pPr>
        <w:jc w:val="both"/>
        <w:rPr>
          <w:rFonts w:ascii="Calibri" w:hAnsi="Calibri" w:cs="Calibri"/>
          <w:lang w:val="es-GT"/>
        </w:rPr>
      </w:pPr>
      <w:r w:rsidRPr="003D69DF">
        <w:rPr>
          <w:rFonts w:ascii="Calibri" w:hAnsi="Calibri" w:cs="Calibri"/>
          <w:lang w:val="es-GT"/>
        </w:rPr>
        <w:t xml:space="preserve">Se desarrollaron reuniones de coordinación </w:t>
      </w:r>
      <w:r w:rsidRPr="00436502">
        <w:rPr>
          <w:rFonts w:ascii="Calibri" w:hAnsi="Calibri" w:cs="Calibri"/>
          <w:lang w:val="es-GT"/>
        </w:rPr>
        <w:t>inicial, principalmente</w:t>
      </w:r>
      <w:r w:rsidRPr="003D69DF">
        <w:rPr>
          <w:rFonts w:ascii="Calibri" w:hAnsi="Calibri" w:cs="Calibri"/>
          <w:lang w:val="es-GT"/>
        </w:rPr>
        <w:t xml:space="preserve"> con la participación del equipo responsable de la elaboración de la EAE.  </w:t>
      </w:r>
      <w:r w:rsidR="009C5346">
        <w:rPr>
          <w:rFonts w:ascii="Calibri" w:hAnsi="Calibri" w:cs="Calibri"/>
          <w:lang w:val="es-GT"/>
        </w:rPr>
        <w:t>Este equipo está compuesto por un coordinador institucional y</w:t>
      </w:r>
      <w:r w:rsidRPr="003D69DF">
        <w:rPr>
          <w:rFonts w:ascii="Calibri" w:hAnsi="Calibri" w:cs="Calibri"/>
          <w:lang w:val="es-GT"/>
        </w:rPr>
        <w:t xml:space="preserve"> expertos en políticas del IARNA</w:t>
      </w:r>
      <w:r w:rsidR="009C5346">
        <w:rPr>
          <w:rFonts w:ascii="Calibri" w:hAnsi="Calibri" w:cs="Calibri"/>
          <w:lang w:val="es-GT"/>
        </w:rPr>
        <w:t>-URL,</w:t>
      </w:r>
      <w:r w:rsidRPr="003D69DF">
        <w:rPr>
          <w:rFonts w:ascii="Calibri" w:hAnsi="Calibri" w:cs="Calibri"/>
          <w:lang w:val="es-GT"/>
        </w:rPr>
        <w:t xml:space="preserve"> y el grupo de expertos conformado para este trabajo.  Seguidamente, se realizó una investigación documental </w:t>
      </w:r>
      <w:r w:rsidR="003847BC">
        <w:rPr>
          <w:rFonts w:ascii="Calibri" w:hAnsi="Calibri" w:cs="Calibri"/>
          <w:lang w:val="es-GT"/>
        </w:rPr>
        <w:t>sobre</w:t>
      </w:r>
      <w:r w:rsidRPr="003D69DF">
        <w:rPr>
          <w:rFonts w:ascii="Calibri" w:hAnsi="Calibri" w:cs="Calibri"/>
          <w:lang w:val="es-GT"/>
        </w:rPr>
        <w:t xml:space="preserve"> experiencias previas </w:t>
      </w:r>
      <w:r w:rsidR="003847BC">
        <w:rPr>
          <w:rFonts w:ascii="Calibri" w:hAnsi="Calibri" w:cs="Calibri"/>
          <w:lang w:val="es-GT"/>
        </w:rPr>
        <w:t>de</w:t>
      </w:r>
      <w:r w:rsidRPr="003D69DF">
        <w:rPr>
          <w:rFonts w:ascii="Calibri" w:hAnsi="Calibri" w:cs="Calibri"/>
          <w:lang w:val="es-GT"/>
        </w:rPr>
        <w:t xml:space="preserve"> realización de EAE en distintos países, </w:t>
      </w:r>
      <w:r w:rsidRPr="00436502">
        <w:rPr>
          <w:rFonts w:ascii="Calibri" w:hAnsi="Calibri" w:cs="Calibri"/>
          <w:lang w:val="es-GT"/>
        </w:rPr>
        <w:t xml:space="preserve">incluyendo tres </w:t>
      </w:r>
      <w:r w:rsidRPr="003D69DF">
        <w:rPr>
          <w:rFonts w:ascii="Calibri" w:hAnsi="Calibri" w:cs="Calibri"/>
          <w:lang w:val="es-GT"/>
        </w:rPr>
        <w:t xml:space="preserve">EAE de COSOP de </w:t>
      </w:r>
      <w:r w:rsidRPr="00436502">
        <w:rPr>
          <w:rFonts w:ascii="Calibri" w:hAnsi="Calibri" w:cs="Calibri"/>
          <w:lang w:val="es-GT"/>
        </w:rPr>
        <w:t>FIDA</w:t>
      </w:r>
      <w:r w:rsidR="003847BC">
        <w:rPr>
          <w:rFonts w:ascii="Calibri" w:hAnsi="Calibri" w:cs="Calibri"/>
          <w:lang w:val="es-GT"/>
        </w:rPr>
        <w:t>;</w:t>
      </w:r>
      <w:r w:rsidRPr="00436502">
        <w:rPr>
          <w:rFonts w:ascii="Calibri" w:hAnsi="Calibri" w:cs="Calibri"/>
          <w:lang w:val="es-GT"/>
        </w:rPr>
        <w:t xml:space="preserve"> y de las experiencias de FIDA en Guatemala.</w:t>
      </w:r>
      <w:r w:rsidRPr="003D69DF">
        <w:rPr>
          <w:rFonts w:ascii="Calibri" w:hAnsi="Calibri" w:cs="Calibri"/>
          <w:lang w:val="es-GT"/>
        </w:rPr>
        <w:t xml:space="preserve"> Asimismo, se estableció el método de análisis utilizado</w:t>
      </w:r>
      <w:r w:rsidR="003847BC">
        <w:rPr>
          <w:rFonts w:ascii="Calibri" w:hAnsi="Calibri" w:cs="Calibri"/>
          <w:lang w:val="es-GT"/>
        </w:rPr>
        <w:t xml:space="preserve"> por el</w:t>
      </w:r>
      <w:r w:rsidRPr="003D69DF">
        <w:rPr>
          <w:rFonts w:ascii="Calibri" w:hAnsi="Calibri" w:cs="Calibri"/>
          <w:lang w:val="es-GT"/>
        </w:rPr>
        <w:t xml:space="preserve"> </w:t>
      </w:r>
      <w:r w:rsidR="003847BC">
        <w:rPr>
          <w:rFonts w:ascii="Calibri" w:hAnsi="Calibri" w:cs="Calibri"/>
          <w:lang w:val="es-GT"/>
        </w:rPr>
        <w:t>IARNA-URL</w:t>
      </w:r>
      <w:r w:rsidRPr="003D69DF">
        <w:rPr>
          <w:rFonts w:ascii="Calibri" w:hAnsi="Calibri" w:cs="Calibri"/>
          <w:lang w:val="es-GT"/>
        </w:rPr>
        <w:t>, el</w:t>
      </w:r>
      <w:r w:rsidR="009F70F5">
        <w:rPr>
          <w:rFonts w:ascii="Calibri" w:hAnsi="Calibri" w:cs="Calibri"/>
          <w:lang w:val="es-GT"/>
        </w:rPr>
        <w:t xml:space="preserve"> sistema socioecológico (Gallopí</w:t>
      </w:r>
      <w:r w:rsidRPr="003D69DF">
        <w:rPr>
          <w:rFonts w:ascii="Calibri" w:hAnsi="Calibri" w:cs="Calibri"/>
          <w:lang w:val="es-GT"/>
        </w:rPr>
        <w:t xml:space="preserve">n, 2003) para su aplicación en la realización de la EAE.  Se identificaron los antecedentes nacionales </w:t>
      </w:r>
      <w:r w:rsidR="003847BC">
        <w:rPr>
          <w:rFonts w:ascii="Calibri" w:hAnsi="Calibri" w:cs="Calibri"/>
          <w:lang w:val="es-GT"/>
        </w:rPr>
        <w:t>de</w:t>
      </w:r>
      <w:r w:rsidRPr="003D69DF">
        <w:rPr>
          <w:rFonts w:ascii="Calibri" w:hAnsi="Calibri" w:cs="Calibri"/>
          <w:lang w:val="es-GT"/>
        </w:rPr>
        <w:t xml:space="preserve"> implementación de proyectos de FIDA y de los avances en el proceso nacional de desarrollo rural integral al 2012.</w:t>
      </w:r>
    </w:p>
    <w:p w:rsidR="00034917" w:rsidRPr="003D69DF" w:rsidRDefault="00034917" w:rsidP="00034917">
      <w:pPr>
        <w:jc w:val="both"/>
        <w:rPr>
          <w:rFonts w:ascii="Calibri" w:hAnsi="Calibri" w:cs="Calibri"/>
          <w:b/>
          <w:bCs/>
          <w:color w:val="365F91"/>
          <w:lang w:val="es-GT"/>
        </w:rPr>
      </w:pPr>
      <w:bookmarkStart w:id="472" w:name="_Toc338589277"/>
    </w:p>
    <w:p w:rsidR="00034917" w:rsidRPr="003D69DF" w:rsidRDefault="00034917" w:rsidP="00034917">
      <w:pPr>
        <w:jc w:val="both"/>
        <w:rPr>
          <w:rFonts w:ascii="Calibri" w:hAnsi="Calibri" w:cs="Calibri"/>
          <w:b/>
          <w:bCs/>
          <w:color w:val="365F91"/>
          <w:lang w:val="es-GT"/>
        </w:rPr>
      </w:pPr>
      <w:r w:rsidRPr="003D69DF">
        <w:rPr>
          <w:rFonts w:ascii="Calibri" w:hAnsi="Calibri" w:cs="Calibri"/>
          <w:b/>
          <w:bCs/>
          <w:color w:val="365F91"/>
          <w:lang w:val="es-GT"/>
        </w:rPr>
        <w:t>Etapa 2.</w:t>
      </w:r>
      <w:bookmarkEnd w:id="472"/>
    </w:p>
    <w:p w:rsidR="00034917" w:rsidRPr="003D69DF" w:rsidRDefault="00034917" w:rsidP="00034917">
      <w:pPr>
        <w:jc w:val="both"/>
        <w:rPr>
          <w:rFonts w:ascii="Calibri" w:hAnsi="Calibri" w:cs="Calibri"/>
          <w:b/>
          <w:bCs/>
          <w:color w:val="365F91"/>
          <w:lang w:val="es-GT"/>
        </w:rPr>
      </w:pPr>
      <w:bookmarkStart w:id="473" w:name="_Toc338589278"/>
      <w:r w:rsidRPr="003D69DF">
        <w:rPr>
          <w:rFonts w:ascii="Calibri" w:hAnsi="Calibri" w:cs="Calibri"/>
          <w:b/>
          <w:bCs/>
          <w:color w:val="365F91"/>
          <w:lang w:val="es-GT"/>
        </w:rPr>
        <w:t>Consulta con actores clave o estratégicos (consultas individuales, visitas institucionales y trabajo con grupos focales)</w:t>
      </w:r>
      <w:bookmarkEnd w:id="473"/>
    </w:p>
    <w:p w:rsidR="00034917" w:rsidRPr="003D69DF" w:rsidRDefault="00034917" w:rsidP="00034917">
      <w:pPr>
        <w:jc w:val="both"/>
        <w:rPr>
          <w:rFonts w:ascii="Calibri" w:hAnsi="Calibri" w:cs="Calibri"/>
          <w:lang w:val="es-GT"/>
        </w:rPr>
      </w:pPr>
      <w:r w:rsidRPr="003D69DF">
        <w:rPr>
          <w:rFonts w:ascii="Calibri" w:hAnsi="Calibri" w:cs="Calibri"/>
          <w:lang w:val="es-GT"/>
        </w:rPr>
        <w:t>En esta etapa, se definió un listado</w:t>
      </w:r>
      <w:r w:rsidR="003847BC">
        <w:rPr>
          <w:rFonts w:ascii="Calibri" w:hAnsi="Calibri" w:cs="Calibri"/>
          <w:lang w:val="es-GT"/>
        </w:rPr>
        <w:t xml:space="preserve"> de informantes y actores clave</w:t>
      </w:r>
      <w:r w:rsidRPr="003D69DF">
        <w:rPr>
          <w:rFonts w:ascii="Calibri" w:hAnsi="Calibri" w:cs="Calibri"/>
          <w:lang w:val="es-GT"/>
        </w:rPr>
        <w:t xml:space="preserve"> de instituciones relacionadas con actividades, programas y proyectos de desarrollo rural integral en Guatemala. En la parte final de este anexo se incluye </w:t>
      </w:r>
      <w:r w:rsidR="003847BC">
        <w:rPr>
          <w:rFonts w:ascii="Calibri" w:hAnsi="Calibri" w:cs="Calibri"/>
          <w:lang w:val="es-GT"/>
        </w:rPr>
        <w:t>el</w:t>
      </w:r>
      <w:r w:rsidRPr="003D69DF">
        <w:rPr>
          <w:rFonts w:ascii="Calibri" w:hAnsi="Calibri" w:cs="Calibri"/>
          <w:lang w:val="es-GT"/>
        </w:rPr>
        <w:t xml:space="preserve"> listado detallado.</w:t>
      </w:r>
    </w:p>
    <w:p w:rsidR="00034917" w:rsidRPr="003D69DF" w:rsidRDefault="00034917" w:rsidP="00034917">
      <w:pPr>
        <w:jc w:val="both"/>
        <w:rPr>
          <w:rFonts w:ascii="Calibri" w:hAnsi="Calibri" w:cs="Calibri"/>
          <w:lang w:val="es-GT"/>
        </w:rPr>
      </w:pPr>
    </w:p>
    <w:p w:rsidR="00034917" w:rsidRPr="003D69DF" w:rsidRDefault="00034917" w:rsidP="00034917">
      <w:pPr>
        <w:jc w:val="both"/>
        <w:rPr>
          <w:rFonts w:ascii="Calibri" w:hAnsi="Calibri" w:cs="Calibri"/>
          <w:lang w:val="es-GT"/>
        </w:rPr>
      </w:pPr>
      <w:r w:rsidRPr="003D69DF">
        <w:rPr>
          <w:rFonts w:ascii="Calibri" w:hAnsi="Calibri" w:cs="Calibri"/>
          <w:lang w:val="es-GT"/>
        </w:rPr>
        <w:t xml:space="preserve">Se planificó y acordó una agenda de reuniones </w:t>
      </w:r>
      <w:r w:rsidR="003847BC">
        <w:rPr>
          <w:rFonts w:ascii="Calibri" w:hAnsi="Calibri" w:cs="Calibri"/>
          <w:lang w:val="es-GT"/>
        </w:rPr>
        <w:t xml:space="preserve">con </w:t>
      </w:r>
      <w:r w:rsidRPr="003D69DF">
        <w:rPr>
          <w:rFonts w:ascii="Calibri" w:hAnsi="Calibri" w:cs="Calibri"/>
          <w:lang w:val="es-GT"/>
        </w:rPr>
        <w:t xml:space="preserve">los actores identificados que aceptaron participar </w:t>
      </w:r>
      <w:r w:rsidR="003847BC">
        <w:rPr>
          <w:rFonts w:ascii="Calibri" w:hAnsi="Calibri" w:cs="Calibri"/>
          <w:lang w:val="es-GT"/>
        </w:rPr>
        <w:t>en</w:t>
      </w:r>
      <w:r w:rsidRPr="003D69DF">
        <w:rPr>
          <w:rFonts w:ascii="Calibri" w:hAnsi="Calibri" w:cs="Calibri"/>
          <w:lang w:val="es-GT"/>
        </w:rPr>
        <w:t xml:space="preserve"> este proceso. A partir de esta planificación, se realizaron visitas institucionales para la discusión y obtención de insumos.  Se </w:t>
      </w:r>
      <w:r w:rsidR="003847BC">
        <w:rPr>
          <w:rFonts w:ascii="Calibri" w:hAnsi="Calibri" w:cs="Calibri"/>
          <w:lang w:val="es-GT"/>
        </w:rPr>
        <w:t>llevaron a cabo</w:t>
      </w:r>
      <w:r w:rsidRPr="003D69DF">
        <w:rPr>
          <w:rFonts w:ascii="Calibri" w:hAnsi="Calibri" w:cs="Calibri"/>
          <w:lang w:val="es-GT"/>
        </w:rPr>
        <w:t xml:space="preserve"> sesiones bajo la metodología de grupos focales, en donde se generaron insumos importantes y se validó el alcance la propuesta de EAE.</w:t>
      </w:r>
    </w:p>
    <w:p w:rsidR="00034917" w:rsidRPr="003D69DF" w:rsidRDefault="00034917" w:rsidP="00034917">
      <w:pPr>
        <w:jc w:val="both"/>
        <w:rPr>
          <w:rFonts w:ascii="Calibri" w:hAnsi="Calibri" w:cs="Calibri"/>
          <w:lang w:val="es-GT"/>
        </w:rPr>
      </w:pPr>
    </w:p>
    <w:p w:rsidR="00034917" w:rsidRPr="003D69DF" w:rsidRDefault="00034917" w:rsidP="00034917">
      <w:pPr>
        <w:jc w:val="both"/>
        <w:rPr>
          <w:rFonts w:ascii="Calibri" w:hAnsi="Calibri" w:cs="Calibri"/>
          <w:lang w:val="es-GT"/>
        </w:rPr>
      </w:pPr>
      <w:r w:rsidRPr="003D69DF">
        <w:rPr>
          <w:rFonts w:ascii="Calibri" w:hAnsi="Calibri" w:cs="Calibri"/>
          <w:lang w:val="es-GT"/>
        </w:rPr>
        <w:t>La boleta utilizada en las entrevistas y grupos focales durante el proceso de consulta se incluye al final del presente anexo</w:t>
      </w:r>
      <w:r w:rsidR="003847BC">
        <w:rPr>
          <w:rFonts w:ascii="Calibri" w:hAnsi="Calibri" w:cs="Calibri"/>
          <w:lang w:val="es-GT"/>
        </w:rPr>
        <w:t>.</w:t>
      </w:r>
    </w:p>
    <w:p w:rsidR="00034917" w:rsidRPr="003D69DF" w:rsidRDefault="00034917" w:rsidP="00034917">
      <w:pPr>
        <w:jc w:val="both"/>
        <w:rPr>
          <w:rFonts w:ascii="Calibri" w:hAnsi="Calibri" w:cs="Calibri"/>
          <w:lang w:val="es-GT"/>
        </w:rPr>
      </w:pPr>
    </w:p>
    <w:p w:rsidR="00B556CF" w:rsidRDefault="00B556CF" w:rsidP="00034917">
      <w:pPr>
        <w:jc w:val="both"/>
        <w:rPr>
          <w:rFonts w:ascii="Calibri" w:hAnsi="Calibri" w:cs="Calibri"/>
          <w:b/>
          <w:bCs/>
          <w:color w:val="365F91"/>
          <w:lang w:val="es-GT"/>
        </w:rPr>
      </w:pPr>
      <w:bookmarkStart w:id="474" w:name="_Toc338589279"/>
    </w:p>
    <w:p w:rsidR="00B556CF" w:rsidRDefault="00B556CF" w:rsidP="00034917">
      <w:pPr>
        <w:jc w:val="both"/>
        <w:rPr>
          <w:rFonts w:ascii="Calibri" w:hAnsi="Calibri" w:cs="Calibri"/>
          <w:b/>
          <w:bCs/>
          <w:color w:val="365F91"/>
          <w:lang w:val="es-GT"/>
        </w:rPr>
      </w:pPr>
    </w:p>
    <w:p w:rsidR="00B556CF" w:rsidRDefault="00B556CF" w:rsidP="00034917">
      <w:pPr>
        <w:jc w:val="both"/>
        <w:rPr>
          <w:rFonts w:ascii="Calibri" w:hAnsi="Calibri" w:cs="Calibri"/>
          <w:b/>
          <w:bCs/>
          <w:color w:val="365F91"/>
          <w:lang w:val="es-GT"/>
        </w:rPr>
      </w:pPr>
    </w:p>
    <w:p w:rsidR="00034917" w:rsidRPr="003D69DF" w:rsidRDefault="00034917" w:rsidP="00034917">
      <w:pPr>
        <w:jc w:val="both"/>
        <w:rPr>
          <w:rFonts w:ascii="Calibri" w:hAnsi="Calibri" w:cs="Calibri"/>
          <w:b/>
          <w:bCs/>
          <w:color w:val="365F91"/>
          <w:lang w:val="es-GT"/>
        </w:rPr>
      </w:pPr>
      <w:r w:rsidRPr="003D69DF">
        <w:rPr>
          <w:rFonts w:ascii="Calibri" w:hAnsi="Calibri" w:cs="Calibri"/>
          <w:b/>
          <w:bCs/>
          <w:color w:val="365F91"/>
          <w:lang w:val="es-GT"/>
        </w:rPr>
        <w:lastRenderedPageBreak/>
        <w:t>Etapa 3.</w:t>
      </w:r>
      <w:bookmarkEnd w:id="474"/>
    </w:p>
    <w:p w:rsidR="00034917" w:rsidRPr="003D69DF" w:rsidRDefault="00034917" w:rsidP="00034917">
      <w:pPr>
        <w:jc w:val="both"/>
        <w:rPr>
          <w:rFonts w:ascii="Calibri" w:hAnsi="Calibri" w:cs="Calibri"/>
          <w:b/>
          <w:bCs/>
          <w:color w:val="365F91"/>
          <w:lang w:val="es-GT"/>
        </w:rPr>
      </w:pPr>
      <w:bookmarkStart w:id="475" w:name="_Toc338589280"/>
      <w:r w:rsidRPr="003D69DF">
        <w:rPr>
          <w:rFonts w:ascii="Calibri" w:hAnsi="Calibri" w:cs="Calibri"/>
          <w:b/>
          <w:bCs/>
          <w:color w:val="365F91"/>
          <w:lang w:val="es-GT"/>
        </w:rPr>
        <w:t>Incorporación de los insumos a la EAE</w:t>
      </w:r>
      <w:bookmarkEnd w:id="475"/>
    </w:p>
    <w:p w:rsidR="00034917" w:rsidRDefault="00034917" w:rsidP="00034917">
      <w:pPr>
        <w:jc w:val="both"/>
        <w:rPr>
          <w:rFonts w:ascii="Calibri" w:hAnsi="Calibri" w:cs="Calibri"/>
          <w:lang w:val="es-GT"/>
        </w:rPr>
      </w:pPr>
      <w:r w:rsidRPr="003D69DF">
        <w:rPr>
          <w:rFonts w:ascii="Calibri" w:hAnsi="Calibri" w:cs="Calibri"/>
          <w:lang w:val="es-GT"/>
        </w:rPr>
        <w:t>Los insumos y recomendaciones recopilados durante el proceso de consulta fueron analizados por el equipo responsable de la EAE y su incorporación al documento permitió, según el caso, ampliar, compleme</w:t>
      </w:r>
      <w:r w:rsidR="003847BC">
        <w:rPr>
          <w:rFonts w:ascii="Calibri" w:hAnsi="Calibri" w:cs="Calibri"/>
          <w:lang w:val="es-GT"/>
        </w:rPr>
        <w:t>ntar o modificar sus contenidos</w:t>
      </w:r>
      <w:r w:rsidRPr="003D69DF">
        <w:rPr>
          <w:rFonts w:ascii="Calibri" w:hAnsi="Calibri" w:cs="Calibri"/>
          <w:lang w:val="es-GT"/>
        </w:rPr>
        <w:t xml:space="preserve">.  Los aportes recibidos permitieron enfocar, contextualizar y fundamentar las directrices de sustentabilidad recomendadas para la formulación del nuevo COSOP-BR Guatemala. </w:t>
      </w:r>
    </w:p>
    <w:p w:rsidR="003847BC" w:rsidRPr="003D69DF" w:rsidRDefault="003847BC" w:rsidP="00034917">
      <w:pPr>
        <w:jc w:val="both"/>
        <w:rPr>
          <w:rFonts w:ascii="Calibri" w:hAnsi="Calibri" w:cs="Calibri"/>
          <w:lang w:val="es-GT"/>
        </w:rPr>
      </w:pPr>
    </w:p>
    <w:p w:rsidR="00034917" w:rsidRDefault="00034917" w:rsidP="00034917">
      <w:pPr>
        <w:jc w:val="both"/>
        <w:rPr>
          <w:rFonts w:ascii="Calibri" w:hAnsi="Calibri" w:cs="Calibri"/>
          <w:lang w:val="es-GT"/>
        </w:rPr>
      </w:pPr>
      <w:r w:rsidRPr="003D69DF">
        <w:rPr>
          <w:rFonts w:ascii="Calibri" w:hAnsi="Calibri" w:cs="Calibri"/>
          <w:lang w:val="es-GT"/>
        </w:rPr>
        <w:t>Se realizaron talleres de trabajo dentro del equipo técnico y actores estratégicos, para definir la integración del documento final de propuesta de</w:t>
      </w:r>
      <w:r w:rsidR="003847BC">
        <w:rPr>
          <w:rFonts w:ascii="Calibri" w:hAnsi="Calibri" w:cs="Calibri"/>
          <w:lang w:val="es-GT"/>
        </w:rPr>
        <w:t xml:space="preserve"> </w:t>
      </w:r>
      <w:r w:rsidRPr="003D69DF">
        <w:rPr>
          <w:rFonts w:ascii="Calibri" w:hAnsi="Calibri" w:cs="Calibri"/>
          <w:lang w:val="es-GT"/>
        </w:rPr>
        <w:t>l</w:t>
      </w:r>
      <w:r w:rsidR="003847BC">
        <w:rPr>
          <w:rFonts w:ascii="Calibri" w:hAnsi="Calibri" w:cs="Calibri"/>
          <w:lang w:val="es-GT"/>
        </w:rPr>
        <w:t>a</w:t>
      </w:r>
      <w:r w:rsidRPr="003D69DF">
        <w:rPr>
          <w:rFonts w:ascii="Calibri" w:hAnsi="Calibri" w:cs="Calibri"/>
          <w:lang w:val="es-GT"/>
        </w:rPr>
        <w:t xml:space="preserve"> EAE.</w:t>
      </w:r>
    </w:p>
    <w:p w:rsidR="003847BC" w:rsidRPr="003D69DF" w:rsidRDefault="003847BC" w:rsidP="00034917">
      <w:pPr>
        <w:jc w:val="both"/>
        <w:rPr>
          <w:rFonts w:ascii="Calibri" w:hAnsi="Calibri" w:cs="Calibri"/>
          <w:lang w:val="es-GT"/>
        </w:rPr>
      </w:pPr>
    </w:p>
    <w:p w:rsidR="00034917" w:rsidRPr="003D69DF" w:rsidRDefault="00034917" w:rsidP="00034917">
      <w:pPr>
        <w:jc w:val="both"/>
        <w:rPr>
          <w:rFonts w:ascii="Calibri" w:hAnsi="Calibri" w:cs="Calibri"/>
          <w:lang w:val="es-GT"/>
        </w:rPr>
      </w:pPr>
      <w:r w:rsidRPr="003D69DF">
        <w:rPr>
          <w:rFonts w:ascii="Calibri" w:hAnsi="Calibri" w:cs="Calibri"/>
          <w:lang w:val="es-GT"/>
        </w:rPr>
        <w:t>Se integró todo el documento y se estructuró por capítulos técnicos fundamentados con el rigor científico pertinente y requerido.</w:t>
      </w:r>
    </w:p>
    <w:p w:rsidR="009F70F5" w:rsidRDefault="009F70F5" w:rsidP="00034917">
      <w:pPr>
        <w:jc w:val="both"/>
        <w:rPr>
          <w:rFonts w:ascii="Calibri" w:hAnsi="Calibri" w:cs="Calibri"/>
          <w:b/>
          <w:bCs/>
          <w:color w:val="365F91"/>
          <w:lang w:val="es-GT"/>
        </w:rPr>
      </w:pPr>
      <w:bookmarkStart w:id="476" w:name="_Toc338589281"/>
    </w:p>
    <w:p w:rsidR="00034917" w:rsidRPr="003D69DF" w:rsidRDefault="00034917" w:rsidP="00034917">
      <w:pPr>
        <w:jc w:val="both"/>
        <w:rPr>
          <w:rFonts w:ascii="Calibri" w:hAnsi="Calibri" w:cs="Calibri"/>
          <w:b/>
          <w:bCs/>
          <w:color w:val="365F91"/>
          <w:lang w:val="es-GT"/>
        </w:rPr>
      </w:pPr>
      <w:r w:rsidRPr="003D69DF">
        <w:rPr>
          <w:rFonts w:ascii="Calibri" w:hAnsi="Calibri" w:cs="Calibri"/>
          <w:b/>
          <w:bCs/>
          <w:color w:val="365F91"/>
          <w:lang w:val="es-GT"/>
        </w:rPr>
        <w:t>Etapa 4.</w:t>
      </w:r>
      <w:bookmarkEnd w:id="476"/>
    </w:p>
    <w:p w:rsidR="00034917" w:rsidRPr="003D69DF" w:rsidRDefault="00034917" w:rsidP="00034917">
      <w:pPr>
        <w:jc w:val="both"/>
        <w:rPr>
          <w:rFonts w:ascii="Calibri" w:hAnsi="Calibri" w:cs="Calibri"/>
          <w:b/>
          <w:bCs/>
          <w:color w:val="365F91"/>
          <w:lang w:val="es-GT"/>
        </w:rPr>
      </w:pPr>
      <w:bookmarkStart w:id="477" w:name="_Toc338589282"/>
      <w:r w:rsidRPr="003D69DF">
        <w:rPr>
          <w:rFonts w:ascii="Calibri" w:hAnsi="Calibri" w:cs="Calibri"/>
          <w:b/>
          <w:bCs/>
          <w:color w:val="365F91"/>
          <w:lang w:val="es-GT"/>
        </w:rPr>
        <w:t>Validación de EAE</w:t>
      </w:r>
      <w:bookmarkEnd w:id="477"/>
    </w:p>
    <w:p w:rsidR="00034917" w:rsidRPr="003D69DF" w:rsidRDefault="003847BC" w:rsidP="00034917">
      <w:pPr>
        <w:jc w:val="both"/>
        <w:rPr>
          <w:rFonts w:ascii="Calibri" w:hAnsi="Calibri" w:cs="Calibri"/>
          <w:lang w:val="es-GT"/>
        </w:rPr>
      </w:pPr>
      <w:r>
        <w:rPr>
          <w:rFonts w:ascii="Calibri" w:hAnsi="Calibri" w:cs="Calibri"/>
          <w:lang w:val="es-GT"/>
        </w:rPr>
        <w:t>Se desarrolló u</w:t>
      </w:r>
      <w:r w:rsidR="00034917" w:rsidRPr="003D69DF">
        <w:rPr>
          <w:rFonts w:ascii="Calibri" w:hAnsi="Calibri" w:cs="Calibri"/>
          <w:lang w:val="es-GT"/>
        </w:rPr>
        <w:t>na ronda complementaria de reuniones de trabajo con los actores e informantes que suministraron insumos para la elaboración de la EAE</w:t>
      </w:r>
      <w:r>
        <w:rPr>
          <w:rFonts w:ascii="Calibri" w:hAnsi="Calibri" w:cs="Calibri"/>
          <w:lang w:val="es-GT"/>
        </w:rPr>
        <w:t>,</w:t>
      </w:r>
      <w:r w:rsidR="00034917" w:rsidRPr="003D69DF">
        <w:rPr>
          <w:rFonts w:ascii="Calibri" w:hAnsi="Calibri" w:cs="Calibri"/>
          <w:lang w:val="es-GT"/>
        </w:rPr>
        <w:t xml:space="preserve"> con el propósito de poner en común y validar los resultados del proceso analítico de la EAE.</w:t>
      </w:r>
    </w:p>
    <w:p w:rsidR="00034917" w:rsidRPr="003D69DF" w:rsidRDefault="00034917" w:rsidP="00034917">
      <w:pPr>
        <w:jc w:val="both"/>
        <w:rPr>
          <w:rFonts w:ascii="Calibri" w:hAnsi="Calibri" w:cs="Calibri"/>
          <w:lang w:val="es-GT"/>
        </w:rPr>
      </w:pPr>
    </w:p>
    <w:p w:rsidR="00034917" w:rsidRPr="003D69DF" w:rsidRDefault="00034917" w:rsidP="00034917">
      <w:pPr>
        <w:jc w:val="both"/>
        <w:rPr>
          <w:rFonts w:ascii="Calibri" w:hAnsi="Calibri" w:cs="Calibri"/>
          <w:lang w:val="es-GT"/>
        </w:rPr>
      </w:pPr>
      <w:r w:rsidRPr="003D69DF">
        <w:rPr>
          <w:rFonts w:ascii="Calibri" w:hAnsi="Calibri" w:cs="Calibri"/>
          <w:lang w:val="es-GT"/>
        </w:rPr>
        <w:t xml:space="preserve">Durante esta fase, el equipo responsable de la evaluación presentó los resultados del proceso a los distintos actores e informantes participantes, haciendo énfasis en los resultados de la evaluación de los Factores Críticos para la Decisión (FCD), así como </w:t>
      </w:r>
      <w:r w:rsidR="003847BC">
        <w:rPr>
          <w:rFonts w:ascii="Calibri" w:hAnsi="Calibri" w:cs="Calibri"/>
          <w:lang w:val="es-GT"/>
        </w:rPr>
        <w:t>en</w:t>
      </w:r>
      <w:r w:rsidRPr="003D69DF">
        <w:rPr>
          <w:rFonts w:ascii="Calibri" w:hAnsi="Calibri" w:cs="Calibri"/>
          <w:lang w:val="es-GT"/>
        </w:rPr>
        <w:t xml:space="preserve"> las directrices de sustentabilidad recomendadas para la formulación del nuevo programa nacional del FIDA para Guatemala.</w:t>
      </w:r>
    </w:p>
    <w:p w:rsidR="00034917" w:rsidRPr="003D69DF" w:rsidRDefault="00034917" w:rsidP="00034917">
      <w:pPr>
        <w:jc w:val="both"/>
        <w:rPr>
          <w:rFonts w:ascii="Calibri" w:hAnsi="Calibri" w:cs="Calibri"/>
          <w:lang w:val="es-GT"/>
        </w:rPr>
      </w:pPr>
    </w:p>
    <w:p w:rsidR="00034917" w:rsidRPr="003D69DF" w:rsidRDefault="00034917" w:rsidP="00034917">
      <w:pPr>
        <w:jc w:val="both"/>
        <w:rPr>
          <w:rFonts w:ascii="Calibri" w:hAnsi="Calibri" w:cs="Calibri"/>
          <w:lang w:val="es-GT"/>
        </w:rPr>
      </w:pPr>
      <w:r w:rsidRPr="003D69DF">
        <w:rPr>
          <w:rFonts w:ascii="Calibri" w:hAnsi="Calibri" w:cs="Calibri"/>
          <w:lang w:val="es-GT"/>
        </w:rPr>
        <w:t xml:space="preserve">Los nuevos insumos recopilados a partir de las actividades de validación fueron analizados y discutidos por el equipo responsable de la EAE para evaluar la pertinencia de </w:t>
      </w:r>
      <w:r w:rsidR="003847BC">
        <w:rPr>
          <w:rFonts w:ascii="Calibri" w:hAnsi="Calibri" w:cs="Calibri"/>
          <w:lang w:val="es-GT"/>
        </w:rPr>
        <w:t>su incorporación</w:t>
      </w:r>
      <w:r w:rsidRPr="003D69DF">
        <w:rPr>
          <w:rFonts w:ascii="Calibri" w:hAnsi="Calibri" w:cs="Calibri"/>
          <w:lang w:val="es-GT"/>
        </w:rPr>
        <w:t>.  Algunos de los insumos recibidos fueron incorporados, permitiendo mejorar o dar mayor especificidad a los análisis o las directrices de sostenibilidad.</w:t>
      </w:r>
    </w:p>
    <w:p w:rsidR="00034917" w:rsidRPr="003D69DF" w:rsidRDefault="00034917" w:rsidP="00034917">
      <w:pPr>
        <w:jc w:val="both"/>
        <w:rPr>
          <w:rFonts w:ascii="Calibri" w:hAnsi="Calibri" w:cs="Calibri"/>
          <w:lang w:val="es-GT"/>
        </w:rPr>
      </w:pPr>
    </w:p>
    <w:p w:rsidR="00034917" w:rsidRPr="003D69DF" w:rsidRDefault="00034917" w:rsidP="00034917">
      <w:pPr>
        <w:jc w:val="both"/>
        <w:rPr>
          <w:rFonts w:ascii="Calibri" w:hAnsi="Calibri" w:cs="Calibri"/>
          <w:b/>
          <w:bCs/>
          <w:color w:val="365F91"/>
          <w:lang w:val="es-GT"/>
        </w:rPr>
      </w:pPr>
      <w:r w:rsidRPr="003D69DF">
        <w:rPr>
          <w:rFonts w:ascii="Calibri" w:hAnsi="Calibri" w:cs="Calibri"/>
          <w:b/>
          <w:bCs/>
          <w:color w:val="365F91"/>
          <w:lang w:val="es-GT"/>
        </w:rPr>
        <w:t xml:space="preserve">Conclusiones del proceso de </w:t>
      </w:r>
      <w:r w:rsidR="003847BC" w:rsidRPr="003D69DF">
        <w:rPr>
          <w:rFonts w:ascii="Calibri" w:hAnsi="Calibri" w:cs="Calibri"/>
          <w:b/>
          <w:bCs/>
          <w:color w:val="365F91"/>
          <w:lang w:val="es-GT"/>
        </w:rPr>
        <w:t xml:space="preserve">consulta pública y validación </w:t>
      </w:r>
      <w:r w:rsidRPr="003D69DF">
        <w:rPr>
          <w:rFonts w:ascii="Calibri" w:hAnsi="Calibri" w:cs="Calibri"/>
          <w:b/>
          <w:bCs/>
          <w:color w:val="365F91"/>
          <w:lang w:val="es-GT"/>
        </w:rPr>
        <w:t>de EAE</w:t>
      </w:r>
    </w:p>
    <w:p w:rsidR="009F70F5" w:rsidRDefault="009F70F5" w:rsidP="00034917">
      <w:pPr>
        <w:jc w:val="both"/>
        <w:rPr>
          <w:rFonts w:ascii="Calibri" w:hAnsi="Calibri" w:cs="Calibri"/>
          <w:color w:val="FF0000"/>
          <w:lang w:val="es-GT"/>
        </w:rPr>
      </w:pPr>
    </w:p>
    <w:p w:rsidR="00034917" w:rsidRPr="009F70F5" w:rsidRDefault="00034917" w:rsidP="00034917">
      <w:pPr>
        <w:jc w:val="both"/>
        <w:rPr>
          <w:rFonts w:ascii="Calibri" w:hAnsi="Calibri" w:cs="Calibri"/>
          <w:lang w:val="es-GT"/>
        </w:rPr>
      </w:pPr>
      <w:r w:rsidRPr="009F70F5">
        <w:rPr>
          <w:rFonts w:ascii="Calibri" w:hAnsi="Calibri" w:cs="Calibri"/>
          <w:lang w:val="es-GT"/>
        </w:rPr>
        <w:t xml:space="preserve">Del análisis participativo desarrollado </w:t>
      </w:r>
      <w:r w:rsidR="003847BC">
        <w:rPr>
          <w:rFonts w:ascii="Calibri" w:hAnsi="Calibri" w:cs="Calibri"/>
          <w:lang w:val="es-GT"/>
        </w:rPr>
        <w:t>durante</w:t>
      </w:r>
      <w:r w:rsidRPr="009F70F5">
        <w:rPr>
          <w:rFonts w:ascii="Calibri" w:hAnsi="Calibri" w:cs="Calibri"/>
          <w:lang w:val="es-GT"/>
        </w:rPr>
        <w:t xml:space="preserve"> el proceso de consulta pública y validación de la EAE se desprenden las principales conclusiones, las cuales se describen a continuación:</w:t>
      </w:r>
    </w:p>
    <w:p w:rsidR="00034917" w:rsidRPr="009F70F5" w:rsidRDefault="00034917" w:rsidP="00034917">
      <w:pPr>
        <w:jc w:val="both"/>
        <w:rPr>
          <w:rFonts w:ascii="Calibri" w:hAnsi="Calibri" w:cs="Calibri"/>
          <w:lang w:val="es-GT"/>
        </w:rPr>
      </w:pPr>
    </w:p>
    <w:p w:rsidR="00034917" w:rsidRPr="009F70F5" w:rsidRDefault="00034917" w:rsidP="00EC05B0">
      <w:pPr>
        <w:numPr>
          <w:ilvl w:val="0"/>
          <w:numId w:val="73"/>
        </w:numPr>
        <w:jc w:val="both"/>
        <w:rPr>
          <w:rFonts w:ascii="Calibri" w:hAnsi="Calibri" w:cs="Calibri"/>
          <w:lang w:val="es-GT"/>
        </w:rPr>
      </w:pPr>
      <w:r w:rsidRPr="009F70F5">
        <w:rPr>
          <w:rFonts w:ascii="Calibri" w:hAnsi="Calibri" w:cs="Calibri"/>
          <w:lang w:val="es-GT"/>
        </w:rPr>
        <w:t>El 90% de la muestra de actores claves del proceso ratific</w:t>
      </w:r>
      <w:r w:rsidR="006E4121">
        <w:rPr>
          <w:rFonts w:ascii="Calibri" w:hAnsi="Calibri" w:cs="Calibri"/>
          <w:lang w:val="es-GT"/>
        </w:rPr>
        <w:t>ó</w:t>
      </w:r>
      <w:r w:rsidRPr="009F70F5">
        <w:rPr>
          <w:rFonts w:ascii="Calibri" w:hAnsi="Calibri" w:cs="Calibri"/>
          <w:lang w:val="es-GT"/>
        </w:rPr>
        <w:t xml:space="preserve"> que para Guatemala no se posee mucha información y conocimiento sobre antecedentes de EAE.</w:t>
      </w:r>
    </w:p>
    <w:p w:rsidR="00034917" w:rsidRPr="009F70F5" w:rsidRDefault="00034917" w:rsidP="00EC05B0">
      <w:pPr>
        <w:numPr>
          <w:ilvl w:val="0"/>
          <w:numId w:val="73"/>
        </w:numPr>
        <w:jc w:val="both"/>
        <w:rPr>
          <w:rFonts w:ascii="Calibri" w:hAnsi="Calibri" w:cs="Calibri"/>
          <w:lang w:val="es-GT"/>
        </w:rPr>
      </w:pPr>
      <w:r w:rsidRPr="009F70F5">
        <w:rPr>
          <w:rFonts w:ascii="Calibri" w:hAnsi="Calibri" w:cs="Calibri"/>
          <w:lang w:val="es-GT"/>
        </w:rPr>
        <w:t>El 100% de los actores clave concluy</w:t>
      </w:r>
      <w:r w:rsidR="006E4121">
        <w:rPr>
          <w:rFonts w:ascii="Calibri" w:hAnsi="Calibri" w:cs="Calibri"/>
          <w:lang w:val="es-GT"/>
        </w:rPr>
        <w:t>ó</w:t>
      </w:r>
      <w:r w:rsidRPr="009F70F5">
        <w:rPr>
          <w:rFonts w:ascii="Calibri" w:hAnsi="Calibri" w:cs="Calibri"/>
          <w:lang w:val="es-GT"/>
        </w:rPr>
        <w:t xml:space="preserve"> que el diseño e implementación de una EAE permitirá mejorar la eficacia de las inversiones de los programas y proyectos implementados con financiamientos de FIDA en Guatemala, situación que anteriormente no se ha realizado en Guatemala.</w:t>
      </w:r>
    </w:p>
    <w:p w:rsidR="00034917" w:rsidRPr="009F70F5" w:rsidRDefault="00034917" w:rsidP="00EC05B0">
      <w:pPr>
        <w:numPr>
          <w:ilvl w:val="0"/>
          <w:numId w:val="73"/>
        </w:numPr>
        <w:jc w:val="both"/>
        <w:rPr>
          <w:rFonts w:ascii="Calibri" w:hAnsi="Calibri" w:cs="Calibri"/>
          <w:lang w:val="es-GT"/>
        </w:rPr>
      </w:pPr>
      <w:r w:rsidRPr="009F70F5">
        <w:rPr>
          <w:rFonts w:ascii="Calibri" w:hAnsi="Calibri" w:cs="Calibri"/>
          <w:lang w:val="es-GT"/>
        </w:rPr>
        <w:t xml:space="preserve">El 80% de los actores clave que participaron </w:t>
      </w:r>
      <w:r w:rsidR="006E4121">
        <w:rPr>
          <w:rFonts w:ascii="Calibri" w:hAnsi="Calibri" w:cs="Calibri"/>
          <w:lang w:val="es-GT"/>
        </w:rPr>
        <w:t>en e</w:t>
      </w:r>
      <w:r w:rsidRPr="009F70F5">
        <w:rPr>
          <w:rFonts w:ascii="Calibri" w:hAnsi="Calibri" w:cs="Calibri"/>
          <w:lang w:val="es-GT"/>
        </w:rPr>
        <w:t>l proceso de consulta pública y validación enfatiz</w:t>
      </w:r>
      <w:r w:rsidR="006E4121">
        <w:rPr>
          <w:rFonts w:ascii="Calibri" w:hAnsi="Calibri" w:cs="Calibri"/>
          <w:lang w:val="es-GT"/>
        </w:rPr>
        <w:t>ó</w:t>
      </w:r>
      <w:r w:rsidRPr="009F70F5">
        <w:rPr>
          <w:rFonts w:ascii="Calibri" w:hAnsi="Calibri" w:cs="Calibri"/>
          <w:lang w:val="es-GT"/>
        </w:rPr>
        <w:t xml:space="preserve"> que las condiciones que no deben faltar para garantizar un desarrollo rural integral </w:t>
      </w:r>
      <w:r w:rsidRPr="009F70F5">
        <w:rPr>
          <w:rFonts w:ascii="Calibri" w:hAnsi="Calibri" w:cs="Calibri"/>
          <w:lang w:val="es-GT"/>
        </w:rPr>
        <w:lastRenderedPageBreak/>
        <w:t xml:space="preserve">son: la transferencia de tecnología, la organización local, </w:t>
      </w:r>
      <w:r w:rsidR="006E4121">
        <w:rPr>
          <w:rFonts w:ascii="Calibri" w:hAnsi="Calibri" w:cs="Calibri"/>
          <w:lang w:val="es-GT"/>
        </w:rPr>
        <w:t xml:space="preserve">la </w:t>
      </w:r>
      <w:r w:rsidRPr="009F70F5">
        <w:rPr>
          <w:rFonts w:ascii="Calibri" w:hAnsi="Calibri" w:cs="Calibri"/>
          <w:lang w:val="es-GT"/>
        </w:rPr>
        <w:t xml:space="preserve">presencia de infraestructura básica, </w:t>
      </w:r>
      <w:r w:rsidR="006E4121">
        <w:rPr>
          <w:rFonts w:ascii="Calibri" w:hAnsi="Calibri" w:cs="Calibri"/>
          <w:lang w:val="es-GT"/>
        </w:rPr>
        <w:t xml:space="preserve">la </w:t>
      </w:r>
      <w:r w:rsidRPr="009F70F5">
        <w:rPr>
          <w:rFonts w:ascii="Calibri" w:hAnsi="Calibri" w:cs="Calibri"/>
          <w:lang w:val="es-GT"/>
        </w:rPr>
        <w:t xml:space="preserve">salud reproductiva, </w:t>
      </w:r>
      <w:r w:rsidR="006E4121">
        <w:rPr>
          <w:rFonts w:ascii="Calibri" w:hAnsi="Calibri" w:cs="Calibri"/>
          <w:lang w:val="es-GT"/>
        </w:rPr>
        <w:t xml:space="preserve">la </w:t>
      </w:r>
      <w:r w:rsidRPr="009F70F5">
        <w:rPr>
          <w:rFonts w:ascii="Calibri" w:hAnsi="Calibri" w:cs="Calibri"/>
          <w:lang w:val="es-GT"/>
        </w:rPr>
        <w:t xml:space="preserve">educación, </w:t>
      </w:r>
      <w:r w:rsidR="006E4121">
        <w:rPr>
          <w:rFonts w:ascii="Calibri" w:hAnsi="Calibri" w:cs="Calibri"/>
          <w:lang w:val="es-GT"/>
        </w:rPr>
        <w:t xml:space="preserve">las </w:t>
      </w:r>
      <w:r w:rsidRPr="009F70F5">
        <w:rPr>
          <w:rFonts w:ascii="Calibri" w:hAnsi="Calibri" w:cs="Calibri"/>
          <w:lang w:val="es-GT"/>
        </w:rPr>
        <w:t xml:space="preserve">opciones de crédito o financiamiento, </w:t>
      </w:r>
      <w:r w:rsidR="006E4121">
        <w:rPr>
          <w:rFonts w:ascii="Calibri" w:hAnsi="Calibri" w:cs="Calibri"/>
          <w:lang w:val="es-GT"/>
        </w:rPr>
        <w:t xml:space="preserve">la </w:t>
      </w:r>
      <w:r w:rsidRPr="009F70F5">
        <w:rPr>
          <w:rFonts w:ascii="Calibri" w:hAnsi="Calibri" w:cs="Calibri"/>
          <w:lang w:val="es-GT"/>
        </w:rPr>
        <w:t xml:space="preserve">estabilidad institucional y </w:t>
      </w:r>
      <w:r w:rsidR="006E4121">
        <w:rPr>
          <w:rFonts w:ascii="Calibri" w:hAnsi="Calibri" w:cs="Calibri"/>
          <w:lang w:val="es-GT"/>
        </w:rPr>
        <w:t xml:space="preserve">la </w:t>
      </w:r>
      <w:r w:rsidRPr="009F70F5">
        <w:rPr>
          <w:rFonts w:ascii="Calibri" w:hAnsi="Calibri" w:cs="Calibri"/>
          <w:lang w:val="es-GT"/>
        </w:rPr>
        <w:t>operativización de las políticas públicas, principalmente las que fomenten un desarrollo rural integral.</w:t>
      </w:r>
    </w:p>
    <w:p w:rsidR="00034917" w:rsidRPr="009F70F5" w:rsidRDefault="00034917" w:rsidP="00EC05B0">
      <w:pPr>
        <w:numPr>
          <w:ilvl w:val="0"/>
          <w:numId w:val="73"/>
        </w:numPr>
        <w:jc w:val="both"/>
        <w:rPr>
          <w:rFonts w:ascii="Calibri" w:hAnsi="Calibri" w:cs="Calibri"/>
          <w:lang w:val="es-GT"/>
        </w:rPr>
      </w:pPr>
      <w:r w:rsidRPr="009F70F5">
        <w:rPr>
          <w:rFonts w:ascii="Calibri" w:hAnsi="Calibri" w:cs="Calibri"/>
          <w:lang w:val="es-GT"/>
        </w:rPr>
        <w:t xml:space="preserve">Un 60% </w:t>
      </w:r>
      <w:r w:rsidR="006E4121">
        <w:rPr>
          <w:rFonts w:ascii="Calibri" w:hAnsi="Calibri" w:cs="Calibri"/>
          <w:lang w:val="es-GT"/>
        </w:rPr>
        <w:t>de los actores clave considera</w:t>
      </w:r>
      <w:r w:rsidRPr="009F70F5">
        <w:rPr>
          <w:rFonts w:ascii="Calibri" w:hAnsi="Calibri" w:cs="Calibri"/>
          <w:lang w:val="es-GT"/>
        </w:rPr>
        <w:t xml:space="preserve"> la integración de componentes o condiciones</w:t>
      </w:r>
      <w:r w:rsidR="006E4121">
        <w:rPr>
          <w:rFonts w:ascii="Calibri" w:hAnsi="Calibri" w:cs="Calibri"/>
          <w:lang w:val="es-GT"/>
        </w:rPr>
        <w:t>,</w:t>
      </w:r>
      <w:r w:rsidRPr="009F70F5">
        <w:rPr>
          <w:rFonts w:ascii="Calibri" w:hAnsi="Calibri" w:cs="Calibri"/>
          <w:lang w:val="es-GT"/>
        </w:rPr>
        <w:t xml:space="preserve"> tales como: género, contaminación, sistemas agroforestales, manejo de cuencas hidrográficas, ordenamiento territorial, pago de servicio</w:t>
      </w:r>
      <w:r w:rsidR="006E4121">
        <w:rPr>
          <w:rFonts w:ascii="Calibri" w:hAnsi="Calibri" w:cs="Calibri"/>
          <w:lang w:val="es-GT"/>
        </w:rPr>
        <w:t>s ambientales, desechos sólidos y</w:t>
      </w:r>
      <w:r w:rsidRPr="009F70F5">
        <w:rPr>
          <w:rFonts w:ascii="Calibri" w:hAnsi="Calibri" w:cs="Calibri"/>
          <w:lang w:val="es-GT"/>
        </w:rPr>
        <w:t xml:space="preserve"> transparencia institucional.</w:t>
      </w:r>
    </w:p>
    <w:p w:rsidR="00034917" w:rsidRPr="009F70F5" w:rsidRDefault="00034917" w:rsidP="00EC05B0">
      <w:pPr>
        <w:numPr>
          <w:ilvl w:val="0"/>
          <w:numId w:val="73"/>
        </w:numPr>
        <w:jc w:val="both"/>
        <w:rPr>
          <w:rFonts w:ascii="Calibri" w:hAnsi="Calibri" w:cs="Calibri"/>
          <w:lang w:val="es-GT"/>
        </w:rPr>
      </w:pPr>
      <w:r w:rsidRPr="009F70F5">
        <w:rPr>
          <w:rFonts w:ascii="Calibri" w:hAnsi="Calibri" w:cs="Calibri"/>
          <w:lang w:val="es-GT"/>
        </w:rPr>
        <w:t>Un 80% de los actores clave consideran la integración de componentes o condiciones ambientales como: manejo y protección del bosq</w:t>
      </w:r>
      <w:r w:rsidR="001523C0">
        <w:rPr>
          <w:rFonts w:ascii="Calibri" w:hAnsi="Calibri" w:cs="Calibri"/>
          <w:lang w:val="es-GT"/>
        </w:rPr>
        <w:t>ue, suelo, agua y biodiversidad;</w:t>
      </w:r>
      <w:r w:rsidRPr="009F70F5">
        <w:rPr>
          <w:rFonts w:ascii="Calibri" w:hAnsi="Calibri" w:cs="Calibri"/>
          <w:lang w:val="es-GT"/>
        </w:rPr>
        <w:t xml:space="preserve"> la evaluación de estudios de impacto ambiental y la integración de los sistemas agroforestales.</w:t>
      </w:r>
    </w:p>
    <w:p w:rsidR="00034917" w:rsidRPr="009F70F5" w:rsidRDefault="00034917" w:rsidP="00EC05B0">
      <w:pPr>
        <w:numPr>
          <w:ilvl w:val="0"/>
          <w:numId w:val="73"/>
        </w:numPr>
        <w:jc w:val="both"/>
        <w:rPr>
          <w:rFonts w:ascii="Calibri" w:hAnsi="Calibri" w:cs="Calibri"/>
          <w:lang w:val="es-GT"/>
        </w:rPr>
      </w:pPr>
      <w:r w:rsidRPr="009F70F5">
        <w:rPr>
          <w:rFonts w:ascii="Calibri" w:hAnsi="Calibri" w:cs="Calibri"/>
          <w:lang w:val="es-GT"/>
        </w:rPr>
        <w:t>Desde una perspectiva general</w:t>
      </w:r>
      <w:r w:rsidR="001523C0">
        <w:rPr>
          <w:rFonts w:ascii="Calibri" w:hAnsi="Calibri" w:cs="Calibri"/>
          <w:lang w:val="es-GT"/>
        </w:rPr>
        <w:t>,</w:t>
      </w:r>
      <w:r w:rsidRPr="009F70F5">
        <w:rPr>
          <w:rFonts w:ascii="Calibri" w:hAnsi="Calibri" w:cs="Calibri"/>
          <w:lang w:val="es-GT"/>
        </w:rPr>
        <w:t xml:space="preserve"> un 40% hizo énfasis en la focalización y especificidad de las recomendaciones generadas en el nuevo COSOP, dando orientaciones preliminares sobre las posibles líneas estratégicas de los programas de FIDA.</w:t>
      </w:r>
    </w:p>
    <w:p w:rsidR="007311E3" w:rsidRDefault="007311E3" w:rsidP="007311E3">
      <w:pPr>
        <w:jc w:val="both"/>
        <w:rPr>
          <w:lang w:val="es-GT"/>
        </w:rPr>
      </w:pPr>
    </w:p>
    <w:p w:rsidR="007311E3" w:rsidRDefault="007311E3" w:rsidP="007311E3">
      <w:pPr>
        <w:jc w:val="both"/>
        <w:rPr>
          <w:lang w:val="es-GT"/>
        </w:rPr>
        <w:sectPr w:rsidR="007311E3" w:rsidSect="003A2C0C">
          <w:pgSz w:w="12240" w:h="15840"/>
          <w:pgMar w:top="1417" w:right="1134" w:bottom="1417" w:left="1701" w:header="709" w:footer="709" w:gutter="0"/>
          <w:cols w:space="708"/>
          <w:docGrid w:linePitch="360"/>
        </w:sectPr>
      </w:pPr>
    </w:p>
    <w:p w:rsidR="00C54ACC" w:rsidRPr="007033AE" w:rsidRDefault="00C54ACC" w:rsidP="007033AE">
      <w:pPr>
        <w:pStyle w:val="Epgrafe"/>
        <w:jc w:val="center"/>
        <w:rPr>
          <w:rFonts w:asciiTheme="minorHAnsi" w:hAnsiTheme="minorHAnsi" w:cstheme="minorHAnsi"/>
          <w:color w:val="365F91" w:themeColor="accent1" w:themeShade="BF"/>
          <w:sz w:val="22"/>
          <w:szCs w:val="22"/>
          <w:lang w:val="es-GT"/>
        </w:rPr>
      </w:pPr>
      <w:bookmarkStart w:id="478" w:name="_Toc347841223"/>
      <w:r w:rsidRPr="007033AE">
        <w:rPr>
          <w:rFonts w:asciiTheme="minorHAnsi" w:hAnsiTheme="minorHAnsi" w:cstheme="minorHAnsi"/>
          <w:color w:val="365F91" w:themeColor="accent1" w:themeShade="BF"/>
          <w:sz w:val="22"/>
          <w:szCs w:val="22"/>
          <w:lang w:val="es-GT"/>
        </w:rPr>
        <w:lastRenderedPageBreak/>
        <w:t xml:space="preserve">Cuadro </w:t>
      </w:r>
      <w:r w:rsidRPr="007033AE">
        <w:rPr>
          <w:rFonts w:asciiTheme="minorHAnsi" w:hAnsiTheme="minorHAnsi" w:cstheme="minorHAnsi"/>
          <w:color w:val="365F91" w:themeColor="accent1" w:themeShade="BF"/>
          <w:sz w:val="22"/>
          <w:szCs w:val="22"/>
          <w:lang w:val="es-GT"/>
        </w:rPr>
        <w:fldChar w:fldCharType="begin"/>
      </w:r>
      <w:r w:rsidRPr="007033AE">
        <w:rPr>
          <w:rFonts w:asciiTheme="minorHAnsi" w:hAnsiTheme="minorHAnsi" w:cstheme="minorHAnsi"/>
          <w:color w:val="365F91" w:themeColor="accent1" w:themeShade="BF"/>
          <w:sz w:val="22"/>
          <w:szCs w:val="22"/>
          <w:lang w:val="es-GT"/>
        </w:rPr>
        <w:instrText xml:space="preserve"> SEQ Cuadro \* ARABIC </w:instrText>
      </w:r>
      <w:r w:rsidRPr="007033AE">
        <w:rPr>
          <w:rFonts w:asciiTheme="minorHAnsi" w:hAnsiTheme="minorHAnsi" w:cstheme="minorHAnsi"/>
          <w:color w:val="365F91" w:themeColor="accent1" w:themeShade="BF"/>
          <w:sz w:val="22"/>
          <w:szCs w:val="22"/>
          <w:lang w:val="es-GT"/>
        </w:rPr>
        <w:fldChar w:fldCharType="separate"/>
      </w:r>
      <w:r w:rsidRPr="007033AE">
        <w:rPr>
          <w:rFonts w:asciiTheme="minorHAnsi" w:hAnsiTheme="minorHAnsi" w:cstheme="minorHAnsi"/>
          <w:color w:val="365F91" w:themeColor="accent1" w:themeShade="BF"/>
          <w:sz w:val="22"/>
          <w:szCs w:val="22"/>
          <w:lang w:val="es-GT"/>
        </w:rPr>
        <w:t>41</w:t>
      </w:r>
      <w:r w:rsidRPr="007033AE">
        <w:rPr>
          <w:rFonts w:asciiTheme="minorHAnsi" w:hAnsiTheme="minorHAnsi" w:cstheme="minorHAnsi"/>
          <w:color w:val="365F91" w:themeColor="accent1" w:themeShade="BF"/>
          <w:sz w:val="22"/>
          <w:szCs w:val="22"/>
          <w:lang w:val="es-GT"/>
        </w:rPr>
        <w:fldChar w:fldCharType="end"/>
      </w:r>
      <w:r w:rsidRPr="007033AE">
        <w:rPr>
          <w:rFonts w:asciiTheme="minorHAnsi" w:hAnsiTheme="minorHAnsi" w:cstheme="minorHAnsi"/>
          <w:color w:val="365F91" w:themeColor="accent1" w:themeShade="BF"/>
          <w:sz w:val="22"/>
          <w:szCs w:val="22"/>
          <w:lang w:val="es-GT"/>
        </w:rPr>
        <w:t>. Informantes clave</w:t>
      </w:r>
      <w:bookmarkEnd w:id="478"/>
    </w:p>
    <w:p w:rsidR="007311E3" w:rsidRPr="007033AE" w:rsidRDefault="007311E3" w:rsidP="00C54ACC">
      <w:pPr>
        <w:ind w:left="284" w:right="288"/>
        <w:jc w:val="center"/>
        <w:rPr>
          <w:rFonts w:asciiTheme="minorHAnsi" w:hAnsiTheme="minorHAnsi" w:cstheme="minorHAnsi"/>
          <w:b/>
          <w:bCs/>
          <w:color w:val="365F91" w:themeColor="accent1" w:themeShade="BF"/>
          <w:sz w:val="22"/>
          <w:szCs w:val="22"/>
          <w:lang w:val="es-GT"/>
        </w:rPr>
      </w:pPr>
      <w:r w:rsidRPr="007033AE">
        <w:rPr>
          <w:rFonts w:asciiTheme="minorHAnsi" w:hAnsiTheme="minorHAnsi" w:cstheme="minorHAnsi"/>
          <w:b/>
          <w:bCs/>
          <w:color w:val="365F91" w:themeColor="accent1" w:themeShade="BF"/>
          <w:sz w:val="22"/>
          <w:szCs w:val="22"/>
          <w:lang w:val="es-GT"/>
        </w:rPr>
        <w:t>E</w:t>
      </w:r>
      <w:r w:rsidR="005D1BB6" w:rsidRPr="007033AE">
        <w:rPr>
          <w:rFonts w:asciiTheme="minorHAnsi" w:hAnsiTheme="minorHAnsi" w:cstheme="minorHAnsi"/>
          <w:b/>
          <w:bCs/>
          <w:color w:val="365F91" w:themeColor="accent1" w:themeShade="BF"/>
          <w:sz w:val="22"/>
          <w:szCs w:val="22"/>
          <w:lang w:val="es-GT"/>
        </w:rPr>
        <w:t>valuación</w:t>
      </w:r>
      <w:r w:rsidRPr="007033AE">
        <w:rPr>
          <w:rFonts w:asciiTheme="minorHAnsi" w:hAnsiTheme="minorHAnsi" w:cstheme="minorHAnsi"/>
          <w:b/>
          <w:bCs/>
          <w:color w:val="365F91" w:themeColor="accent1" w:themeShade="BF"/>
          <w:sz w:val="22"/>
          <w:szCs w:val="22"/>
          <w:lang w:val="es-GT"/>
        </w:rPr>
        <w:t xml:space="preserve"> A</w:t>
      </w:r>
      <w:r w:rsidR="005D1BB6" w:rsidRPr="007033AE">
        <w:rPr>
          <w:rFonts w:asciiTheme="minorHAnsi" w:hAnsiTheme="minorHAnsi" w:cstheme="minorHAnsi"/>
          <w:b/>
          <w:bCs/>
          <w:color w:val="365F91" w:themeColor="accent1" w:themeShade="BF"/>
          <w:sz w:val="22"/>
          <w:szCs w:val="22"/>
          <w:lang w:val="es-GT"/>
        </w:rPr>
        <w:t>mbiental</w:t>
      </w:r>
      <w:r w:rsidRPr="007033AE">
        <w:rPr>
          <w:rFonts w:asciiTheme="minorHAnsi" w:hAnsiTheme="minorHAnsi" w:cstheme="minorHAnsi"/>
          <w:b/>
          <w:bCs/>
          <w:color w:val="365F91" w:themeColor="accent1" w:themeShade="BF"/>
          <w:sz w:val="22"/>
          <w:szCs w:val="22"/>
          <w:lang w:val="es-GT"/>
        </w:rPr>
        <w:t xml:space="preserve"> E</w:t>
      </w:r>
      <w:r w:rsidR="005D1BB6" w:rsidRPr="007033AE">
        <w:rPr>
          <w:rFonts w:asciiTheme="minorHAnsi" w:hAnsiTheme="minorHAnsi" w:cstheme="minorHAnsi"/>
          <w:b/>
          <w:bCs/>
          <w:color w:val="365F91" w:themeColor="accent1" w:themeShade="BF"/>
          <w:sz w:val="22"/>
          <w:szCs w:val="22"/>
          <w:lang w:val="es-GT"/>
        </w:rPr>
        <w:t>stratégica</w:t>
      </w:r>
      <w:r w:rsidRPr="007033AE">
        <w:rPr>
          <w:rFonts w:asciiTheme="minorHAnsi" w:hAnsiTheme="minorHAnsi" w:cstheme="minorHAnsi"/>
          <w:b/>
          <w:bCs/>
          <w:color w:val="365F91" w:themeColor="accent1" w:themeShade="BF"/>
          <w:sz w:val="22"/>
          <w:szCs w:val="22"/>
          <w:lang w:val="es-GT"/>
        </w:rPr>
        <w:t>-COSOP-FIDA-URL</w:t>
      </w:r>
    </w:p>
    <w:p w:rsidR="007311E3" w:rsidRPr="00C54ACC" w:rsidRDefault="007311E3" w:rsidP="00034917">
      <w:pPr>
        <w:spacing w:before="40" w:after="40"/>
        <w:jc w:val="both"/>
        <w:rPr>
          <w:rFonts w:ascii="Calibri" w:hAnsi="Calibri"/>
          <w:bCs/>
          <w:color w:val="000000"/>
          <w:sz w:val="22"/>
          <w:szCs w:val="20"/>
          <w:u w:val="single"/>
          <w:lang w:val="es-GT" w:eastAsia="es-MX"/>
        </w:rPr>
      </w:pPr>
    </w:p>
    <w:tbl>
      <w:tblPr>
        <w:tblW w:w="5034" w:type="pct"/>
        <w:jc w:val="center"/>
        <w:tblLayout w:type="fixed"/>
        <w:tblCellMar>
          <w:left w:w="70" w:type="dxa"/>
          <w:right w:w="70" w:type="dxa"/>
        </w:tblCellMar>
        <w:tblLook w:val="00A0" w:firstRow="1" w:lastRow="0" w:firstColumn="1" w:lastColumn="0" w:noHBand="0" w:noVBand="0"/>
      </w:tblPr>
      <w:tblGrid>
        <w:gridCol w:w="438"/>
        <w:gridCol w:w="1158"/>
        <w:gridCol w:w="1588"/>
        <w:gridCol w:w="1591"/>
        <w:gridCol w:w="353"/>
        <w:gridCol w:w="359"/>
        <w:gridCol w:w="351"/>
        <w:gridCol w:w="353"/>
        <w:gridCol w:w="353"/>
        <w:gridCol w:w="356"/>
        <w:gridCol w:w="1005"/>
        <w:gridCol w:w="2269"/>
        <w:gridCol w:w="3015"/>
      </w:tblGrid>
      <w:tr w:rsidR="005D1BB6" w:rsidRPr="00EE2528" w:rsidTr="009961F6">
        <w:trPr>
          <w:trHeight w:val="20"/>
          <w:tblHeader/>
          <w:jc w:val="center"/>
        </w:trPr>
        <w:tc>
          <w:tcPr>
            <w:tcW w:w="166" w:type="pct"/>
            <w:vMerge w:val="restart"/>
            <w:tcBorders>
              <w:top w:val="single" w:sz="4" w:space="0" w:color="auto"/>
              <w:left w:val="single" w:sz="4" w:space="0" w:color="auto"/>
              <w:bottom w:val="single" w:sz="4" w:space="0" w:color="auto"/>
              <w:right w:val="single" w:sz="4" w:space="0" w:color="auto"/>
            </w:tcBorders>
            <w:shd w:val="clear" w:color="auto" w:fill="365F91"/>
            <w:noWrap/>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No.</w:t>
            </w:r>
          </w:p>
        </w:tc>
        <w:tc>
          <w:tcPr>
            <w:tcW w:w="439" w:type="pct"/>
            <w:vMerge w:val="restart"/>
            <w:tcBorders>
              <w:top w:val="single" w:sz="4" w:space="0" w:color="auto"/>
              <w:left w:val="single" w:sz="4" w:space="0" w:color="auto"/>
              <w:bottom w:val="single" w:sz="4" w:space="0" w:color="auto"/>
              <w:right w:val="single" w:sz="4" w:space="0" w:color="auto"/>
            </w:tcBorders>
            <w:shd w:val="clear" w:color="auto" w:fill="365F91"/>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Organización (nombre)</w:t>
            </w:r>
          </w:p>
        </w:tc>
        <w:tc>
          <w:tcPr>
            <w:tcW w:w="602" w:type="pct"/>
            <w:vMerge w:val="restart"/>
            <w:tcBorders>
              <w:top w:val="single" w:sz="4" w:space="0" w:color="auto"/>
              <w:left w:val="single" w:sz="4" w:space="0" w:color="auto"/>
              <w:bottom w:val="single" w:sz="4" w:space="0" w:color="auto"/>
              <w:right w:val="single" w:sz="4" w:space="0" w:color="auto"/>
            </w:tcBorders>
            <w:shd w:val="clear" w:color="auto" w:fill="365F91"/>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Nombre</w:t>
            </w:r>
          </w:p>
        </w:tc>
        <w:tc>
          <w:tcPr>
            <w:tcW w:w="603" w:type="pct"/>
            <w:vMerge w:val="restart"/>
            <w:tcBorders>
              <w:top w:val="single" w:sz="4" w:space="0" w:color="auto"/>
              <w:left w:val="single" w:sz="4" w:space="0" w:color="auto"/>
              <w:bottom w:val="single" w:sz="4" w:space="0" w:color="auto"/>
              <w:right w:val="single" w:sz="4" w:space="0" w:color="auto"/>
            </w:tcBorders>
            <w:shd w:val="clear" w:color="auto" w:fill="365F91"/>
            <w:vAlign w:val="center"/>
          </w:tcPr>
          <w:p w:rsidR="005D1BB6" w:rsidRPr="007311E3" w:rsidRDefault="005D1BB6" w:rsidP="003A2C0C">
            <w:pPr>
              <w:spacing w:before="40" w:after="40"/>
              <w:jc w:val="center"/>
              <w:rPr>
                <w:rFonts w:ascii="Arial Narrow" w:hAnsi="Arial Narrow" w:cs="Arial Narrow"/>
                <w:b/>
                <w:bCs/>
                <w:color w:val="FFFFFF"/>
                <w:sz w:val="16"/>
                <w:szCs w:val="16"/>
                <w:lang w:val="es-GT" w:eastAsia="es-MX"/>
              </w:rPr>
            </w:pPr>
            <w:r w:rsidRPr="007311E3">
              <w:rPr>
                <w:rFonts w:ascii="Arial Narrow" w:hAnsi="Arial Narrow" w:cs="Arial Narrow"/>
                <w:b/>
                <w:bCs/>
                <w:color w:val="FFFFFF"/>
                <w:sz w:val="16"/>
                <w:szCs w:val="16"/>
                <w:lang w:val="es-GT" w:eastAsia="es-MX"/>
              </w:rPr>
              <w:t>Puesto que ocupa en la organización</w:t>
            </w:r>
          </w:p>
        </w:tc>
        <w:tc>
          <w:tcPr>
            <w:tcW w:w="270" w:type="pct"/>
            <w:gridSpan w:val="2"/>
            <w:tcBorders>
              <w:top w:val="single" w:sz="4" w:space="0" w:color="auto"/>
              <w:left w:val="single" w:sz="4" w:space="0" w:color="auto"/>
              <w:bottom w:val="single" w:sz="4" w:space="0" w:color="auto"/>
              <w:right w:val="single" w:sz="4" w:space="0" w:color="auto"/>
            </w:tcBorders>
            <w:shd w:val="clear" w:color="auto" w:fill="365F91"/>
            <w:noWrap/>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Género</w:t>
            </w:r>
          </w:p>
        </w:tc>
        <w:tc>
          <w:tcPr>
            <w:tcW w:w="1777" w:type="pct"/>
            <w:gridSpan w:val="6"/>
            <w:tcBorders>
              <w:top w:val="single" w:sz="4" w:space="0" w:color="auto"/>
              <w:left w:val="single" w:sz="4" w:space="0" w:color="auto"/>
              <w:bottom w:val="single" w:sz="4" w:space="0" w:color="auto"/>
              <w:right w:val="single" w:sz="4" w:space="0" w:color="auto"/>
            </w:tcBorders>
            <w:shd w:val="clear" w:color="auto" w:fill="365F91"/>
            <w:noWrap/>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Contacto</w:t>
            </w:r>
          </w:p>
        </w:tc>
        <w:tc>
          <w:tcPr>
            <w:tcW w:w="1143" w:type="pct"/>
            <w:vMerge w:val="restart"/>
            <w:tcBorders>
              <w:top w:val="single" w:sz="4" w:space="0" w:color="auto"/>
              <w:left w:val="single" w:sz="4" w:space="0" w:color="auto"/>
              <w:right w:val="single" w:sz="4" w:space="0" w:color="auto"/>
            </w:tcBorders>
            <w:shd w:val="clear" w:color="auto" w:fill="365F91"/>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Aportes</w:t>
            </w:r>
          </w:p>
        </w:tc>
      </w:tr>
      <w:tr w:rsidR="005D1BB6" w:rsidRPr="00EE2528" w:rsidTr="009961F6">
        <w:trPr>
          <w:trHeight w:val="858"/>
          <w:tblHeader/>
          <w:jc w:val="center"/>
        </w:trPr>
        <w:tc>
          <w:tcPr>
            <w:tcW w:w="166" w:type="pct"/>
            <w:vMerge/>
            <w:tcBorders>
              <w:top w:val="single" w:sz="4" w:space="0" w:color="auto"/>
              <w:left w:val="single" w:sz="4" w:space="0" w:color="auto"/>
              <w:bottom w:val="single" w:sz="4" w:space="0" w:color="auto"/>
              <w:right w:val="single" w:sz="4" w:space="0" w:color="auto"/>
            </w:tcBorders>
            <w:shd w:val="clear" w:color="auto" w:fill="365F91"/>
            <w:vAlign w:val="center"/>
          </w:tcPr>
          <w:p w:rsidR="005D1BB6" w:rsidRPr="00CE744B" w:rsidRDefault="005D1BB6" w:rsidP="003A2C0C">
            <w:pPr>
              <w:spacing w:before="40" w:after="40"/>
              <w:rPr>
                <w:rFonts w:ascii="Arial Narrow" w:hAnsi="Arial Narrow" w:cs="Arial Narrow"/>
                <w:b/>
                <w:bCs/>
                <w:color w:val="000000"/>
                <w:sz w:val="16"/>
                <w:szCs w:val="16"/>
                <w:lang w:eastAsia="es-MX"/>
              </w:rPr>
            </w:pPr>
          </w:p>
        </w:tc>
        <w:tc>
          <w:tcPr>
            <w:tcW w:w="439" w:type="pct"/>
            <w:vMerge/>
            <w:tcBorders>
              <w:top w:val="single" w:sz="4" w:space="0" w:color="auto"/>
              <w:left w:val="single" w:sz="4" w:space="0" w:color="auto"/>
              <w:bottom w:val="single" w:sz="4" w:space="0" w:color="auto"/>
              <w:right w:val="single" w:sz="4" w:space="0" w:color="auto"/>
            </w:tcBorders>
            <w:shd w:val="clear" w:color="auto" w:fill="365F91"/>
            <w:vAlign w:val="center"/>
          </w:tcPr>
          <w:p w:rsidR="005D1BB6" w:rsidRPr="00CE744B" w:rsidRDefault="005D1BB6" w:rsidP="003A2C0C">
            <w:pPr>
              <w:spacing w:before="40" w:after="40"/>
              <w:rPr>
                <w:rFonts w:ascii="Arial Narrow" w:hAnsi="Arial Narrow" w:cs="Arial Narrow"/>
                <w:b/>
                <w:bCs/>
                <w:color w:val="000000"/>
                <w:sz w:val="16"/>
                <w:szCs w:val="16"/>
                <w:lang w:eastAsia="es-MX"/>
              </w:rPr>
            </w:pPr>
          </w:p>
        </w:tc>
        <w:tc>
          <w:tcPr>
            <w:tcW w:w="602" w:type="pct"/>
            <w:vMerge/>
            <w:tcBorders>
              <w:top w:val="single" w:sz="4" w:space="0" w:color="auto"/>
              <w:left w:val="single" w:sz="4" w:space="0" w:color="auto"/>
              <w:bottom w:val="single" w:sz="4" w:space="0" w:color="auto"/>
              <w:right w:val="single" w:sz="4" w:space="0" w:color="auto"/>
            </w:tcBorders>
            <w:shd w:val="clear" w:color="auto" w:fill="365F91"/>
            <w:vAlign w:val="center"/>
          </w:tcPr>
          <w:p w:rsidR="005D1BB6" w:rsidRPr="00CE744B" w:rsidRDefault="005D1BB6" w:rsidP="003A2C0C">
            <w:pPr>
              <w:spacing w:before="40" w:after="40"/>
              <w:rPr>
                <w:rFonts w:ascii="Arial Narrow" w:hAnsi="Arial Narrow" w:cs="Arial Narrow"/>
                <w:b/>
                <w:bCs/>
                <w:color w:val="000000"/>
                <w:sz w:val="16"/>
                <w:szCs w:val="16"/>
                <w:lang w:eastAsia="es-MX"/>
              </w:rPr>
            </w:pPr>
          </w:p>
        </w:tc>
        <w:tc>
          <w:tcPr>
            <w:tcW w:w="603" w:type="pct"/>
            <w:vMerge/>
            <w:tcBorders>
              <w:top w:val="single" w:sz="4" w:space="0" w:color="auto"/>
              <w:left w:val="single" w:sz="4" w:space="0" w:color="auto"/>
              <w:bottom w:val="single" w:sz="4" w:space="0" w:color="auto"/>
              <w:right w:val="single" w:sz="4" w:space="0" w:color="auto"/>
            </w:tcBorders>
            <w:shd w:val="clear" w:color="auto" w:fill="365F91"/>
            <w:vAlign w:val="center"/>
          </w:tcPr>
          <w:p w:rsidR="005D1BB6" w:rsidRPr="00CE744B" w:rsidRDefault="005D1BB6" w:rsidP="003A2C0C">
            <w:pPr>
              <w:spacing w:before="40" w:after="40"/>
              <w:rPr>
                <w:rFonts w:ascii="Arial Narrow" w:hAnsi="Arial Narrow" w:cs="Arial Narrow"/>
                <w:b/>
                <w:bCs/>
                <w:color w:val="000000"/>
                <w:sz w:val="16"/>
                <w:szCs w:val="16"/>
                <w:lang w:eastAsia="es-MX"/>
              </w:rPr>
            </w:pPr>
          </w:p>
        </w:tc>
        <w:tc>
          <w:tcPr>
            <w:tcW w:w="134" w:type="pct"/>
            <w:tcBorders>
              <w:top w:val="single" w:sz="4" w:space="0" w:color="auto"/>
              <w:left w:val="single" w:sz="4" w:space="0" w:color="auto"/>
              <w:bottom w:val="single" w:sz="4" w:space="0" w:color="auto"/>
              <w:right w:val="single" w:sz="4" w:space="0" w:color="auto"/>
            </w:tcBorders>
            <w:shd w:val="clear" w:color="auto" w:fill="365F91"/>
            <w:noWrap/>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M</w:t>
            </w:r>
          </w:p>
        </w:tc>
        <w:tc>
          <w:tcPr>
            <w:tcW w:w="136" w:type="pct"/>
            <w:tcBorders>
              <w:top w:val="single" w:sz="4" w:space="0" w:color="auto"/>
              <w:left w:val="single" w:sz="4" w:space="0" w:color="auto"/>
              <w:bottom w:val="single" w:sz="4" w:space="0" w:color="auto"/>
              <w:right w:val="single" w:sz="4" w:space="0" w:color="auto"/>
            </w:tcBorders>
            <w:shd w:val="clear" w:color="auto" w:fill="365F91"/>
            <w:noWrap/>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F</w:t>
            </w:r>
          </w:p>
        </w:tc>
        <w:tc>
          <w:tcPr>
            <w:tcW w:w="133" w:type="pct"/>
            <w:tcBorders>
              <w:top w:val="single" w:sz="4" w:space="0" w:color="auto"/>
              <w:left w:val="single" w:sz="4" w:space="0" w:color="auto"/>
              <w:bottom w:val="single" w:sz="4" w:space="0" w:color="auto"/>
              <w:right w:val="single" w:sz="4" w:space="0" w:color="auto"/>
            </w:tcBorders>
            <w:shd w:val="clear" w:color="auto" w:fill="365F91"/>
            <w:noWrap/>
            <w:textDirection w:val="btLr"/>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Gobierno</w:t>
            </w:r>
          </w:p>
        </w:tc>
        <w:tc>
          <w:tcPr>
            <w:tcW w:w="134" w:type="pct"/>
            <w:tcBorders>
              <w:top w:val="single" w:sz="4" w:space="0" w:color="auto"/>
              <w:left w:val="single" w:sz="4" w:space="0" w:color="auto"/>
              <w:bottom w:val="single" w:sz="4" w:space="0" w:color="auto"/>
              <w:right w:val="single" w:sz="4" w:space="0" w:color="auto"/>
            </w:tcBorders>
            <w:shd w:val="clear" w:color="auto" w:fill="365F91"/>
            <w:noWrap/>
            <w:textDirection w:val="btLr"/>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ONG´s</w:t>
            </w:r>
          </w:p>
        </w:tc>
        <w:tc>
          <w:tcPr>
            <w:tcW w:w="134" w:type="pct"/>
            <w:tcBorders>
              <w:top w:val="single" w:sz="4" w:space="0" w:color="auto"/>
              <w:left w:val="single" w:sz="4" w:space="0" w:color="auto"/>
              <w:bottom w:val="single" w:sz="4" w:space="0" w:color="auto"/>
              <w:right w:val="single" w:sz="4" w:space="0" w:color="auto"/>
            </w:tcBorders>
            <w:shd w:val="clear" w:color="auto" w:fill="365F91"/>
            <w:noWrap/>
            <w:textDirection w:val="btLr"/>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Pr>
                <w:rFonts w:ascii="Arial Narrow" w:hAnsi="Arial Narrow" w:cs="Arial Narrow"/>
                <w:b/>
                <w:bCs/>
                <w:color w:val="FFFFFF"/>
                <w:sz w:val="16"/>
                <w:szCs w:val="16"/>
                <w:lang w:eastAsia="es-MX"/>
              </w:rPr>
              <w:t>Cooperación</w:t>
            </w:r>
          </w:p>
        </w:tc>
        <w:tc>
          <w:tcPr>
            <w:tcW w:w="135" w:type="pct"/>
            <w:tcBorders>
              <w:top w:val="single" w:sz="4" w:space="0" w:color="auto"/>
              <w:left w:val="single" w:sz="4" w:space="0" w:color="auto"/>
              <w:bottom w:val="single" w:sz="4" w:space="0" w:color="auto"/>
              <w:right w:val="single" w:sz="4" w:space="0" w:color="auto"/>
            </w:tcBorders>
            <w:shd w:val="clear" w:color="auto" w:fill="365F91"/>
            <w:noWrap/>
            <w:textDirection w:val="btLr"/>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Otro</w:t>
            </w:r>
          </w:p>
        </w:tc>
        <w:tc>
          <w:tcPr>
            <w:tcW w:w="381" w:type="pct"/>
            <w:tcBorders>
              <w:top w:val="single" w:sz="4" w:space="0" w:color="auto"/>
              <w:left w:val="single" w:sz="4" w:space="0" w:color="auto"/>
              <w:bottom w:val="single" w:sz="4" w:space="0" w:color="auto"/>
              <w:right w:val="single" w:sz="4" w:space="0" w:color="auto"/>
            </w:tcBorders>
            <w:shd w:val="clear" w:color="auto" w:fill="365F91"/>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Teléfono</w:t>
            </w:r>
          </w:p>
        </w:tc>
        <w:tc>
          <w:tcPr>
            <w:tcW w:w="860" w:type="pct"/>
            <w:tcBorders>
              <w:top w:val="single" w:sz="4" w:space="0" w:color="auto"/>
              <w:left w:val="single" w:sz="4" w:space="0" w:color="auto"/>
              <w:bottom w:val="single" w:sz="4" w:space="0" w:color="auto"/>
              <w:right w:val="single" w:sz="4" w:space="0" w:color="auto"/>
            </w:tcBorders>
            <w:shd w:val="clear" w:color="auto" w:fill="365F91"/>
            <w:vAlign w:val="center"/>
          </w:tcPr>
          <w:p w:rsidR="005D1BB6" w:rsidRPr="00AF2A54" w:rsidRDefault="005D1BB6" w:rsidP="003A2C0C">
            <w:pPr>
              <w:spacing w:before="40" w:after="40"/>
              <w:jc w:val="center"/>
              <w:rPr>
                <w:rFonts w:ascii="Arial Narrow" w:hAnsi="Arial Narrow" w:cs="Arial Narrow"/>
                <w:b/>
                <w:bCs/>
                <w:color w:val="FFFFFF"/>
                <w:sz w:val="16"/>
                <w:szCs w:val="16"/>
                <w:lang w:eastAsia="es-MX"/>
              </w:rPr>
            </w:pPr>
            <w:r w:rsidRPr="00AF2A54">
              <w:rPr>
                <w:rFonts w:ascii="Arial Narrow" w:hAnsi="Arial Narrow" w:cs="Arial Narrow"/>
                <w:b/>
                <w:bCs/>
                <w:color w:val="FFFFFF"/>
                <w:sz w:val="16"/>
                <w:szCs w:val="16"/>
                <w:lang w:eastAsia="es-MX"/>
              </w:rPr>
              <w:t>E-mail</w:t>
            </w:r>
          </w:p>
        </w:tc>
        <w:tc>
          <w:tcPr>
            <w:tcW w:w="1143" w:type="pct"/>
            <w:vMerge/>
            <w:tcBorders>
              <w:left w:val="single" w:sz="4" w:space="0" w:color="auto"/>
              <w:bottom w:val="single" w:sz="4" w:space="0" w:color="auto"/>
              <w:right w:val="single" w:sz="4" w:space="0" w:color="auto"/>
            </w:tcBorders>
            <w:shd w:val="clear" w:color="auto" w:fill="365F91"/>
            <w:vAlign w:val="center"/>
          </w:tcPr>
          <w:p w:rsidR="005D1BB6" w:rsidRPr="00AF2A54" w:rsidRDefault="005D1BB6" w:rsidP="003A2C0C">
            <w:pPr>
              <w:spacing w:before="40" w:after="40"/>
              <w:rPr>
                <w:rFonts w:ascii="Arial Narrow" w:hAnsi="Arial Narrow" w:cs="Arial Narrow"/>
                <w:b/>
                <w:bCs/>
                <w:color w:val="FFFFFF"/>
                <w:sz w:val="16"/>
                <w:szCs w:val="16"/>
                <w:lang w:eastAsia="es-MX"/>
              </w:rPr>
            </w:pP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FIDA Oriente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Arturo Lemus</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Coordinador</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 </w:t>
            </w: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No posee mucha información sobre antecedentes de EAE en Guatemala. </w:t>
            </w:r>
            <w:r w:rsidR="005D1BB6" w:rsidRPr="007311E3">
              <w:rPr>
                <w:rFonts w:ascii="Arial Narrow" w:hAnsi="Arial Narrow" w:cs="Arial Narrow"/>
                <w:color w:val="000000"/>
                <w:sz w:val="16"/>
                <w:szCs w:val="16"/>
                <w:lang w:val="es-GT" w:eastAsia="es-MX"/>
              </w:rPr>
              <w:t>Suministró</w:t>
            </w:r>
            <w:r w:rsidRPr="007311E3">
              <w:rPr>
                <w:rFonts w:ascii="Arial Narrow" w:hAnsi="Arial Narrow" w:cs="Arial Narrow"/>
                <w:color w:val="000000"/>
                <w:sz w:val="16"/>
                <w:szCs w:val="16"/>
                <w:lang w:val="es-GT" w:eastAsia="es-MX"/>
              </w:rPr>
              <w:t xml:space="preserve"> información sobre antecedentes de ejecución de programas de desarrollo de FIDA en Guatemala</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2</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FIDA Oriente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Rolando Lemus</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Encargado regional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0364C9" w:rsidP="003A2C0C">
            <w:pPr>
              <w:spacing w:before="40" w:after="40"/>
              <w:rPr>
                <w:rFonts w:ascii="Arial Narrow" w:hAnsi="Arial Narrow" w:cs="Arial Narrow"/>
                <w:color w:val="0000FF"/>
                <w:sz w:val="16"/>
                <w:szCs w:val="16"/>
                <w:u w:val="single"/>
                <w:lang w:eastAsia="es-MX"/>
              </w:rPr>
            </w:pPr>
            <w:hyperlink r:id="rId115" w:history="1">
              <w:r w:rsidR="007311E3" w:rsidRPr="00CE744B">
                <w:rPr>
                  <w:rFonts w:ascii="Arial Narrow" w:hAnsi="Arial Narrow" w:cs="Arial Narrow"/>
                  <w:color w:val="0000FF"/>
                  <w:sz w:val="16"/>
                  <w:szCs w:val="16"/>
                  <w:u w:val="single"/>
                  <w:lang w:eastAsia="es-MX"/>
                </w:rPr>
                <w:t>rlemus.fida@gmail.com</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Suministró datos sobre procedimientos de monitoreo y seguimiento de proyectos de FIDA, aspectos de </w:t>
            </w:r>
            <w:r w:rsidR="005D1BB6">
              <w:rPr>
                <w:rFonts w:ascii="Arial Narrow" w:hAnsi="Arial Narrow" w:cs="Arial Narrow"/>
                <w:color w:val="000000"/>
                <w:sz w:val="16"/>
                <w:szCs w:val="16"/>
                <w:u w:val="single"/>
                <w:lang w:val="es-GT" w:eastAsia="es-MX"/>
              </w:rPr>
              <w:t>gé</w:t>
            </w:r>
            <w:r w:rsidRPr="007311E3">
              <w:rPr>
                <w:rFonts w:ascii="Arial Narrow" w:hAnsi="Arial Narrow" w:cs="Arial Narrow"/>
                <w:color w:val="000000"/>
                <w:sz w:val="16"/>
                <w:szCs w:val="16"/>
                <w:u w:val="single"/>
                <w:lang w:val="es-GT" w:eastAsia="es-MX"/>
              </w:rPr>
              <w:t>nero,</w:t>
            </w:r>
            <w:r w:rsidRPr="007311E3">
              <w:rPr>
                <w:rFonts w:ascii="Arial Narrow" w:hAnsi="Arial Narrow" w:cs="Arial Narrow"/>
                <w:color w:val="000000"/>
                <w:sz w:val="16"/>
                <w:szCs w:val="16"/>
                <w:lang w:val="es-GT" w:eastAsia="es-MX"/>
              </w:rPr>
              <w:t xml:space="preserve"> capacitación, </w:t>
            </w:r>
            <w:r w:rsidRPr="007311E3">
              <w:rPr>
                <w:rFonts w:ascii="Arial Narrow" w:hAnsi="Arial Narrow" w:cs="Arial Narrow"/>
                <w:color w:val="000000"/>
                <w:sz w:val="16"/>
                <w:szCs w:val="16"/>
                <w:u w:val="single"/>
                <w:lang w:val="es-GT" w:eastAsia="es-MX"/>
              </w:rPr>
              <w:t>transferencia de tecnología</w:t>
            </w:r>
            <w:r w:rsidRPr="007311E3">
              <w:rPr>
                <w:rFonts w:ascii="Arial Narrow" w:hAnsi="Arial Narrow" w:cs="Arial Narrow"/>
                <w:color w:val="000000"/>
                <w:sz w:val="16"/>
                <w:szCs w:val="16"/>
                <w:lang w:val="es-GT" w:eastAsia="es-MX"/>
              </w:rPr>
              <w:t xml:space="preserve">, organización, infraestructura, salud reproductiva, suelo, agua, SAF´s, desarrollo rural y </w:t>
            </w:r>
            <w:r w:rsidRPr="007311E3">
              <w:rPr>
                <w:rFonts w:ascii="Arial Narrow" w:hAnsi="Arial Narrow" w:cs="Arial Narrow"/>
                <w:color w:val="000000"/>
                <w:sz w:val="16"/>
                <w:szCs w:val="16"/>
                <w:u w:val="single"/>
                <w:lang w:val="es-GT" w:eastAsia="es-MX"/>
              </w:rPr>
              <w:t>estabilidad institucional</w:t>
            </w:r>
            <w:r w:rsidR="005D1BB6">
              <w:rPr>
                <w:rFonts w:ascii="Arial Narrow" w:hAnsi="Arial Narrow" w:cs="Arial Narrow"/>
                <w:color w:val="000000"/>
                <w:sz w:val="16"/>
                <w:szCs w:val="16"/>
                <w:u w:val="single"/>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3</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FIDA Oriente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Víctor Cardona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Encargado departamental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0364C9" w:rsidP="003A2C0C">
            <w:pPr>
              <w:spacing w:before="40" w:after="40"/>
              <w:rPr>
                <w:rFonts w:ascii="Arial Narrow" w:hAnsi="Arial Narrow" w:cs="Arial Narrow"/>
                <w:color w:val="0000FF"/>
                <w:sz w:val="16"/>
                <w:szCs w:val="16"/>
                <w:u w:val="single"/>
                <w:lang w:eastAsia="es-MX"/>
              </w:rPr>
            </w:pPr>
            <w:hyperlink r:id="rId116" w:history="1">
              <w:r w:rsidR="007311E3" w:rsidRPr="00CE744B">
                <w:rPr>
                  <w:rFonts w:ascii="Arial Narrow" w:hAnsi="Arial Narrow" w:cs="Arial Narrow"/>
                  <w:color w:val="0000FF"/>
                  <w:sz w:val="16"/>
                  <w:szCs w:val="16"/>
                  <w:u w:val="single"/>
                  <w:lang w:eastAsia="es-MX"/>
                </w:rPr>
                <w:t>v.cardona.fida@gmail.com</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5D1BB6" w:rsidP="003A2C0C">
            <w:pPr>
              <w:spacing w:before="40" w:after="40"/>
              <w:rPr>
                <w:rFonts w:ascii="Arial Narrow" w:hAnsi="Arial Narrow" w:cs="Arial Narrow"/>
                <w:color w:val="000000"/>
                <w:sz w:val="16"/>
                <w:szCs w:val="16"/>
                <w:lang w:val="es-GT" w:eastAsia="es-MX"/>
              </w:rPr>
            </w:pPr>
            <w:r w:rsidRPr="005D1BB6">
              <w:rPr>
                <w:rFonts w:ascii="Arial Narrow" w:hAnsi="Arial Narrow" w:cs="Arial Narrow"/>
                <w:color w:val="000000"/>
                <w:sz w:val="16"/>
                <w:szCs w:val="16"/>
                <w:lang w:val="es-GT" w:eastAsia="es-MX"/>
              </w:rPr>
              <w:t>M</w:t>
            </w:r>
            <w:r w:rsidR="007311E3" w:rsidRPr="007311E3">
              <w:rPr>
                <w:rFonts w:ascii="Arial Narrow" w:hAnsi="Arial Narrow" w:cs="Arial Narrow"/>
                <w:color w:val="000000"/>
                <w:sz w:val="16"/>
                <w:szCs w:val="16"/>
                <w:lang w:val="es-GT" w:eastAsia="es-MX"/>
              </w:rPr>
              <w:t xml:space="preserve">onitoreo y seguimiento, </w:t>
            </w:r>
            <w:r>
              <w:rPr>
                <w:rFonts w:ascii="Arial Narrow" w:hAnsi="Arial Narrow" w:cs="Arial Narrow"/>
                <w:color w:val="000000"/>
                <w:sz w:val="16"/>
                <w:szCs w:val="16"/>
                <w:u w:val="single"/>
                <w:lang w:val="es-GT" w:eastAsia="es-MX"/>
              </w:rPr>
              <w:t>gé</w:t>
            </w:r>
            <w:r w:rsidR="007311E3" w:rsidRPr="007311E3">
              <w:rPr>
                <w:rFonts w:ascii="Arial Narrow" w:hAnsi="Arial Narrow" w:cs="Arial Narrow"/>
                <w:color w:val="000000"/>
                <w:sz w:val="16"/>
                <w:szCs w:val="16"/>
                <w:u w:val="single"/>
                <w:lang w:val="es-GT" w:eastAsia="es-MX"/>
              </w:rPr>
              <w:t>nero,</w:t>
            </w:r>
            <w:r w:rsidR="007311E3" w:rsidRPr="007311E3">
              <w:rPr>
                <w:rFonts w:ascii="Arial Narrow" w:hAnsi="Arial Narrow" w:cs="Arial Narrow"/>
                <w:color w:val="000000"/>
                <w:sz w:val="16"/>
                <w:szCs w:val="16"/>
                <w:lang w:val="es-GT" w:eastAsia="es-MX"/>
              </w:rPr>
              <w:t xml:space="preserve"> capacitación </w:t>
            </w:r>
            <w:r w:rsidR="007311E3" w:rsidRPr="007311E3">
              <w:rPr>
                <w:rFonts w:ascii="Arial Narrow" w:hAnsi="Arial Narrow" w:cs="Arial Narrow"/>
                <w:color w:val="000000"/>
                <w:sz w:val="16"/>
                <w:szCs w:val="16"/>
                <w:u w:val="single"/>
                <w:lang w:val="es-GT" w:eastAsia="es-MX"/>
              </w:rPr>
              <w:t>transferencia de tecnología</w:t>
            </w:r>
            <w:r w:rsidR="007311E3" w:rsidRPr="007311E3">
              <w:rPr>
                <w:rFonts w:ascii="Arial Narrow" w:hAnsi="Arial Narrow" w:cs="Arial Narrow"/>
                <w:color w:val="000000"/>
                <w:sz w:val="16"/>
                <w:szCs w:val="16"/>
                <w:lang w:val="es-GT" w:eastAsia="es-MX"/>
              </w:rPr>
              <w:t>, organización, infraestructura, salud reproductiva, suelo, ag</w:t>
            </w:r>
            <w:r>
              <w:rPr>
                <w:rFonts w:ascii="Arial Narrow" w:hAnsi="Arial Narrow" w:cs="Arial Narrow"/>
                <w:color w:val="000000"/>
                <w:sz w:val="16"/>
                <w:szCs w:val="16"/>
                <w:lang w:val="es-GT" w:eastAsia="es-MX"/>
              </w:rPr>
              <w:t>ua, SAF´s, ley desarrollo rural y</w:t>
            </w:r>
            <w:r w:rsidR="007311E3" w:rsidRPr="007311E3">
              <w:rPr>
                <w:rFonts w:ascii="Arial Narrow" w:hAnsi="Arial Narrow" w:cs="Arial Narrow"/>
                <w:color w:val="000000"/>
                <w:sz w:val="16"/>
                <w:szCs w:val="16"/>
                <w:lang w:val="es-GT" w:eastAsia="es-MX"/>
              </w:rPr>
              <w:t xml:space="preserve"> </w:t>
            </w:r>
            <w:r w:rsidR="007311E3" w:rsidRPr="007311E3">
              <w:rPr>
                <w:rFonts w:ascii="Arial Narrow" w:hAnsi="Arial Narrow" w:cs="Arial Narrow"/>
                <w:color w:val="000000"/>
                <w:sz w:val="16"/>
                <w:szCs w:val="16"/>
                <w:u w:val="single"/>
                <w:lang w:val="es-GT" w:eastAsia="es-MX"/>
              </w:rPr>
              <w:t>estabilidad institucional</w:t>
            </w:r>
            <w:r>
              <w:rPr>
                <w:rFonts w:ascii="Arial Narrow" w:hAnsi="Arial Narrow" w:cs="Arial Narrow"/>
                <w:color w:val="000000"/>
                <w:sz w:val="16"/>
                <w:szCs w:val="16"/>
                <w:u w:val="single"/>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4</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FIDA Occidente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Jorge Medina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Encargado departamental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0364C9" w:rsidP="003A2C0C">
            <w:pPr>
              <w:spacing w:before="40" w:after="40"/>
              <w:rPr>
                <w:rFonts w:ascii="Arial Narrow" w:hAnsi="Arial Narrow" w:cs="Arial Narrow"/>
                <w:color w:val="0000FF"/>
                <w:sz w:val="16"/>
                <w:szCs w:val="16"/>
                <w:u w:val="single"/>
                <w:lang w:eastAsia="es-MX"/>
              </w:rPr>
            </w:pPr>
            <w:hyperlink r:id="rId117" w:history="1">
              <w:r w:rsidR="007311E3" w:rsidRPr="00CE744B">
                <w:rPr>
                  <w:rFonts w:ascii="Arial Narrow" w:hAnsi="Arial Narrow" w:cs="Arial Narrow"/>
                  <w:color w:val="0000FF"/>
                  <w:sz w:val="16"/>
                  <w:szCs w:val="16"/>
                  <w:u w:val="single"/>
                  <w:lang w:eastAsia="es-MX"/>
                </w:rPr>
                <w:t>jorge.medina@fidaoccidente.org</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u w:val="single"/>
                <w:lang w:val="es-GT" w:eastAsia="es-MX"/>
              </w:rPr>
              <w:t>Financiamiento,</w:t>
            </w:r>
            <w:r w:rsidR="005D1BB6">
              <w:rPr>
                <w:rFonts w:ascii="Arial Narrow" w:hAnsi="Arial Narrow" w:cs="Arial Narrow"/>
                <w:color w:val="000000"/>
                <w:sz w:val="16"/>
                <w:szCs w:val="16"/>
                <w:lang w:val="es-GT" w:eastAsia="es-MX"/>
              </w:rPr>
              <w:t xml:space="preserve"> í</w:t>
            </w:r>
            <w:r w:rsidRPr="007311E3">
              <w:rPr>
                <w:rFonts w:ascii="Arial Narrow" w:hAnsi="Arial Narrow" w:cs="Arial Narrow"/>
                <w:color w:val="000000"/>
                <w:sz w:val="16"/>
                <w:szCs w:val="16"/>
                <w:lang w:val="es-GT" w:eastAsia="es-MX"/>
              </w:rPr>
              <w:t>ndices salud, educación, vivienda, productividad, contami</w:t>
            </w:r>
            <w:r w:rsidR="005D1BB6">
              <w:rPr>
                <w:rFonts w:ascii="Arial Narrow" w:hAnsi="Arial Narrow" w:cs="Arial Narrow"/>
                <w:color w:val="000000"/>
                <w:sz w:val="16"/>
                <w:szCs w:val="16"/>
                <w:lang w:val="es-GT" w:eastAsia="es-MX"/>
              </w:rPr>
              <w:t>nación, ley de desarrollo rural y</w:t>
            </w:r>
            <w:r w:rsidRPr="007311E3">
              <w:rPr>
                <w:rFonts w:ascii="Arial Narrow" w:hAnsi="Arial Narrow" w:cs="Arial Narrow"/>
                <w:color w:val="000000"/>
                <w:sz w:val="16"/>
                <w:szCs w:val="16"/>
                <w:lang w:val="es-GT" w:eastAsia="es-MX"/>
              </w:rPr>
              <w:t xml:space="preserve"> política pública.</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5</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FIDA Occidente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Rolando Quemé</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Coordinador</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0364C9" w:rsidP="003A2C0C">
            <w:pPr>
              <w:spacing w:before="40" w:after="40"/>
              <w:rPr>
                <w:rFonts w:ascii="Arial Narrow" w:hAnsi="Arial Narrow" w:cs="Arial Narrow"/>
                <w:color w:val="0000FF"/>
                <w:sz w:val="16"/>
                <w:szCs w:val="16"/>
                <w:u w:val="single"/>
                <w:lang w:eastAsia="es-MX"/>
              </w:rPr>
            </w:pPr>
            <w:hyperlink r:id="rId118" w:history="1">
              <w:r w:rsidR="007311E3" w:rsidRPr="00CE744B">
                <w:rPr>
                  <w:rFonts w:ascii="Arial Narrow" w:hAnsi="Arial Narrow" w:cs="Arial Narrow"/>
                  <w:color w:val="0000FF"/>
                  <w:sz w:val="16"/>
                  <w:szCs w:val="16"/>
                  <w:u w:val="single"/>
                  <w:lang w:eastAsia="es-MX"/>
                </w:rPr>
                <w:t>orlando.queme@fidaoccidente.org</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Delegó la participación en otros funcionarios de FIDA.</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6</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CATIE</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Julio López</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Coordinador OTN</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2366-2650</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0364C9" w:rsidP="003A2C0C">
            <w:pPr>
              <w:spacing w:before="40" w:after="40"/>
              <w:rPr>
                <w:rFonts w:ascii="Arial Narrow" w:hAnsi="Arial Narrow" w:cs="Arial Narrow"/>
                <w:color w:val="0000FF"/>
                <w:sz w:val="16"/>
                <w:szCs w:val="16"/>
                <w:u w:val="single"/>
                <w:lang w:eastAsia="es-MX"/>
              </w:rPr>
            </w:pPr>
            <w:hyperlink r:id="rId119" w:history="1">
              <w:r w:rsidR="007311E3" w:rsidRPr="00CE744B">
                <w:rPr>
                  <w:rFonts w:ascii="Arial Narrow" w:hAnsi="Arial Narrow" w:cs="Arial Narrow"/>
                  <w:color w:val="0000FF"/>
                  <w:sz w:val="16"/>
                  <w:szCs w:val="16"/>
                  <w:u w:val="single"/>
                  <w:lang w:eastAsia="es-MX"/>
                </w:rPr>
                <w:t>jlopez@catie.ac.cr</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Propuso aspectos estratégicos de desarrollo rural como: participación comunitaria, </w:t>
            </w:r>
            <w:r w:rsidRPr="007311E3">
              <w:rPr>
                <w:rFonts w:ascii="Arial Narrow" w:hAnsi="Arial Narrow" w:cs="Arial Narrow"/>
                <w:color w:val="000000"/>
                <w:sz w:val="16"/>
                <w:szCs w:val="16"/>
                <w:u w:val="single"/>
                <w:lang w:val="es-GT" w:eastAsia="es-MX"/>
              </w:rPr>
              <w:t>organización local</w:t>
            </w:r>
            <w:r w:rsidRPr="007311E3">
              <w:rPr>
                <w:rFonts w:ascii="Arial Narrow" w:hAnsi="Arial Narrow" w:cs="Arial Narrow"/>
                <w:color w:val="000000"/>
                <w:sz w:val="16"/>
                <w:szCs w:val="16"/>
                <w:lang w:val="es-GT" w:eastAsia="es-MX"/>
              </w:rPr>
              <w:t>, cadenas de valor, ext</w:t>
            </w:r>
            <w:r w:rsidR="005D1BB6">
              <w:rPr>
                <w:rFonts w:ascii="Arial Narrow" w:hAnsi="Arial Narrow" w:cs="Arial Narrow"/>
                <w:color w:val="000000"/>
                <w:sz w:val="16"/>
                <w:szCs w:val="16"/>
                <w:lang w:val="es-GT" w:eastAsia="es-MX"/>
              </w:rPr>
              <w:t>ensión rural, manejo de cuencas e</w:t>
            </w:r>
            <w:r w:rsidRPr="007311E3">
              <w:rPr>
                <w:rFonts w:ascii="Arial Narrow" w:hAnsi="Arial Narrow" w:cs="Arial Narrow"/>
                <w:color w:val="000000"/>
                <w:sz w:val="16"/>
                <w:szCs w:val="16"/>
                <w:lang w:val="es-GT" w:eastAsia="es-MX"/>
              </w:rPr>
              <w:t xml:space="preserve"> instituciones estables</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7</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ANACAFÉ-USAID</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Arnoldo Melgar</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Chief of party</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2243-8330</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0364C9" w:rsidP="003A2C0C">
            <w:pPr>
              <w:spacing w:before="40" w:after="40"/>
              <w:rPr>
                <w:rFonts w:ascii="Arial Narrow" w:hAnsi="Arial Narrow" w:cs="Arial Narrow"/>
                <w:color w:val="0000FF"/>
                <w:sz w:val="16"/>
                <w:szCs w:val="16"/>
                <w:u w:val="single"/>
                <w:lang w:eastAsia="es-MX"/>
              </w:rPr>
            </w:pPr>
            <w:hyperlink r:id="rId120" w:history="1">
              <w:r w:rsidR="007311E3" w:rsidRPr="00CE744B">
                <w:rPr>
                  <w:rFonts w:ascii="Arial Narrow" w:hAnsi="Arial Narrow" w:cs="Arial Narrow"/>
                  <w:color w:val="0000FF"/>
                  <w:sz w:val="16"/>
                  <w:szCs w:val="16"/>
                  <w:u w:val="single"/>
                  <w:lang w:eastAsia="es-MX"/>
                </w:rPr>
                <w:t>arnoldo.mc@anacafé.org</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u w:val="single"/>
                <w:lang w:val="es-GT" w:eastAsia="es-MX"/>
              </w:rPr>
              <w:t>Recursos financieros</w:t>
            </w:r>
            <w:r w:rsidRPr="007311E3">
              <w:rPr>
                <w:rFonts w:ascii="Arial Narrow" w:hAnsi="Arial Narrow" w:cs="Arial Narrow"/>
                <w:color w:val="000000"/>
                <w:sz w:val="16"/>
                <w:szCs w:val="16"/>
                <w:lang w:val="es-GT" w:eastAsia="es-MX"/>
              </w:rPr>
              <w:t xml:space="preserve">, educación, fuentes de trabajo, seguridad alimentaria, </w:t>
            </w:r>
            <w:r w:rsidRPr="007311E3">
              <w:rPr>
                <w:rFonts w:ascii="Arial Narrow" w:hAnsi="Arial Narrow" w:cs="Arial Narrow"/>
                <w:color w:val="000000"/>
                <w:sz w:val="16"/>
                <w:szCs w:val="16"/>
                <w:u w:val="single"/>
                <w:lang w:val="es-GT" w:eastAsia="es-MX"/>
              </w:rPr>
              <w:t>demografía controlada,</w:t>
            </w:r>
            <w:r w:rsidRPr="007311E3">
              <w:rPr>
                <w:rFonts w:ascii="Arial Narrow" w:hAnsi="Arial Narrow" w:cs="Arial Narrow"/>
                <w:color w:val="000000"/>
                <w:sz w:val="16"/>
                <w:szCs w:val="16"/>
                <w:lang w:val="es-GT" w:eastAsia="es-MX"/>
              </w:rPr>
              <w:t xml:space="preserve"> contaminación, agua, </w:t>
            </w:r>
            <w:r w:rsidRPr="007311E3">
              <w:rPr>
                <w:rFonts w:ascii="Arial Narrow" w:hAnsi="Arial Narrow" w:cs="Arial Narrow"/>
                <w:color w:val="000000"/>
                <w:sz w:val="16"/>
                <w:szCs w:val="16"/>
                <w:u w:val="single"/>
                <w:lang w:val="es-GT" w:eastAsia="es-MX"/>
              </w:rPr>
              <w:t>manejo de cuencas, ordenamiento territorial</w:t>
            </w:r>
            <w:r w:rsidR="005D1BB6">
              <w:rPr>
                <w:rFonts w:ascii="Arial Narrow" w:hAnsi="Arial Narrow" w:cs="Arial Narrow"/>
                <w:color w:val="000000"/>
                <w:sz w:val="16"/>
                <w:szCs w:val="16"/>
                <w:lang w:val="es-GT" w:eastAsia="es-MX"/>
              </w:rPr>
              <w:t>, PSA y</w:t>
            </w:r>
            <w:r w:rsidRPr="007311E3">
              <w:rPr>
                <w:rFonts w:ascii="Arial Narrow" w:hAnsi="Arial Narrow" w:cs="Arial Narrow"/>
                <w:color w:val="000000"/>
                <w:sz w:val="16"/>
                <w:szCs w:val="16"/>
                <w:lang w:val="es-GT" w:eastAsia="es-MX"/>
              </w:rPr>
              <w:t xml:space="preserve"> política desarrollo sostenible</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8</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FUNCAFÉ</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Mynor Maldonado</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Director Ejecutivo</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2243-8330</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0364C9" w:rsidP="003A2C0C">
            <w:pPr>
              <w:spacing w:before="40" w:after="40"/>
              <w:rPr>
                <w:rFonts w:ascii="Arial Narrow" w:hAnsi="Arial Narrow" w:cs="Arial Narrow"/>
                <w:color w:val="0000FF"/>
                <w:sz w:val="16"/>
                <w:szCs w:val="16"/>
                <w:u w:val="single"/>
                <w:lang w:eastAsia="es-MX"/>
              </w:rPr>
            </w:pPr>
            <w:hyperlink r:id="rId121" w:history="1">
              <w:r w:rsidR="007311E3" w:rsidRPr="00CE744B">
                <w:rPr>
                  <w:rFonts w:ascii="Arial Narrow" w:hAnsi="Arial Narrow" w:cs="Arial Narrow"/>
                  <w:color w:val="0000FF"/>
                  <w:sz w:val="16"/>
                  <w:szCs w:val="16"/>
                  <w:u w:val="single"/>
                  <w:lang w:eastAsia="es-MX"/>
                </w:rPr>
                <w:t>mynor.dmm@funcafe.org</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Identificó elementos críticos para el desarrollo rural como: carreteras, centros de acopio, empacadoras, </w:t>
            </w:r>
            <w:r w:rsidRPr="007311E3">
              <w:rPr>
                <w:rFonts w:ascii="Arial Narrow" w:hAnsi="Arial Narrow" w:cs="Arial Narrow"/>
                <w:color w:val="000000"/>
                <w:sz w:val="16"/>
                <w:szCs w:val="16"/>
                <w:u w:val="single"/>
                <w:lang w:val="es-GT" w:eastAsia="es-MX"/>
              </w:rPr>
              <w:t>tecnología, créditos</w:t>
            </w:r>
            <w:r w:rsidRPr="007311E3">
              <w:rPr>
                <w:rFonts w:ascii="Arial Narrow" w:hAnsi="Arial Narrow" w:cs="Arial Narrow"/>
                <w:color w:val="000000"/>
                <w:sz w:val="16"/>
                <w:szCs w:val="16"/>
                <w:lang w:val="es-GT" w:eastAsia="es-MX"/>
              </w:rPr>
              <w:t>, organización, servicios (salud, educación,</w:t>
            </w:r>
            <w:r w:rsidRPr="007311E3">
              <w:rPr>
                <w:rFonts w:ascii="Arial Narrow" w:hAnsi="Arial Narrow" w:cs="Arial Narrow"/>
                <w:color w:val="000000"/>
                <w:sz w:val="16"/>
                <w:szCs w:val="16"/>
                <w:u w:val="single"/>
                <w:lang w:val="es-GT" w:eastAsia="es-MX"/>
              </w:rPr>
              <w:t xml:space="preserve"> seguridad alimentaria, nutrición</w:t>
            </w:r>
            <w:r w:rsidR="005D1BB6">
              <w:rPr>
                <w:rFonts w:ascii="Arial Narrow" w:hAnsi="Arial Narrow" w:cs="Arial Narrow"/>
                <w:color w:val="000000"/>
                <w:sz w:val="16"/>
                <w:szCs w:val="16"/>
                <w:lang w:val="es-GT" w:eastAsia="es-MX"/>
              </w:rPr>
              <w:t>),</w:t>
            </w:r>
            <w:r w:rsidRPr="007311E3">
              <w:rPr>
                <w:rFonts w:ascii="Arial Narrow" w:hAnsi="Arial Narrow" w:cs="Arial Narrow"/>
                <w:color w:val="000000"/>
                <w:sz w:val="16"/>
                <w:szCs w:val="16"/>
                <w:lang w:val="es-GT" w:eastAsia="es-MX"/>
              </w:rPr>
              <w:t xml:space="preserve"> </w:t>
            </w:r>
            <w:r w:rsidRPr="007311E3">
              <w:rPr>
                <w:rFonts w:ascii="Arial Narrow" w:hAnsi="Arial Narrow" w:cs="Arial Narrow"/>
                <w:color w:val="000000"/>
                <w:sz w:val="16"/>
                <w:szCs w:val="16"/>
                <w:u w:val="single"/>
                <w:lang w:val="es-GT" w:eastAsia="es-MX"/>
              </w:rPr>
              <w:t>cuencas</w:t>
            </w:r>
            <w:r w:rsidR="005D1BB6">
              <w:rPr>
                <w:rFonts w:ascii="Arial Narrow" w:hAnsi="Arial Narrow" w:cs="Arial Narrow"/>
                <w:color w:val="000000"/>
                <w:sz w:val="16"/>
                <w:szCs w:val="16"/>
                <w:lang w:val="es-GT" w:eastAsia="es-MX"/>
              </w:rPr>
              <w:t>, desechos sólidos, agua,</w:t>
            </w:r>
            <w:r w:rsidRPr="007311E3">
              <w:rPr>
                <w:rFonts w:ascii="Arial Narrow" w:hAnsi="Arial Narrow" w:cs="Arial Narrow"/>
                <w:color w:val="000000"/>
                <w:sz w:val="16"/>
                <w:szCs w:val="16"/>
                <w:lang w:val="es-GT" w:eastAsia="es-MX"/>
              </w:rPr>
              <w:t xml:space="preserve"> </w:t>
            </w:r>
            <w:r w:rsidRPr="007311E3">
              <w:rPr>
                <w:rFonts w:ascii="Arial Narrow" w:hAnsi="Arial Narrow" w:cs="Arial Narrow"/>
                <w:color w:val="000000"/>
                <w:sz w:val="16"/>
                <w:szCs w:val="16"/>
                <w:u w:val="single"/>
                <w:lang w:val="es-GT" w:eastAsia="es-MX"/>
              </w:rPr>
              <w:t>transparencia, rendición de cuentas</w:t>
            </w:r>
            <w:r w:rsidRPr="007311E3">
              <w:rPr>
                <w:rFonts w:ascii="Arial Narrow" w:hAnsi="Arial Narrow" w:cs="Arial Narrow"/>
                <w:color w:val="000000"/>
                <w:sz w:val="16"/>
                <w:szCs w:val="16"/>
                <w:lang w:val="es-GT" w:eastAsia="es-MX"/>
              </w:rPr>
              <w:t>, responsabilidad institucional, ANAM</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lastRenderedPageBreak/>
              <w:t>9</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MAGA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Heber Arana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5D1BB6" w:rsidRDefault="005D1BB6" w:rsidP="003A2C0C">
            <w:pPr>
              <w:spacing w:before="40" w:after="40"/>
              <w:rPr>
                <w:rFonts w:ascii="Arial Narrow" w:hAnsi="Arial Narrow" w:cs="Arial Narrow"/>
                <w:color w:val="000000"/>
                <w:sz w:val="16"/>
                <w:szCs w:val="16"/>
                <w:lang w:val="es-GT" w:eastAsia="es-MX"/>
              </w:rPr>
            </w:pPr>
            <w:r w:rsidRPr="005D1BB6">
              <w:rPr>
                <w:rFonts w:ascii="Arial Narrow" w:hAnsi="Arial Narrow" w:cs="Arial Narrow"/>
                <w:color w:val="000000"/>
                <w:sz w:val="16"/>
                <w:szCs w:val="16"/>
                <w:lang w:val="es-GT" w:eastAsia="es-MX"/>
              </w:rPr>
              <w:t>Departamento de Alimentos por A</w:t>
            </w:r>
            <w:r w:rsidR="007311E3" w:rsidRPr="005D1BB6">
              <w:rPr>
                <w:rFonts w:ascii="Arial Narrow" w:hAnsi="Arial Narrow" w:cs="Arial Narrow"/>
                <w:color w:val="000000"/>
                <w:sz w:val="16"/>
                <w:szCs w:val="16"/>
                <w:lang w:val="es-GT" w:eastAsia="es-MX"/>
              </w:rPr>
              <w:t>cciones</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5731-5657</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0364C9" w:rsidP="003A2C0C">
            <w:pPr>
              <w:spacing w:before="40" w:after="40"/>
              <w:rPr>
                <w:rFonts w:ascii="Arial Narrow" w:hAnsi="Arial Narrow" w:cs="Arial Narrow"/>
                <w:color w:val="0000FF"/>
                <w:sz w:val="16"/>
                <w:szCs w:val="16"/>
                <w:u w:val="single"/>
                <w:lang w:eastAsia="es-MX"/>
              </w:rPr>
            </w:pPr>
            <w:hyperlink r:id="rId122" w:history="1">
              <w:r w:rsidR="007311E3" w:rsidRPr="00CE744B">
                <w:rPr>
                  <w:rFonts w:ascii="Arial Narrow" w:hAnsi="Arial Narrow" w:cs="Arial Narrow"/>
                  <w:color w:val="0000FF"/>
                  <w:sz w:val="16"/>
                  <w:szCs w:val="16"/>
                  <w:u w:val="single"/>
                  <w:lang w:eastAsia="es-MX"/>
                </w:rPr>
                <w:t>arana.heber@yahoo.com</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u w:val="single"/>
                <w:lang w:val="es-GT" w:eastAsia="es-MX"/>
              </w:rPr>
              <w:t>incentivos</w:t>
            </w:r>
            <w:r w:rsidRPr="007311E3">
              <w:rPr>
                <w:rFonts w:ascii="Arial Narrow" w:hAnsi="Arial Narrow" w:cs="Arial Narrow"/>
                <w:color w:val="000000"/>
                <w:sz w:val="16"/>
                <w:szCs w:val="16"/>
                <w:lang w:val="es-GT" w:eastAsia="es-MX"/>
              </w:rPr>
              <w:t xml:space="preserve">, organización, </w:t>
            </w:r>
            <w:r w:rsidRPr="007311E3">
              <w:rPr>
                <w:rFonts w:ascii="Arial Narrow" w:hAnsi="Arial Narrow" w:cs="Arial Narrow"/>
                <w:color w:val="000000"/>
                <w:sz w:val="16"/>
                <w:szCs w:val="16"/>
                <w:u w:val="single"/>
                <w:lang w:val="es-GT" w:eastAsia="es-MX"/>
              </w:rPr>
              <w:t>ingresos,</w:t>
            </w:r>
            <w:r w:rsidR="005D1BB6">
              <w:rPr>
                <w:rFonts w:ascii="Arial Narrow" w:hAnsi="Arial Narrow" w:cs="Arial Narrow"/>
                <w:color w:val="000000"/>
                <w:sz w:val="16"/>
                <w:szCs w:val="16"/>
                <w:lang w:val="es-GT" w:eastAsia="es-MX"/>
              </w:rPr>
              <w:t xml:space="preserve"> educación,</w:t>
            </w:r>
            <w:r w:rsidRPr="007311E3">
              <w:rPr>
                <w:rFonts w:ascii="Arial Narrow" w:hAnsi="Arial Narrow" w:cs="Arial Narrow"/>
                <w:color w:val="000000"/>
                <w:sz w:val="16"/>
                <w:szCs w:val="16"/>
                <w:lang w:val="es-GT" w:eastAsia="es-MX"/>
              </w:rPr>
              <w:t xml:space="preserve"> agua, higiene del h</w:t>
            </w:r>
            <w:r w:rsidR="005D1BB6">
              <w:rPr>
                <w:rFonts w:ascii="Arial Narrow" w:hAnsi="Arial Narrow" w:cs="Arial Narrow"/>
                <w:color w:val="000000"/>
                <w:sz w:val="16"/>
                <w:szCs w:val="16"/>
                <w:lang w:val="es-GT" w:eastAsia="es-MX"/>
              </w:rPr>
              <w:t>ogar, estabilidad institucional y</w:t>
            </w:r>
            <w:r w:rsidRPr="007311E3">
              <w:rPr>
                <w:rFonts w:ascii="Arial Narrow" w:hAnsi="Arial Narrow" w:cs="Arial Narrow"/>
                <w:color w:val="000000"/>
                <w:sz w:val="16"/>
                <w:szCs w:val="16"/>
                <w:lang w:val="es-GT" w:eastAsia="es-MX"/>
              </w:rPr>
              <w:t xml:space="preserve"> coordinación local</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10</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SESAN</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 xml:space="preserve">Dr. </w:t>
            </w:r>
            <w:r w:rsidRPr="00CE744B">
              <w:rPr>
                <w:rFonts w:ascii="Arial Narrow" w:hAnsi="Arial Narrow" w:cs="Arial Narrow"/>
                <w:color w:val="000000"/>
                <w:sz w:val="16"/>
                <w:szCs w:val="16"/>
                <w:lang w:eastAsia="es-MX"/>
              </w:rPr>
              <w:t>Danilo Cardona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 </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5813-4131</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0364C9" w:rsidP="003A2C0C">
            <w:pPr>
              <w:spacing w:before="40" w:after="40"/>
              <w:rPr>
                <w:rFonts w:ascii="Arial Narrow" w:hAnsi="Arial Narrow" w:cs="Arial Narrow"/>
                <w:color w:val="0000FF"/>
                <w:sz w:val="16"/>
                <w:szCs w:val="16"/>
                <w:u w:val="single"/>
                <w:lang w:eastAsia="es-MX"/>
              </w:rPr>
            </w:pPr>
            <w:hyperlink r:id="rId123" w:history="1">
              <w:r w:rsidR="007311E3" w:rsidRPr="00CE744B">
                <w:rPr>
                  <w:rFonts w:ascii="Arial Narrow" w:hAnsi="Arial Narrow" w:cs="Arial Narrow"/>
                  <w:color w:val="0000FF"/>
                  <w:sz w:val="16"/>
                  <w:szCs w:val="16"/>
                  <w:u w:val="single"/>
                  <w:lang w:eastAsia="es-MX"/>
                </w:rPr>
                <w:t>danilocarba@gmail.com</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Remarca la importancia de la organización, aumentar el ingreso rural,</w:t>
            </w:r>
            <w:r w:rsidR="00141A70">
              <w:rPr>
                <w:rFonts w:ascii="Arial Narrow" w:hAnsi="Arial Narrow" w:cs="Arial Narrow"/>
                <w:color w:val="000000"/>
                <w:sz w:val="16"/>
                <w:szCs w:val="16"/>
                <w:lang w:val="es-GT" w:eastAsia="es-MX"/>
              </w:rPr>
              <w:t xml:space="preserve"> </w:t>
            </w:r>
            <w:r w:rsidRPr="007311E3">
              <w:rPr>
                <w:rFonts w:ascii="Arial Narrow" w:hAnsi="Arial Narrow" w:cs="Arial Narrow"/>
                <w:color w:val="000000"/>
                <w:sz w:val="16"/>
                <w:szCs w:val="16"/>
                <w:u w:val="single"/>
                <w:lang w:val="es-GT" w:eastAsia="es-MX"/>
              </w:rPr>
              <w:t>protección de</w:t>
            </w:r>
            <w:r w:rsidRPr="007311E3">
              <w:rPr>
                <w:rFonts w:ascii="Arial Narrow" w:hAnsi="Arial Narrow" w:cs="Arial Narrow"/>
                <w:color w:val="000000"/>
                <w:sz w:val="16"/>
                <w:szCs w:val="16"/>
                <w:lang w:val="es-GT" w:eastAsia="es-MX"/>
              </w:rPr>
              <w:t xml:space="preserve"> bosq</w:t>
            </w:r>
            <w:r w:rsidR="005D1BB6">
              <w:rPr>
                <w:rFonts w:ascii="Arial Narrow" w:hAnsi="Arial Narrow" w:cs="Arial Narrow"/>
                <w:color w:val="000000"/>
                <w:sz w:val="16"/>
                <w:szCs w:val="16"/>
                <w:lang w:val="es-GT" w:eastAsia="es-MX"/>
              </w:rPr>
              <w:t>ue, suelo, agua y biodiversidad.</w:t>
            </w:r>
            <w:r w:rsidRPr="007311E3">
              <w:rPr>
                <w:rFonts w:ascii="Arial Narrow" w:hAnsi="Arial Narrow" w:cs="Arial Narrow"/>
                <w:color w:val="000000"/>
                <w:sz w:val="16"/>
                <w:szCs w:val="16"/>
                <w:lang w:val="es-GT" w:eastAsia="es-MX"/>
              </w:rPr>
              <w:t xml:space="preserve"> </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color w:val="000000"/>
                <w:sz w:val="16"/>
                <w:szCs w:val="16"/>
                <w:lang w:val="es-GT" w:eastAsia="es-MX"/>
              </w:rPr>
            </w:pPr>
            <w:r w:rsidRPr="005D1BB6">
              <w:rPr>
                <w:rFonts w:ascii="Arial Narrow" w:hAnsi="Arial Narrow" w:cs="Arial Narrow"/>
                <w:color w:val="000000"/>
                <w:sz w:val="16"/>
                <w:szCs w:val="16"/>
                <w:lang w:val="es-GT" w:eastAsia="es-MX"/>
              </w:rPr>
              <w:t>11</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5D1BB6" w:rsidRDefault="007311E3" w:rsidP="003A2C0C">
            <w:pPr>
              <w:spacing w:before="40" w:after="40"/>
              <w:rPr>
                <w:rFonts w:ascii="Arial Narrow" w:hAnsi="Arial Narrow" w:cs="Arial Narrow"/>
                <w:color w:val="000000"/>
                <w:sz w:val="16"/>
                <w:szCs w:val="16"/>
                <w:lang w:val="es-GT" w:eastAsia="es-MX"/>
              </w:rPr>
            </w:pPr>
            <w:r w:rsidRPr="005D1BB6">
              <w:rPr>
                <w:rFonts w:ascii="Arial Narrow" w:hAnsi="Arial Narrow" w:cs="Arial Narrow"/>
                <w:color w:val="000000"/>
                <w:sz w:val="16"/>
                <w:szCs w:val="16"/>
                <w:lang w:val="es-GT" w:eastAsia="es-MX"/>
              </w:rPr>
              <w:t>SESAN</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5D1BB6" w:rsidRDefault="007311E3" w:rsidP="003A2C0C">
            <w:pPr>
              <w:spacing w:before="40" w:after="40"/>
              <w:rPr>
                <w:rFonts w:ascii="Arial Narrow" w:hAnsi="Arial Narrow" w:cs="Arial Narrow"/>
                <w:color w:val="000000"/>
                <w:sz w:val="16"/>
                <w:szCs w:val="16"/>
                <w:lang w:val="es-GT" w:eastAsia="es-MX"/>
              </w:rPr>
            </w:pPr>
            <w:r w:rsidRPr="005D1BB6">
              <w:rPr>
                <w:rFonts w:ascii="Arial Narrow" w:hAnsi="Arial Narrow" w:cs="Arial Narrow"/>
                <w:color w:val="000000"/>
                <w:sz w:val="16"/>
                <w:szCs w:val="16"/>
                <w:lang w:val="es-GT" w:eastAsia="es-MX"/>
              </w:rPr>
              <w:t>Ing. Agr. Carlos Her</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5D1BB6" w:rsidRDefault="007311E3" w:rsidP="003A2C0C">
            <w:pPr>
              <w:spacing w:before="40" w:after="40"/>
              <w:rPr>
                <w:rFonts w:ascii="Arial Narrow" w:hAnsi="Arial Narrow" w:cs="Arial Narrow"/>
                <w:color w:val="000000"/>
                <w:sz w:val="16"/>
                <w:szCs w:val="16"/>
                <w:lang w:val="es-GT" w:eastAsia="es-MX"/>
              </w:rPr>
            </w:pPr>
            <w:r w:rsidRPr="005D1BB6">
              <w:rPr>
                <w:rFonts w:ascii="Arial Narrow" w:hAnsi="Arial Narrow" w:cs="Arial Narrow"/>
                <w:color w:val="000000"/>
                <w:sz w:val="16"/>
                <w:szCs w:val="16"/>
                <w:lang w:val="es-GT" w:eastAsia="es-MX"/>
              </w:rPr>
              <w:t>Coordinador Cooperación</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color w:val="000000"/>
                <w:sz w:val="20"/>
                <w:szCs w:val="20"/>
                <w:lang w:val="es-GT" w:eastAsia="es-MX"/>
              </w:rPr>
            </w:pPr>
            <w:r w:rsidRPr="005D1BB6">
              <w:rPr>
                <w:rFonts w:ascii="Arial Narrow" w:hAnsi="Arial Narrow" w:cs="Arial Narrow"/>
                <w:b/>
                <w:bCs/>
                <w:color w:val="000000"/>
                <w:sz w:val="20"/>
                <w:szCs w:val="20"/>
                <w:lang w:val="es-GT"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color w:val="000000"/>
                <w:sz w:val="20"/>
                <w:szCs w:val="20"/>
                <w:lang w:val="es-GT"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color w:val="000000"/>
                <w:sz w:val="20"/>
                <w:szCs w:val="20"/>
                <w:lang w:val="es-GT" w:eastAsia="es-MX"/>
              </w:rPr>
            </w:pPr>
            <w:r w:rsidRPr="005D1BB6">
              <w:rPr>
                <w:rFonts w:ascii="Arial Narrow" w:hAnsi="Arial Narrow" w:cs="Arial Narrow"/>
                <w:b/>
                <w:bCs/>
                <w:color w:val="000000"/>
                <w:sz w:val="20"/>
                <w:szCs w:val="20"/>
                <w:lang w:val="es-GT"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sz w:val="20"/>
                <w:szCs w:val="20"/>
                <w:lang w:val="es-GT"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sz w:val="20"/>
                <w:szCs w:val="20"/>
                <w:lang w:val="es-GT"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color w:val="000000"/>
                <w:sz w:val="20"/>
                <w:szCs w:val="20"/>
                <w:lang w:val="es-GT"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5D1BB6" w:rsidRDefault="007311E3" w:rsidP="003A2C0C">
            <w:pPr>
              <w:spacing w:before="40" w:after="40"/>
              <w:jc w:val="center"/>
              <w:rPr>
                <w:rFonts w:ascii="Arial Narrow" w:hAnsi="Arial Narrow" w:cs="Arial Narrow"/>
                <w:color w:val="000000"/>
                <w:sz w:val="16"/>
                <w:szCs w:val="16"/>
                <w:lang w:val="es-GT"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5D1BB6" w:rsidRDefault="007311E3" w:rsidP="003A2C0C">
            <w:pPr>
              <w:spacing w:before="40" w:after="40"/>
              <w:rPr>
                <w:rFonts w:ascii="Arial Narrow" w:hAnsi="Arial Narrow" w:cs="Arial Narrow"/>
                <w:color w:val="000000"/>
                <w:sz w:val="16"/>
                <w:szCs w:val="16"/>
                <w:lang w:val="es-GT" w:eastAsia="es-MX"/>
              </w:rPr>
            </w:pPr>
            <w:r w:rsidRPr="005D1BB6">
              <w:rPr>
                <w:rFonts w:ascii="Arial Narrow" w:hAnsi="Arial Narrow" w:cs="Arial Narrow"/>
                <w:color w:val="000000"/>
                <w:sz w:val="16"/>
                <w:szCs w:val="16"/>
                <w:lang w:val="es-GT" w:eastAsia="es-MX"/>
              </w:rPr>
              <w:t> </w:t>
            </w: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5D1BB6">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Propone temas críticos para el desarrollo rural como: organización local, incremento del ingreso rural, </w:t>
            </w:r>
            <w:r w:rsidR="005D1BB6" w:rsidRPr="007311E3">
              <w:rPr>
                <w:rFonts w:ascii="Arial Narrow" w:hAnsi="Arial Narrow" w:cs="Arial Narrow"/>
                <w:color w:val="000000"/>
                <w:sz w:val="16"/>
                <w:szCs w:val="16"/>
                <w:u w:val="single"/>
                <w:lang w:val="es-GT" w:eastAsia="es-MX"/>
              </w:rPr>
              <w:t>actitud</w:t>
            </w:r>
            <w:r w:rsidRPr="007311E3">
              <w:rPr>
                <w:rFonts w:ascii="Arial Narrow" w:hAnsi="Arial Narrow" w:cs="Arial Narrow"/>
                <w:color w:val="000000"/>
                <w:sz w:val="16"/>
                <w:szCs w:val="16"/>
                <w:u w:val="single"/>
                <w:lang w:val="es-GT" w:eastAsia="es-MX"/>
              </w:rPr>
              <w:t>, educación, creación de riqueza</w:t>
            </w:r>
            <w:r w:rsidR="005D1BB6">
              <w:rPr>
                <w:rFonts w:ascii="Arial Narrow" w:hAnsi="Arial Narrow" w:cs="Arial Narrow"/>
                <w:color w:val="000000"/>
                <w:sz w:val="16"/>
                <w:szCs w:val="16"/>
                <w:u w:val="single"/>
                <w:lang w:val="es-GT" w:eastAsia="es-MX"/>
              </w:rPr>
              <w:t xml:space="preserve">, </w:t>
            </w:r>
            <w:r w:rsidRPr="007311E3">
              <w:rPr>
                <w:rFonts w:ascii="Arial Narrow" w:hAnsi="Arial Narrow" w:cs="Arial Narrow"/>
                <w:color w:val="000000"/>
                <w:sz w:val="16"/>
                <w:szCs w:val="16"/>
                <w:lang w:val="es-GT" w:eastAsia="es-MX"/>
              </w:rPr>
              <w:t>garantizar recursos estratégicos para el desarrollo como bosque, suel</w:t>
            </w:r>
            <w:r w:rsidR="005D1BB6">
              <w:rPr>
                <w:rFonts w:ascii="Arial Narrow" w:hAnsi="Arial Narrow" w:cs="Arial Narrow"/>
                <w:color w:val="000000"/>
                <w:sz w:val="16"/>
                <w:szCs w:val="16"/>
                <w:lang w:val="es-GT" w:eastAsia="es-MX"/>
              </w:rPr>
              <w:t>o, agua, cuencas, biodiversidad.</w:t>
            </w:r>
            <w:r w:rsidRPr="007311E3">
              <w:rPr>
                <w:rFonts w:ascii="Arial Narrow" w:hAnsi="Arial Narrow" w:cs="Arial Narrow"/>
                <w:color w:val="000000"/>
                <w:sz w:val="16"/>
                <w:szCs w:val="16"/>
                <w:lang w:val="es-GT" w:eastAsia="es-MX"/>
              </w:rPr>
              <w:t xml:space="preserve"> </w:t>
            </w:r>
            <w:r w:rsidR="005D1BB6">
              <w:rPr>
                <w:rFonts w:ascii="Arial Narrow" w:hAnsi="Arial Narrow" w:cs="Arial Narrow"/>
                <w:color w:val="000000"/>
                <w:sz w:val="16"/>
                <w:szCs w:val="16"/>
                <w:lang w:val="es-GT" w:eastAsia="es-MX"/>
              </w:rPr>
              <w:t>P</w:t>
            </w:r>
            <w:r w:rsidRPr="007311E3">
              <w:rPr>
                <w:rFonts w:ascii="Arial Narrow" w:hAnsi="Arial Narrow" w:cs="Arial Narrow"/>
                <w:color w:val="000000"/>
                <w:sz w:val="16"/>
                <w:szCs w:val="16"/>
                <w:lang w:val="es-GT" w:eastAsia="es-MX"/>
              </w:rPr>
              <w:t xml:space="preserve">ropone ordenamiento territorial, monitoreo y evaluación de impactos ambientales, </w:t>
            </w:r>
            <w:r w:rsidR="005D1BB6">
              <w:rPr>
                <w:rFonts w:ascii="Arial Narrow" w:hAnsi="Arial Narrow" w:cs="Arial Narrow"/>
                <w:color w:val="000000"/>
                <w:sz w:val="16"/>
                <w:szCs w:val="16"/>
                <w:lang w:val="es-GT" w:eastAsia="es-MX"/>
              </w:rPr>
              <w:t xml:space="preserve">así como </w:t>
            </w:r>
            <w:r w:rsidRPr="007311E3">
              <w:rPr>
                <w:rFonts w:ascii="Arial Narrow" w:hAnsi="Arial Narrow" w:cs="Arial Narrow"/>
                <w:color w:val="000000"/>
                <w:sz w:val="16"/>
                <w:szCs w:val="16"/>
                <w:lang w:val="es-GT" w:eastAsia="es-MX"/>
              </w:rPr>
              <w:t>procesos a largo plazo</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12</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SESAN</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Germán González</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5D1BB6">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Sistema de Información </w:t>
            </w:r>
            <w:r w:rsidR="005D1BB6">
              <w:rPr>
                <w:rFonts w:ascii="Arial Narrow" w:hAnsi="Arial Narrow" w:cs="Arial Narrow"/>
                <w:color w:val="000000"/>
                <w:sz w:val="16"/>
                <w:szCs w:val="16"/>
                <w:lang w:val="es-GT" w:eastAsia="es-MX"/>
              </w:rPr>
              <w:t xml:space="preserve">de </w:t>
            </w:r>
            <w:r w:rsidRPr="007311E3">
              <w:rPr>
                <w:rFonts w:ascii="Arial Narrow" w:hAnsi="Arial Narrow" w:cs="Arial Narrow"/>
                <w:color w:val="000000"/>
                <w:sz w:val="16"/>
                <w:szCs w:val="16"/>
                <w:lang w:val="es-GT" w:eastAsia="es-MX"/>
              </w:rPr>
              <w:t>Seg</w:t>
            </w:r>
            <w:r w:rsidR="005D1BB6">
              <w:rPr>
                <w:rFonts w:ascii="Arial Narrow" w:hAnsi="Arial Narrow" w:cs="Arial Narrow"/>
                <w:color w:val="000000"/>
                <w:sz w:val="16"/>
                <w:szCs w:val="16"/>
                <w:lang w:val="es-GT" w:eastAsia="es-MX"/>
              </w:rPr>
              <w:t>uridad</w:t>
            </w:r>
            <w:r w:rsidRPr="007311E3">
              <w:rPr>
                <w:rFonts w:ascii="Arial Narrow" w:hAnsi="Arial Narrow" w:cs="Arial Narrow"/>
                <w:color w:val="000000"/>
                <w:sz w:val="16"/>
                <w:szCs w:val="16"/>
                <w:lang w:val="es-GT" w:eastAsia="es-MX"/>
              </w:rPr>
              <w:t xml:space="preserve"> Alimentaria y Nutrición</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color w:val="000000"/>
                <w:sz w:val="20"/>
                <w:szCs w:val="20"/>
                <w:lang w:val="es-GT" w:eastAsia="es-MX"/>
              </w:rPr>
            </w:pPr>
            <w:r w:rsidRPr="005D1BB6">
              <w:rPr>
                <w:rFonts w:ascii="Arial Narrow" w:hAnsi="Arial Narrow" w:cs="Arial Narrow"/>
                <w:b/>
                <w:bCs/>
                <w:color w:val="000000"/>
                <w:sz w:val="20"/>
                <w:szCs w:val="20"/>
                <w:lang w:val="es-GT"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color w:val="000000"/>
                <w:sz w:val="20"/>
                <w:szCs w:val="20"/>
                <w:lang w:val="es-GT"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color w:val="000000"/>
                <w:sz w:val="20"/>
                <w:szCs w:val="20"/>
                <w:lang w:val="es-GT" w:eastAsia="es-MX"/>
              </w:rPr>
            </w:pPr>
            <w:r w:rsidRPr="005D1BB6">
              <w:rPr>
                <w:rFonts w:ascii="Arial Narrow" w:hAnsi="Arial Narrow" w:cs="Arial Narrow"/>
                <w:b/>
                <w:bCs/>
                <w:color w:val="000000"/>
                <w:sz w:val="20"/>
                <w:szCs w:val="20"/>
                <w:lang w:val="es-GT"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sz w:val="20"/>
                <w:szCs w:val="20"/>
                <w:lang w:val="es-GT"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sz w:val="20"/>
                <w:szCs w:val="20"/>
                <w:lang w:val="es-GT"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5D1BB6" w:rsidRDefault="007311E3" w:rsidP="003A2C0C">
            <w:pPr>
              <w:spacing w:before="40" w:after="40"/>
              <w:jc w:val="center"/>
              <w:rPr>
                <w:rFonts w:ascii="Arial Narrow" w:hAnsi="Arial Narrow" w:cs="Arial Narrow"/>
                <w:b/>
                <w:bCs/>
                <w:color w:val="000000"/>
                <w:sz w:val="20"/>
                <w:szCs w:val="20"/>
                <w:lang w:val="es-GT"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5D1BB6" w:rsidRDefault="007311E3" w:rsidP="003A2C0C">
            <w:pPr>
              <w:spacing w:before="40" w:after="40"/>
              <w:jc w:val="center"/>
              <w:rPr>
                <w:rFonts w:ascii="Arial Narrow" w:hAnsi="Arial Narrow" w:cs="Arial Narrow"/>
                <w:color w:val="000000"/>
                <w:sz w:val="16"/>
                <w:szCs w:val="16"/>
                <w:lang w:val="es-GT" w:eastAsia="es-MX"/>
              </w:rPr>
            </w:pPr>
            <w:r w:rsidRPr="005D1BB6">
              <w:rPr>
                <w:rFonts w:ascii="Arial Narrow" w:hAnsi="Arial Narrow" w:cs="Arial Narrow"/>
                <w:color w:val="000000"/>
                <w:sz w:val="16"/>
                <w:szCs w:val="16"/>
                <w:lang w:val="es-GT" w:eastAsia="es-MX"/>
              </w:rPr>
              <w:t>4740-7973</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5D1BB6" w:rsidRDefault="000364C9" w:rsidP="003A2C0C">
            <w:pPr>
              <w:spacing w:before="40" w:after="40"/>
              <w:rPr>
                <w:rFonts w:ascii="Arial Narrow" w:hAnsi="Arial Narrow" w:cs="Arial Narrow"/>
                <w:color w:val="0000FF"/>
                <w:sz w:val="16"/>
                <w:szCs w:val="16"/>
                <w:u w:val="single"/>
                <w:lang w:val="es-GT" w:eastAsia="es-MX"/>
              </w:rPr>
            </w:pPr>
            <w:hyperlink r:id="rId124" w:history="1">
              <w:r w:rsidR="007311E3" w:rsidRPr="005D1BB6">
                <w:rPr>
                  <w:rFonts w:ascii="Arial Narrow" w:hAnsi="Arial Narrow" w:cs="Arial Narrow"/>
                  <w:color w:val="0000FF"/>
                  <w:sz w:val="16"/>
                  <w:szCs w:val="16"/>
                  <w:u w:val="single"/>
                  <w:lang w:val="es-GT" w:eastAsia="es-MX"/>
                </w:rPr>
                <w:t>german.gonzalez@sesan.gob.gt</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Sugiere focalizar inversiones en infraestructura, educación</w:t>
            </w:r>
            <w:r w:rsidR="005D1BB6">
              <w:rPr>
                <w:rFonts w:ascii="Arial Narrow" w:hAnsi="Arial Narrow" w:cs="Arial Narrow"/>
                <w:color w:val="000000"/>
                <w:sz w:val="16"/>
                <w:szCs w:val="16"/>
                <w:lang w:val="es-GT" w:eastAsia="es-MX"/>
              </w:rPr>
              <w:t>,</w:t>
            </w:r>
            <w:r w:rsidRPr="007311E3">
              <w:rPr>
                <w:rFonts w:ascii="Arial Narrow" w:hAnsi="Arial Narrow" w:cs="Arial Narrow"/>
                <w:color w:val="000000"/>
                <w:sz w:val="16"/>
                <w:szCs w:val="16"/>
                <w:lang w:val="es-GT" w:eastAsia="es-MX"/>
              </w:rPr>
              <w:t xml:space="preserve"> sa</w:t>
            </w:r>
            <w:r w:rsidR="005D1BB6">
              <w:rPr>
                <w:rFonts w:ascii="Arial Narrow" w:hAnsi="Arial Narrow" w:cs="Arial Narrow"/>
                <w:color w:val="000000"/>
                <w:sz w:val="16"/>
                <w:szCs w:val="16"/>
                <w:lang w:val="es-GT" w:eastAsia="es-MX"/>
              </w:rPr>
              <w:t xml:space="preserve">lud, bosques, suelos, agua y </w:t>
            </w:r>
            <w:r w:rsidRPr="007311E3">
              <w:rPr>
                <w:rFonts w:ascii="Arial Narrow" w:hAnsi="Arial Narrow" w:cs="Arial Narrow"/>
                <w:color w:val="000000"/>
                <w:sz w:val="16"/>
                <w:szCs w:val="16"/>
                <w:lang w:val="es-GT" w:eastAsia="es-MX"/>
              </w:rPr>
              <w:t>política pública de desarrollo</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13</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INAB</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Adelso Revolorio</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 xml:space="preserve">Coordinador </w:t>
            </w:r>
            <w:r w:rsidR="005D1BB6">
              <w:rPr>
                <w:rFonts w:ascii="Arial Narrow" w:hAnsi="Arial Narrow" w:cs="Arial Narrow"/>
                <w:color w:val="000000"/>
                <w:sz w:val="16"/>
                <w:szCs w:val="16"/>
                <w:lang w:eastAsia="es-MX"/>
              </w:rPr>
              <w:t xml:space="preserve">de </w:t>
            </w:r>
            <w:r w:rsidRPr="00CE744B">
              <w:rPr>
                <w:rFonts w:ascii="Arial Narrow" w:hAnsi="Arial Narrow" w:cs="Arial Narrow"/>
                <w:color w:val="000000"/>
                <w:sz w:val="16"/>
                <w:szCs w:val="16"/>
                <w:lang w:eastAsia="es-MX"/>
              </w:rPr>
              <w:t>Planificación</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CE744B" w:rsidRDefault="000364C9" w:rsidP="003A2C0C">
            <w:pPr>
              <w:spacing w:before="40" w:after="40"/>
              <w:rPr>
                <w:rFonts w:ascii="Arial Narrow" w:hAnsi="Arial Narrow" w:cs="Arial Narrow"/>
                <w:color w:val="0000FF"/>
                <w:sz w:val="16"/>
                <w:szCs w:val="16"/>
                <w:u w:val="single"/>
                <w:lang w:eastAsia="es-MX"/>
              </w:rPr>
            </w:pPr>
            <w:hyperlink r:id="rId125" w:history="1">
              <w:r w:rsidR="007311E3" w:rsidRPr="00CE744B">
                <w:rPr>
                  <w:rFonts w:ascii="Arial Narrow" w:hAnsi="Arial Narrow" w:cs="Arial Narrow"/>
                  <w:color w:val="0000FF"/>
                  <w:sz w:val="16"/>
                  <w:szCs w:val="16"/>
                  <w:u w:val="single"/>
                  <w:lang w:eastAsia="es-MX"/>
                </w:rPr>
                <w:t>arevolorio@inab.gob.gt</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Contribuyó a identificar temas clave de desarrollo rural</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14</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PFN</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Ogden Rodas</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Coordinador PFN</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r w:rsidRPr="00CE744B">
              <w:rPr>
                <w:rFonts w:ascii="Arial Narrow" w:hAnsi="Arial Narrow" w:cs="Arial Narrow"/>
                <w:b/>
                <w:bCs/>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8D0998" w:rsidRDefault="000364C9" w:rsidP="003A2C0C">
            <w:pPr>
              <w:spacing w:before="40" w:after="40"/>
              <w:rPr>
                <w:rFonts w:ascii="Arial Narrow" w:hAnsi="Arial Narrow" w:cs="Arial Narrow"/>
                <w:color w:val="0000FF"/>
                <w:sz w:val="16"/>
                <w:szCs w:val="16"/>
                <w:u w:val="single"/>
                <w:lang w:eastAsia="es-MX"/>
              </w:rPr>
            </w:pPr>
            <w:hyperlink r:id="rId126" w:history="1">
              <w:r w:rsidR="007311E3" w:rsidRPr="008D0998">
                <w:rPr>
                  <w:rFonts w:ascii="Arial Narrow" w:hAnsi="Arial Narrow" w:cs="Arial Narrow"/>
                  <w:color w:val="0000FF"/>
                  <w:sz w:val="16"/>
                  <w:szCs w:val="16"/>
                  <w:u w:val="single"/>
                  <w:lang w:eastAsia="es-MX"/>
                </w:rPr>
                <w:t>orgden.rodas@pfnguate.org</w:t>
              </w:r>
            </w:hyperlink>
          </w:p>
        </w:tc>
        <w:tc>
          <w:tcPr>
            <w:tcW w:w="1143" w:type="pct"/>
            <w:tcBorders>
              <w:top w:val="single" w:sz="4" w:space="0" w:color="auto"/>
              <w:left w:val="single" w:sz="4" w:space="0" w:color="auto"/>
              <w:bottom w:val="single" w:sz="4" w:space="0" w:color="auto"/>
              <w:right w:val="single" w:sz="4" w:space="0" w:color="auto"/>
            </w:tcBorders>
          </w:tcPr>
          <w:p w:rsidR="007311E3" w:rsidRPr="007311E3" w:rsidRDefault="007311E3" w:rsidP="003A2C0C">
            <w:pPr>
              <w:rPr>
                <w:lang w:val="es-GT"/>
              </w:rPr>
            </w:pPr>
            <w:r w:rsidRPr="007311E3">
              <w:rPr>
                <w:rFonts w:ascii="Arial Narrow" w:hAnsi="Arial Narrow" w:cs="Arial Narrow"/>
                <w:color w:val="000000"/>
                <w:sz w:val="16"/>
                <w:szCs w:val="16"/>
                <w:lang w:val="es-GT" w:eastAsia="es-MX"/>
              </w:rPr>
              <w:t>Contribuyó a identificar temas clave de desarrollo rural</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15</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MAGA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Ing. Agr. Wosbely Méndez</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 xml:space="preserve">Subdirección Extensión </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5460-1777</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8D0998" w:rsidRDefault="000364C9" w:rsidP="003A2C0C">
            <w:pPr>
              <w:spacing w:before="40" w:after="40"/>
              <w:rPr>
                <w:rFonts w:ascii="Arial Narrow" w:hAnsi="Arial Narrow" w:cs="Arial Narrow"/>
                <w:color w:val="0000FF"/>
                <w:sz w:val="16"/>
                <w:szCs w:val="16"/>
                <w:u w:val="single"/>
                <w:lang w:eastAsia="es-MX"/>
              </w:rPr>
            </w:pPr>
            <w:hyperlink r:id="rId127" w:history="1">
              <w:r w:rsidR="007311E3" w:rsidRPr="008D0998">
                <w:rPr>
                  <w:rFonts w:ascii="Arial Narrow" w:hAnsi="Arial Narrow" w:cs="Arial Narrow"/>
                  <w:color w:val="0000FF"/>
                  <w:sz w:val="16"/>
                  <w:szCs w:val="16"/>
                  <w:u w:val="single"/>
                  <w:lang w:eastAsia="es-MX"/>
                </w:rPr>
                <w:t>wmendez@hotmail.com</w:t>
              </w:r>
            </w:hyperlink>
          </w:p>
        </w:tc>
        <w:tc>
          <w:tcPr>
            <w:tcW w:w="1143" w:type="pct"/>
            <w:tcBorders>
              <w:top w:val="single" w:sz="4" w:space="0" w:color="auto"/>
              <w:left w:val="single" w:sz="4" w:space="0" w:color="auto"/>
              <w:bottom w:val="single" w:sz="4" w:space="0" w:color="auto"/>
              <w:right w:val="single" w:sz="4" w:space="0" w:color="auto"/>
            </w:tcBorders>
          </w:tcPr>
          <w:p w:rsidR="007311E3" w:rsidRPr="007311E3" w:rsidRDefault="007311E3" w:rsidP="003A2C0C">
            <w:pPr>
              <w:rPr>
                <w:lang w:val="es-GT"/>
              </w:rPr>
            </w:pPr>
            <w:r w:rsidRPr="007311E3">
              <w:rPr>
                <w:rFonts w:ascii="Arial Narrow" w:hAnsi="Arial Narrow" w:cs="Arial Narrow"/>
                <w:color w:val="000000"/>
                <w:sz w:val="16"/>
                <w:szCs w:val="16"/>
                <w:lang w:val="es-GT" w:eastAsia="es-MX"/>
              </w:rPr>
              <w:t>Contribuyó a identificar temas clave de desarrollo rural</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sidRPr="00CE744B">
              <w:rPr>
                <w:rFonts w:ascii="Arial Narrow" w:hAnsi="Arial Narrow" w:cs="Arial Narrow"/>
                <w:color w:val="000000"/>
                <w:sz w:val="16"/>
                <w:szCs w:val="16"/>
                <w:lang w:eastAsia="es-MX"/>
              </w:rPr>
              <w:t>16</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Oficina Comisionado Presidencial de Desarrollo Rural</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Dr.</w:t>
            </w:r>
            <w:r w:rsidRPr="00CE744B">
              <w:rPr>
                <w:rFonts w:ascii="Arial Narrow" w:hAnsi="Arial Narrow" w:cs="Arial Narrow"/>
                <w:color w:val="000000"/>
                <w:sz w:val="16"/>
                <w:szCs w:val="16"/>
                <w:lang w:eastAsia="es-MX"/>
              </w:rPr>
              <w:t xml:space="preserve"> Juan Carlos Méndez</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Asesor de la Oficina del Comisionado Presidencial de Desarrollo Rural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sidRPr="00CE744B">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8D0998" w:rsidRDefault="000364C9" w:rsidP="003A2C0C">
            <w:pPr>
              <w:spacing w:before="40" w:after="40"/>
              <w:rPr>
                <w:rFonts w:ascii="Arial Narrow" w:hAnsi="Arial Narrow" w:cs="Arial Narrow"/>
                <w:color w:val="0000FF"/>
                <w:sz w:val="16"/>
                <w:szCs w:val="16"/>
                <w:u w:val="single"/>
                <w:lang w:eastAsia="es-MX"/>
              </w:rPr>
            </w:pPr>
            <w:hyperlink r:id="rId128" w:history="1">
              <w:r w:rsidR="007311E3" w:rsidRPr="008D0998">
                <w:rPr>
                  <w:rFonts w:ascii="Arial Narrow" w:hAnsi="Arial Narrow" w:cs="Arial Narrow"/>
                  <w:color w:val="0000FF"/>
                  <w:sz w:val="16"/>
                  <w:szCs w:val="16"/>
                  <w:u w:val="single"/>
                  <w:lang w:eastAsia="es-MX"/>
                </w:rPr>
                <w:t>jcmendez@gmail.com</w:t>
              </w:r>
            </w:hyperlink>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5D1BB6">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Apoyo en la determinación de los </w:t>
            </w:r>
            <w:r w:rsidR="005D1BB6">
              <w:rPr>
                <w:rFonts w:ascii="Arial Narrow" w:hAnsi="Arial Narrow" w:cs="Arial Narrow"/>
                <w:color w:val="000000"/>
                <w:sz w:val="16"/>
                <w:szCs w:val="16"/>
                <w:lang w:val="es-GT" w:eastAsia="es-MX"/>
              </w:rPr>
              <w:t>factores críticos de decisión</w:t>
            </w:r>
            <w:r w:rsidRPr="007311E3">
              <w:rPr>
                <w:rFonts w:ascii="Arial Narrow" w:hAnsi="Arial Narrow" w:cs="Arial Narrow"/>
                <w:color w:val="000000"/>
                <w:sz w:val="16"/>
                <w:szCs w:val="16"/>
                <w:lang w:val="es-GT" w:eastAsia="es-MX"/>
              </w:rPr>
              <w:t xml:space="preserve"> y de las cuestiones estratégicas a considerar para la formulación de EAE</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17</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AGEXPORT</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Ing. Agr. Carl</w:t>
            </w:r>
            <w:r w:rsidR="005D1BB6">
              <w:rPr>
                <w:rFonts w:ascii="Arial Narrow" w:hAnsi="Arial Narrow" w:cs="Arial Narrow"/>
                <w:color w:val="000000"/>
                <w:sz w:val="16"/>
                <w:szCs w:val="16"/>
                <w:lang w:eastAsia="es-MX"/>
              </w:rPr>
              <w:t>os Urí</w:t>
            </w:r>
            <w:r>
              <w:rPr>
                <w:rFonts w:ascii="Arial Narrow" w:hAnsi="Arial Narrow" w:cs="Arial Narrow"/>
                <w:color w:val="000000"/>
                <w:sz w:val="16"/>
                <w:szCs w:val="16"/>
                <w:lang w:eastAsia="es-MX"/>
              </w:rPr>
              <w:t>zar</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Coordinador </w:t>
            </w:r>
            <w:r w:rsidR="005D1BB6">
              <w:rPr>
                <w:rFonts w:ascii="Arial Narrow" w:hAnsi="Arial Narrow" w:cs="Arial Narrow"/>
                <w:color w:val="000000"/>
                <w:sz w:val="16"/>
                <w:szCs w:val="16"/>
                <w:lang w:val="es-GT" w:eastAsia="es-MX"/>
              </w:rPr>
              <w:t xml:space="preserve">del </w:t>
            </w:r>
            <w:r w:rsidRPr="007311E3">
              <w:rPr>
                <w:rFonts w:ascii="Arial Narrow" w:hAnsi="Arial Narrow" w:cs="Arial Narrow"/>
                <w:color w:val="000000"/>
                <w:sz w:val="16"/>
                <w:szCs w:val="16"/>
                <w:lang w:val="es-GT" w:eastAsia="es-MX"/>
              </w:rPr>
              <w:t>Programa de Encadenamientos Empresariales</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5460-9806</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0364C9" w:rsidP="003A2C0C">
            <w:pPr>
              <w:spacing w:before="40" w:after="40"/>
              <w:rPr>
                <w:rFonts w:ascii="Arial Narrow" w:hAnsi="Arial Narrow" w:cs="Arial Narrow"/>
                <w:sz w:val="16"/>
                <w:szCs w:val="16"/>
              </w:rPr>
            </w:pPr>
            <w:hyperlink r:id="rId129" w:history="1">
              <w:r w:rsidR="007311E3" w:rsidRPr="00EE2528">
                <w:rPr>
                  <w:rStyle w:val="Hipervnculo"/>
                  <w:rFonts w:ascii="Arial Narrow" w:hAnsi="Arial Narrow" w:cs="Arial Narrow"/>
                  <w:sz w:val="16"/>
                  <w:szCs w:val="16"/>
                </w:rPr>
                <w:t>carlos.urizar@agexport.org</w:t>
              </w:r>
            </w:hyperlink>
            <w:r w:rsidR="007311E3" w:rsidRPr="00EE2528">
              <w:rPr>
                <w:rFonts w:ascii="Arial Narrow" w:hAnsi="Arial Narrow" w:cs="Arial Narrow"/>
                <w:sz w:val="16"/>
                <w:szCs w:val="16"/>
              </w:rPr>
              <w:t xml:space="preserve"> </w:t>
            </w: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Identificó temas clave </w:t>
            </w:r>
            <w:r w:rsidR="005D1BB6">
              <w:rPr>
                <w:rFonts w:ascii="Arial Narrow" w:hAnsi="Arial Narrow" w:cs="Arial Narrow"/>
                <w:color w:val="000000"/>
                <w:sz w:val="16"/>
                <w:szCs w:val="16"/>
                <w:lang w:val="es-GT" w:eastAsia="es-MX"/>
              </w:rPr>
              <w:t>para el desarrollo rural como: m</w:t>
            </w:r>
            <w:r w:rsidRPr="007311E3">
              <w:rPr>
                <w:rFonts w:ascii="Arial Narrow" w:hAnsi="Arial Narrow" w:cs="Arial Narrow"/>
                <w:color w:val="000000"/>
                <w:sz w:val="16"/>
                <w:szCs w:val="16"/>
                <w:lang w:val="es-GT" w:eastAsia="es-MX"/>
              </w:rPr>
              <w:t>ecanismos financieros, incremento de la p</w:t>
            </w:r>
            <w:r w:rsidR="005D1BB6">
              <w:rPr>
                <w:rFonts w:ascii="Arial Narrow" w:hAnsi="Arial Narrow" w:cs="Arial Narrow"/>
                <w:color w:val="000000"/>
                <w:sz w:val="16"/>
                <w:szCs w:val="16"/>
                <w:lang w:val="es-GT" w:eastAsia="es-MX"/>
              </w:rPr>
              <w:t>roductividad agrícola</w:t>
            </w:r>
            <w:r w:rsidRPr="007311E3">
              <w:rPr>
                <w:rFonts w:ascii="Arial Narrow" w:hAnsi="Arial Narrow" w:cs="Arial Narrow"/>
                <w:color w:val="000000"/>
                <w:sz w:val="16"/>
                <w:szCs w:val="16"/>
                <w:lang w:val="es-GT" w:eastAsia="es-MX"/>
              </w:rPr>
              <w:t xml:space="preserve"> y encadenamientos empresariales</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18</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ANAM</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Ing. Agr. Selvin Santizo</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Coordinador Forestal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4057-5635</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0364C9" w:rsidP="003A2C0C">
            <w:pPr>
              <w:spacing w:before="40" w:after="40"/>
              <w:rPr>
                <w:rFonts w:ascii="Arial Narrow" w:hAnsi="Arial Narrow" w:cs="Arial Narrow"/>
                <w:sz w:val="16"/>
                <w:szCs w:val="16"/>
              </w:rPr>
            </w:pPr>
            <w:hyperlink r:id="rId130" w:history="1">
              <w:r w:rsidR="007311E3" w:rsidRPr="00EE2528">
                <w:rPr>
                  <w:rStyle w:val="Hipervnculo"/>
                  <w:rFonts w:ascii="Arial Narrow" w:hAnsi="Arial Narrow" w:cs="Arial Narrow"/>
                  <w:sz w:val="16"/>
                  <w:szCs w:val="16"/>
                </w:rPr>
                <w:t>selvinsantizo@gmail.com</w:t>
              </w:r>
            </w:hyperlink>
            <w:r w:rsidR="007311E3" w:rsidRPr="00EE2528">
              <w:rPr>
                <w:rFonts w:ascii="Arial Narrow" w:hAnsi="Arial Narrow" w:cs="Arial Narrow"/>
                <w:sz w:val="16"/>
                <w:szCs w:val="16"/>
              </w:rPr>
              <w:t xml:space="preserve"> </w:t>
            </w: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Contribuyó a identificar temas clave de desarrollo rural</w:t>
            </w:r>
            <w:r w:rsidR="005D1BB6">
              <w:rPr>
                <w:rFonts w:ascii="Arial Narrow" w:hAnsi="Arial Narrow" w:cs="Arial Narrow"/>
                <w:color w:val="000000"/>
                <w:sz w:val="16"/>
                <w:szCs w:val="16"/>
                <w:lang w:val="es-GT" w:eastAsia="es-MX"/>
              </w:rPr>
              <w:t>.</w:t>
            </w:r>
          </w:p>
        </w:tc>
      </w:tr>
      <w:tr w:rsidR="007311E3" w:rsidRPr="005D1BB6"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19</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MAGA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Ing. Agr. Horacio Juárez</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 xml:space="preserve">Asesor </w:t>
            </w:r>
            <w:r w:rsidR="005D1BB6">
              <w:rPr>
                <w:rFonts w:ascii="Arial Narrow" w:hAnsi="Arial Narrow" w:cs="Arial Narrow"/>
                <w:color w:val="000000"/>
                <w:sz w:val="16"/>
                <w:szCs w:val="16"/>
                <w:lang w:eastAsia="es-MX"/>
              </w:rPr>
              <w:t xml:space="preserve">del </w:t>
            </w:r>
            <w:r>
              <w:rPr>
                <w:rFonts w:ascii="Arial Narrow" w:hAnsi="Arial Narrow" w:cs="Arial Narrow"/>
                <w:color w:val="000000"/>
                <w:sz w:val="16"/>
                <w:szCs w:val="16"/>
                <w:lang w:eastAsia="es-MX"/>
              </w:rPr>
              <w:t>Viceministro VIDER</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5043-6704</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7311E3" w:rsidP="003A2C0C">
            <w:pPr>
              <w:spacing w:before="40" w:after="40"/>
              <w:rPr>
                <w:rFonts w:ascii="Arial Narrow" w:hAnsi="Arial Narrow" w:cs="Arial Narrow"/>
                <w:sz w:val="16"/>
                <w:szCs w:val="16"/>
              </w:rPr>
            </w:pP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5D1BB6" w:rsidRDefault="007311E3" w:rsidP="005D1BB6">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Delegó su participación </w:t>
            </w:r>
            <w:r w:rsidR="005D1BB6">
              <w:rPr>
                <w:rFonts w:ascii="Arial Narrow" w:hAnsi="Arial Narrow" w:cs="Arial Narrow"/>
                <w:color w:val="000000"/>
                <w:sz w:val="16"/>
                <w:szCs w:val="16"/>
                <w:lang w:val="es-GT" w:eastAsia="es-MX"/>
              </w:rPr>
              <w:t>a</w:t>
            </w:r>
            <w:r w:rsidRPr="007311E3">
              <w:rPr>
                <w:rFonts w:ascii="Arial Narrow" w:hAnsi="Arial Narrow" w:cs="Arial Narrow"/>
                <w:color w:val="000000"/>
                <w:sz w:val="16"/>
                <w:szCs w:val="16"/>
                <w:lang w:val="es-GT" w:eastAsia="es-MX"/>
              </w:rPr>
              <w:t xml:space="preserve"> otros funcionarios de MAGA (Ing. </w:t>
            </w:r>
            <w:r w:rsidR="005D1BB6" w:rsidRPr="005D1BB6">
              <w:rPr>
                <w:rFonts w:ascii="Arial Narrow" w:hAnsi="Arial Narrow" w:cs="Arial Narrow"/>
                <w:color w:val="000000"/>
                <w:sz w:val="16"/>
                <w:szCs w:val="16"/>
                <w:lang w:val="es-GT" w:eastAsia="es-MX"/>
              </w:rPr>
              <w:t>Wosbey Mé</w:t>
            </w:r>
            <w:r w:rsidRPr="005D1BB6">
              <w:rPr>
                <w:rFonts w:ascii="Arial Narrow" w:hAnsi="Arial Narrow" w:cs="Arial Narrow"/>
                <w:color w:val="000000"/>
                <w:sz w:val="16"/>
                <w:szCs w:val="16"/>
                <w:lang w:val="es-GT" w:eastAsia="es-MX"/>
              </w:rPr>
              <w:t>ndez)</w:t>
            </w:r>
            <w:r w:rsidR="005D1BB6" w:rsidRP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20</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1C55C8">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 xml:space="preserve">Mecanismo Mundial para el </w:t>
            </w:r>
            <w:r w:rsidR="001C55C8">
              <w:rPr>
                <w:rFonts w:ascii="Arial Narrow" w:hAnsi="Arial Narrow" w:cs="Arial Narrow"/>
                <w:color w:val="000000"/>
                <w:sz w:val="16"/>
                <w:szCs w:val="16"/>
                <w:lang w:val="es-GT" w:eastAsia="es-MX"/>
              </w:rPr>
              <w:t>Combate a la Desertificación y S</w:t>
            </w:r>
            <w:r w:rsidRPr="007311E3">
              <w:rPr>
                <w:rFonts w:ascii="Arial Narrow" w:hAnsi="Arial Narrow" w:cs="Arial Narrow"/>
                <w:color w:val="000000"/>
                <w:sz w:val="16"/>
                <w:szCs w:val="16"/>
                <w:lang w:val="es-GT" w:eastAsia="es-MX"/>
              </w:rPr>
              <w:t>equía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682F4D" w:rsidRDefault="007311E3" w:rsidP="003A2C0C">
            <w:pPr>
              <w:spacing w:before="40" w:after="40"/>
              <w:rPr>
                <w:rFonts w:ascii="Arial Narrow" w:hAnsi="Arial Narrow" w:cs="Arial Narrow"/>
                <w:color w:val="000000"/>
                <w:sz w:val="16"/>
                <w:szCs w:val="16"/>
                <w:lang w:val="fr-FR" w:eastAsia="es-MX"/>
              </w:rPr>
            </w:pPr>
            <w:r w:rsidRPr="00682F4D">
              <w:rPr>
                <w:rFonts w:ascii="Arial Narrow" w:hAnsi="Arial Narrow" w:cs="Arial Narrow"/>
                <w:color w:val="000000"/>
                <w:sz w:val="16"/>
                <w:szCs w:val="16"/>
                <w:lang w:val="fr-FR" w:eastAsia="es-MX"/>
              </w:rPr>
              <w:t>Ing. Agr. José Miguel Leiva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Asesor Regional</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5510-1657</w:t>
            </w: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0364C9" w:rsidP="003A2C0C">
            <w:pPr>
              <w:spacing w:before="40" w:after="40"/>
              <w:rPr>
                <w:rFonts w:ascii="Arial Narrow" w:hAnsi="Arial Narrow" w:cs="Arial Narrow"/>
                <w:sz w:val="16"/>
                <w:szCs w:val="16"/>
              </w:rPr>
            </w:pPr>
            <w:hyperlink r:id="rId131" w:history="1">
              <w:r w:rsidR="007311E3" w:rsidRPr="00EE2528">
                <w:rPr>
                  <w:rStyle w:val="Hipervnculo"/>
                  <w:rFonts w:ascii="Arial Narrow" w:hAnsi="Arial Narrow" w:cs="Arial Narrow"/>
                  <w:sz w:val="16"/>
                  <w:szCs w:val="16"/>
                </w:rPr>
                <w:t>j.leivaperez@global-mechanism.org</w:t>
              </w:r>
            </w:hyperlink>
            <w:r w:rsidR="007311E3" w:rsidRPr="00EE2528">
              <w:rPr>
                <w:rFonts w:ascii="Arial Narrow" w:hAnsi="Arial Narrow" w:cs="Arial Narrow"/>
                <w:sz w:val="16"/>
                <w:szCs w:val="16"/>
              </w:rPr>
              <w:t xml:space="preserve"> </w:t>
            </w: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Propone darle énfasis a la conservación y recuperación de suelos, ya que es fuente de degradación.</w:t>
            </w:r>
          </w:p>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Crear incentivos para la conservación de suelos</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lastRenderedPageBreak/>
              <w:t>21</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FIDA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Lic. Oscar Grajeda</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Miembro del equipo formulador del COSOP</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7311E3" w:rsidP="003A2C0C">
            <w:pPr>
              <w:spacing w:before="40" w:after="40"/>
              <w:rPr>
                <w:rFonts w:ascii="Arial Narrow" w:hAnsi="Arial Narrow" w:cs="Arial Narrow"/>
                <w:sz w:val="16"/>
                <w:szCs w:val="16"/>
              </w:rPr>
            </w:pP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Hizo énfasis en la focalización y especificidad de las recomendaciones. Dio guías desde el punto de vista del equipo formulador del COSOP</w:t>
            </w:r>
            <w:r w:rsidR="005D1BB6">
              <w:rPr>
                <w:rFonts w:ascii="Arial Narrow" w:hAnsi="Arial Narrow" w:cs="Arial Narrow"/>
                <w:color w:val="000000"/>
                <w:sz w:val="16"/>
                <w:szCs w:val="16"/>
                <w:lang w:val="es-GT" w:eastAsia="es-MX"/>
              </w:rPr>
              <w:t>.</w:t>
            </w:r>
          </w:p>
        </w:tc>
      </w:tr>
      <w:tr w:rsidR="007311E3" w:rsidRPr="000364C9" w:rsidTr="003A2C0C">
        <w:trPr>
          <w:trHeight w:val="20"/>
          <w:jc w:val="center"/>
        </w:trPr>
        <w:tc>
          <w:tcPr>
            <w:tcW w:w="166" w:type="pct"/>
            <w:tcBorders>
              <w:top w:val="single" w:sz="4" w:space="0" w:color="auto"/>
              <w:left w:val="single" w:sz="4" w:space="0" w:color="auto"/>
              <w:bottom w:val="single" w:sz="4" w:space="0" w:color="auto"/>
              <w:right w:val="single" w:sz="4" w:space="0" w:color="auto"/>
            </w:tcBorders>
            <w:noWrap/>
            <w:vAlign w:val="center"/>
          </w:tcPr>
          <w:p w:rsidR="007311E3" w:rsidRDefault="007311E3" w:rsidP="003A2C0C">
            <w:pPr>
              <w:spacing w:before="40" w:after="40"/>
              <w:jc w:val="center"/>
              <w:rPr>
                <w:rFonts w:ascii="Arial Narrow" w:hAnsi="Arial Narrow" w:cs="Arial Narrow"/>
                <w:color w:val="000000"/>
                <w:sz w:val="16"/>
                <w:szCs w:val="16"/>
                <w:lang w:eastAsia="es-MX"/>
              </w:rPr>
            </w:pPr>
            <w:r>
              <w:rPr>
                <w:rFonts w:ascii="Arial Narrow" w:hAnsi="Arial Narrow" w:cs="Arial Narrow"/>
                <w:color w:val="000000"/>
                <w:sz w:val="16"/>
                <w:szCs w:val="16"/>
                <w:lang w:eastAsia="es-MX"/>
              </w:rPr>
              <w:t>22</w:t>
            </w:r>
          </w:p>
        </w:tc>
        <w:tc>
          <w:tcPr>
            <w:tcW w:w="439" w:type="pct"/>
            <w:tcBorders>
              <w:top w:val="single" w:sz="4" w:space="0" w:color="auto"/>
              <w:left w:val="single" w:sz="4" w:space="0" w:color="auto"/>
              <w:bottom w:val="single" w:sz="4" w:space="0" w:color="auto"/>
              <w:right w:val="single" w:sz="4" w:space="0" w:color="auto"/>
            </w:tcBorders>
            <w:vAlign w:val="center"/>
          </w:tcPr>
          <w:p w:rsidR="007311E3"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FIDA</w:t>
            </w:r>
          </w:p>
        </w:tc>
        <w:tc>
          <w:tcPr>
            <w:tcW w:w="602" w:type="pct"/>
            <w:tcBorders>
              <w:top w:val="single" w:sz="4" w:space="0" w:color="auto"/>
              <w:left w:val="single" w:sz="4" w:space="0" w:color="auto"/>
              <w:bottom w:val="single" w:sz="4" w:space="0" w:color="auto"/>
              <w:right w:val="single" w:sz="4" w:space="0" w:color="auto"/>
            </w:tcBorders>
            <w:vAlign w:val="center"/>
          </w:tcPr>
          <w:p w:rsidR="007311E3" w:rsidRDefault="007311E3" w:rsidP="003A2C0C">
            <w:pPr>
              <w:spacing w:before="40" w:after="40"/>
              <w:rPr>
                <w:rFonts w:ascii="Arial Narrow" w:hAnsi="Arial Narrow" w:cs="Arial Narrow"/>
                <w:color w:val="000000"/>
                <w:sz w:val="16"/>
                <w:szCs w:val="16"/>
                <w:lang w:eastAsia="es-MX"/>
              </w:rPr>
            </w:pPr>
            <w:r>
              <w:rPr>
                <w:rFonts w:ascii="Arial Narrow" w:hAnsi="Arial Narrow" w:cs="Arial Narrow"/>
                <w:color w:val="000000"/>
                <w:sz w:val="16"/>
                <w:szCs w:val="16"/>
                <w:lang w:eastAsia="es-MX"/>
              </w:rPr>
              <w:t>Dr. Julio Verdeguer</w:t>
            </w:r>
          </w:p>
        </w:tc>
        <w:tc>
          <w:tcPr>
            <w:tcW w:w="60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Coordinador del equipo formulador del COSOP</w:t>
            </w: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6"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3"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134" w:type="pct"/>
            <w:tcBorders>
              <w:top w:val="single" w:sz="4" w:space="0" w:color="auto"/>
              <w:left w:val="single" w:sz="4" w:space="0" w:color="auto"/>
              <w:bottom w:val="single" w:sz="4" w:space="0" w:color="auto"/>
              <w:right w:val="single" w:sz="4" w:space="0" w:color="auto"/>
            </w:tcBorders>
            <w:noWrap/>
            <w:vAlign w:val="center"/>
          </w:tcPr>
          <w:p w:rsidR="007311E3" w:rsidRDefault="007311E3" w:rsidP="003A2C0C">
            <w:pPr>
              <w:spacing w:before="40" w:after="40"/>
              <w:jc w:val="center"/>
              <w:rPr>
                <w:rFonts w:ascii="Arial Narrow" w:hAnsi="Arial Narrow" w:cs="Arial Narrow"/>
                <w:b/>
                <w:bCs/>
                <w:color w:val="000000"/>
                <w:sz w:val="20"/>
                <w:szCs w:val="20"/>
                <w:lang w:eastAsia="es-MX"/>
              </w:rPr>
            </w:pPr>
            <w:r>
              <w:rPr>
                <w:rFonts w:ascii="Arial Narrow" w:hAnsi="Arial Narrow" w:cs="Arial Narrow"/>
                <w:b/>
                <w:bCs/>
                <w:color w:val="000000"/>
                <w:sz w:val="20"/>
                <w:szCs w:val="20"/>
                <w:lang w:eastAsia="es-MX"/>
              </w:rPr>
              <w:t>x</w:t>
            </w:r>
          </w:p>
        </w:tc>
        <w:tc>
          <w:tcPr>
            <w:tcW w:w="135" w:type="pct"/>
            <w:tcBorders>
              <w:top w:val="single" w:sz="4" w:space="0" w:color="auto"/>
              <w:left w:val="single" w:sz="4" w:space="0" w:color="auto"/>
              <w:bottom w:val="single" w:sz="4" w:space="0" w:color="auto"/>
              <w:right w:val="single" w:sz="4" w:space="0" w:color="auto"/>
            </w:tcBorders>
            <w:noWrap/>
            <w:vAlign w:val="center"/>
          </w:tcPr>
          <w:p w:rsidR="007311E3" w:rsidRPr="00CE744B" w:rsidRDefault="007311E3" w:rsidP="003A2C0C">
            <w:pPr>
              <w:spacing w:before="40" w:after="40"/>
              <w:jc w:val="center"/>
              <w:rPr>
                <w:rFonts w:ascii="Arial Narrow" w:hAnsi="Arial Narrow" w:cs="Arial Narrow"/>
                <w:b/>
                <w:bCs/>
                <w:color w:val="000000"/>
                <w:sz w:val="20"/>
                <w:szCs w:val="20"/>
                <w:lang w:eastAsia="es-MX"/>
              </w:rPr>
            </w:pPr>
          </w:p>
        </w:tc>
        <w:tc>
          <w:tcPr>
            <w:tcW w:w="381" w:type="pct"/>
            <w:tcBorders>
              <w:top w:val="single" w:sz="4" w:space="0" w:color="auto"/>
              <w:left w:val="single" w:sz="4" w:space="0" w:color="auto"/>
              <w:bottom w:val="single" w:sz="4" w:space="0" w:color="auto"/>
              <w:right w:val="single" w:sz="4" w:space="0" w:color="auto"/>
            </w:tcBorders>
            <w:vAlign w:val="center"/>
          </w:tcPr>
          <w:p w:rsidR="007311E3" w:rsidRPr="00CE744B" w:rsidRDefault="007311E3" w:rsidP="003A2C0C">
            <w:pPr>
              <w:spacing w:before="40" w:after="40"/>
              <w:jc w:val="center"/>
              <w:rPr>
                <w:rFonts w:ascii="Arial Narrow" w:hAnsi="Arial Narrow" w:cs="Arial Narrow"/>
                <w:color w:val="000000"/>
                <w:sz w:val="16"/>
                <w:szCs w:val="16"/>
                <w:lang w:eastAsia="es-MX"/>
              </w:rPr>
            </w:pPr>
          </w:p>
        </w:tc>
        <w:tc>
          <w:tcPr>
            <w:tcW w:w="860" w:type="pct"/>
            <w:tcBorders>
              <w:top w:val="single" w:sz="4" w:space="0" w:color="auto"/>
              <w:left w:val="single" w:sz="4" w:space="0" w:color="auto"/>
              <w:bottom w:val="single" w:sz="4" w:space="0" w:color="auto"/>
              <w:right w:val="single" w:sz="4" w:space="0" w:color="auto"/>
            </w:tcBorders>
            <w:vAlign w:val="center"/>
          </w:tcPr>
          <w:p w:rsidR="007311E3" w:rsidRPr="00EE2528" w:rsidRDefault="007311E3" w:rsidP="003A2C0C">
            <w:pPr>
              <w:spacing w:before="40" w:after="40"/>
              <w:rPr>
                <w:rFonts w:ascii="Arial Narrow" w:hAnsi="Arial Narrow" w:cs="Arial Narrow"/>
                <w:sz w:val="16"/>
                <w:szCs w:val="16"/>
              </w:rPr>
            </w:pPr>
          </w:p>
        </w:tc>
        <w:tc>
          <w:tcPr>
            <w:tcW w:w="1143" w:type="pct"/>
            <w:tcBorders>
              <w:top w:val="single" w:sz="4" w:space="0" w:color="auto"/>
              <w:left w:val="single" w:sz="4" w:space="0" w:color="auto"/>
              <w:bottom w:val="single" w:sz="4" w:space="0" w:color="auto"/>
              <w:right w:val="single" w:sz="4" w:space="0" w:color="auto"/>
            </w:tcBorders>
            <w:vAlign w:val="center"/>
          </w:tcPr>
          <w:p w:rsidR="007311E3" w:rsidRPr="007311E3" w:rsidRDefault="007311E3" w:rsidP="003A2C0C">
            <w:pPr>
              <w:spacing w:before="40" w:after="40"/>
              <w:rPr>
                <w:rFonts w:ascii="Arial Narrow" w:hAnsi="Arial Narrow" w:cs="Arial Narrow"/>
                <w:color w:val="000000"/>
                <w:sz w:val="16"/>
                <w:szCs w:val="16"/>
                <w:lang w:val="es-GT" w:eastAsia="es-MX"/>
              </w:rPr>
            </w:pPr>
            <w:r w:rsidRPr="007311E3">
              <w:rPr>
                <w:rFonts w:ascii="Arial Narrow" w:hAnsi="Arial Narrow" w:cs="Arial Narrow"/>
                <w:color w:val="000000"/>
                <w:sz w:val="16"/>
                <w:szCs w:val="16"/>
                <w:lang w:val="es-GT" w:eastAsia="es-MX"/>
              </w:rPr>
              <w:t>Dio orientaciones preliminares sobre las posibles líneas estratégicas del nuevo programa nacional de FIDA para Guatemala</w:t>
            </w:r>
            <w:r w:rsidR="005D1BB6">
              <w:rPr>
                <w:rFonts w:ascii="Arial Narrow" w:hAnsi="Arial Narrow" w:cs="Arial Narrow"/>
                <w:color w:val="000000"/>
                <w:sz w:val="16"/>
                <w:szCs w:val="16"/>
                <w:lang w:val="es-GT" w:eastAsia="es-MX"/>
              </w:rPr>
              <w:t>.</w:t>
            </w:r>
          </w:p>
        </w:tc>
      </w:tr>
    </w:tbl>
    <w:p w:rsidR="007311E3" w:rsidRPr="007311E3" w:rsidRDefault="007311E3" w:rsidP="007311E3">
      <w:pPr>
        <w:rPr>
          <w:sz w:val="20"/>
          <w:szCs w:val="20"/>
          <w:lang w:val="es-GT"/>
        </w:rPr>
      </w:pPr>
    </w:p>
    <w:p w:rsidR="007311E3" w:rsidRPr="007311E3" w:rsidRDefault="007311E3" w:rsidP="007311E3">
      <w:pPr>
        <w:rPr>
          <w:lang w:val="es-GT"/>
        </w:rPr>
      </w:pPr>
      <w:r w:rsidRPr="007311E3">
        <w:rPr>
          <w:lang w:val="es-GT"/>
        </w:rPr>
        <w:br w:type="page"/>
      </w:r>
    </w:p>
    <w:p w:rsidR="007311E3" w:rsidRPr="007311E3" w:rsidRDefault="007311E3" w:rsidP="007311E3">
      <w:pPr>
        <w:rPr>
          <w:b/>
          <w:bCs/>
          <w:color w:val="000000"/>
          <w:sz w:val="20"/>
          <w:szCs w:val="20"/>
          <w:lang w:val="es-GT" w:eastAsia="es-MX"/>
        </w:rPr>
      </w:pPr>
    </w:p>
    <w:p w:rsidR="007311E3" w:rsidRPr="007311E3" w:rsidRDefault="007311E3" w:rsidP="007311E3">
      <w:pPr>
        <w:rPr>
          <w:rFonts w:ascii="Arial Black" w:hAnsi="Arial Black" w:cs="Arial Black"/>
          <w:color w:val="000000"/>
          <w:sz w:val="20"/>
          <w:szCs w:val="20"/>
          <w:lang w:val="es-GT" w:eastAsia="es-MX"/>
        </w:rPr>
      </w:pPr>
      <w:r w:rsidRPr="007311E3">
        <w:rPr>
          <w:rFonts w:ascii="Arial Black" w:hAnsi="Arial Black" w:cs="Arial Black"/>
          <w:color w:val="000000"/>
          <w:sz w:val="20"/>
          <w:szCs w:val="20"/>
          <w:lang w:val="es-GT" w:eastAsia="es-MX"/>
        </w:rPr>
        <w:t>E</w:t>
      </w:r>
      <w:r w:rsidR="005F0DC3" w:rsidRPr="007311E3">
        <w:rPr>
          <w:rFonts w:ascii="Arial Black" w:hAnsi="Arial Black" w:cs="Arial Black"/>
          <w:color w:val="000000"/>
          <w:sz w:val="20"/>
          <w:szCs w:val="20"/>
          <w:lang w:val="es-GT" w:eastAsia="es-MX"/>
        </w:rPr>
        <w:t>valuación</w:t>
      </w:r>
      <w:r w:rsidRPr="007311E3">
        <w:rPr>
          <w:rFonts w:ascii="Arial Black" w:hAnsi="Arial Black" w:cs="Arial Black"/>
          <w:color w:val="000000"/>
          <w:sz w:val="20"/>
          <w:szCs w:val="20"/>
          <w:lang w:val="es-GT" w:eastAsia="es-MX"/>
        </w:rPr>
        <w:t xml:space="preserve"> A</w:t>
      </w:r>
      <w:r w:rsidR="005F0DC3" w:rsidRPr="007311E3">
        <w:rPr>
          <w:rFonts w:ascii="Arial Black" w:hAnsi="Arial Black" w:cs="Arial Black"/>
          <w:color w:val="000000"/>
          <w:sz w:val="20"/>
          <w:szCs w:val="20"/>
          <w:lang w:val="es-GT" w:eastAsia="es-MX"/>
        </w:rPr>
        <w:t>mbiental</w:t>
      </w:r>
      <w:r w:rsidRPr="007311E3">
        <w:rPr>
          <w:rFonts w:ascii="Arial Black" w:hAnsi="Arial Black" w:cs="Arial Black"/>
          <w:color w:val="000000"/>
          <w:sz w:val="20"/>
          <w:szCs w:val="20"/>
          <w:lang w:val="es-GT" w:eastAsia="es-MX"/>
        </w:rPr>
        <w:t xml:space="preserve"> E</w:t>
      </w:r>
      <w:r w:rsidR="005F0DC3" w:rsidRPr="007311E3">
        <w:rPr>
          <w:rFonts w:ascii="Arial Black" w:hAnsi="Arial Black" w:cs="Arial Black"/>
          <w:color w:val="000000"/>
          <w:sz w:val="20"/>
          <w:szCs w:val="20"/>
          <w:lang w:val="es-GT" w:eastAsia="es-MX"/>
        </w:rPr>
        <w:t>stratégica</w:t>
      </w:r>
      <w:r w:rsidRPr="007311E3">
        <w:rPr>
          <w:rFonts w:ascii="Arial Black" w:hAnsi="Arial Black" w:cs="Arial Black"/>
          <w:color w:val="000000"/>
          <w:sz w:val="20"/>
          <w:szCs w:val="20"/>
          <w:lang w:val="es-GT" w:eastAsia="es-MX"/>
        </w:rPr>
        <w:t>-COSOP-FIDA-URL</w:t>
      </w:r>
    </w:p>
    <w:tbl>
      <w:tblPr>
        <w:tblW w:w="13603" w:type="dxa"/>
        <w:jc w:val="center"/>
        <w:tblCellMar>
          <w:left w:w="70" w:type="dxa"/>
          <w:right w:w="70" w:type="dxa"/>
        </w:tblCellMar>
        <w:tblLook w:val="00A0" w:firstRow="1" w:lastRow="0" w:firstColumn="1" w:lastColumn="0" w:noHBand="0" w:noVBand="0"/>
      </w:tblPr>
      <w:tblGrid>
        <w:gridCol w:w="4815"/>
        <w:gridCol w:w="328"/>
        <w:gridCol w:w="1200"/>
        <w:gridCol w:w="2440"/>
        <w:gridCol w:w="1200"/>
        <w:gridCol w:w="3620"/>
      </w:tblGrid>
      <w:tr w:rsidR="007311E3" w:rsidRPr="00EE2528" w:rsidTr="003A2C0C">
        <w:trPr>
          <w:trHeight w:val="300"/>
          <w:jc w:val="center"/>
        </w:trPr>
        <w:tc>
          <w:tcPr>
            <w:tcW w:w="4815" w:type="dxa"/>
            <w:tcBorders>
              <w:top w:val="nil"/>
              <w:left w:val="nil"/>
              <w:bottom w:val="nil"/>
              <w:right w:val="nil"/>
            </w:tcBorders>
            <w:noWrap/>
            <w:vAlign w:val="bottom"/>
          </w:tcPr>
          <w:p w:rsidR="007311E3" w:rsidRPr="006E0C49" w:rsidRDefault="007311E3" w:rsidP="003A2C0C">
            <w:pPr>
              <w:rPr>
                <w:color w:val="000000"/>
                <w:sz w:val="20"/>
                <w:szCs w:val="20"/>
                <w:lang w:eastAsia="es-MX"/>
              </w:rPr>
            </w:pPr>
            <w:r w:rsidRPr="006E0C49">
              <w:rPr>
                <w:color w:val="000000"/>
                <w:sz w:val="20"/>
                <w:szCs w:val="20"/>
                <w:lang w:eastAsia="es-MX"/>
              </w:rPr>
              <w:t>Nombre del contacto estratégico:</w:t>
            </w:r>
          </w:p>
        </w:tc>
        <w:tc>
          <w:tcPr>
            <w:tcW w:w="8788" w:type="dxa"/>
            <w:gridSpan w:val="5"/>
            <w:tcBorders>
              <w:top w:val="single" w:sz="4" w:space="0" w:color="auto"/>
              <w:left w:val="single" w:sz="4" w:space="0" w:color="auto"/>
              <w:bottom w:val="single" w:sz="4" w:space="0" w:color="auto"/>
              <w:right w:val="single" w:sz="4" w:space="0" w:color="000000"/>
            </w:tcBorders>
            <w:shd w:val="clear" w:color="000000" w:fill="F2F2F2"/>
            <w:noWrap/>
          </w:tcPr>
          <w:p w:rsidR="007311E3" w:rsidRPr="006E0C49" w:rsidRDefault="007311E3" w:rsidP="003A2C0C">
            <w:pPr>
              <w:rPr>
                <w:color w:val="000000"/>
                <w:sz w:val="20"/>
                <w:szCs w:val="20"/>
                <w:lang w:eastAsia="es-MX"/>
              </w:rPr>
            </w:pPr>
            <w:r w:rsidRPr="006E0C49">
              <w:rPr>
                <w:color w:val="000000"/>
                <w:sz w:val="20"/>
                <w:szCs w:val="20"/>
                <w:lang w:eastAsia="es-MX"/>
              </w:rPr>
              <w:t> </w:t>
            </w:r>
          </w:p>
        </w:tc>
      </w:tr>
      <w:tr w:rsidR="007311E3" w:rsidRPr="00EE2528" w:rsidTr="003A2C0C">
        <w:trPr>
          <w:trHeight w:val="300"/>
          <w:jc w:val="center"/>
        </w:trPr>
        <w:tc>
          <w:tcPr>
            <w:tcW w:w="4815" w:type="dxa"/>
            <w:tcBorders>
              <w:top w:val="nil"/>
              <w:left w:val="nil"/>
              <w:bottom w:val="nil"/>
              <w:right w:val="nil"/>
            </w:tcBorders>
            <w:noWrap/>
            <w:vAlign w:val="bottom"/>
          </w:tcPr>
          <w:p w:rsidR="007311E3" w:rsidRPr="006E0C49" w:rsidRDefault="007311E3" w:rsidP="003A2C0C">
            <w:pPr>
              <w:rPr>
                <w:color w:val="000000"/>
                <w:sz w:val="20"/>
                <w:szCs w:val="20"/>
                <w:lang w:eastAsia="es-MX"/>
              </w:rPr>
            </w:pPr>
            <w:r w:rsidRPr="006E0C49">
              <w:rPr>
                <w:color w:val="000000"/>
                <w:sz w:val="20"/>
                <w:szCs w:val="20"/>
                <w:lang w:eastAsia="es-MX"/>
              </w:rPr>
              <w:t>Institución:</w:t>
            </w:r>
          </w:p>
        </w:tc>
        <w:tc>
          <w:tcPr>
            <w:tcW w:w="8788" w:type="dxa"/>
            <w:gridSpan w:val="5"/>
            <w:tcBorders>
              <w:top w:val="single" w:sz="4" w:space="0" w:color="auto"/>
              <w:left w:val="single" w:sz="4" w:space="0" w:color="auto"/>
              <w:bottom w:val="single" w:sz="4" w:space="0" w:color="auto"/>
              <w:right w:val="single" w:sz="4" w:space="0" w:color="000000"/>
            </w:tcBorders>
            <w:shd w:val="clear" w:color="000000" w:fill="F2F2F2"/>
            <w:noWrap/>
          </w:tcPr>
          <w:p w:rsidR="007311E3" w:rsidRPr="006E0C49" w:rsidRDefault="007311E3" w:rsidP="003A2C0C">
            <w:pPr>
              <w:rPr>
                <w:color w:val="000000"/>
                <w:sz w:val="20"/>
                <w:szCs w:val="20"/>
                <w:lang w:eastAsia="es-MX"/>
              </w:rPr>
            </w:pPr>
            <w:r w:rsidRPr="006E0C49">
              <w:rPr>
                <w:color w:val="000000"/>
                <w:sz w:val="20"/>
                <w:szCs w:val="20"/>
                <w:lang w:eastAsia="es-MX"/>
              </w:rPr>
              <w:t> </w:t>
            </w:r>
          </w:p>
        </w:tc>
      </w:tr>
      <w:tr w:rsidR="007311E3" w:rsidRPr="00EE2528" w:rsidTr="003A2C0C">
        <w:trPr>
          <w:trHeight w:val="300"/>
          <w:jc w:val="center"/>
        </w:trPr>
        <w:tc>
          <w:tcPr>
            <w:tcW w:w="4815" w:type="dxa"/>
            <w:tcBorders>
              <w:top w:val="nil"/>
              <w:left w:val="nil"/>
              <w:bottom w:val="nil"/>
              <w:right w:val="nil"/>
            </w:tcBorders>
            <w:noWrap/>
            <w:vAlign w:val="bottom"/>
          </w:tcPr>
          <w:p w:rsidR="007311E3" w:rsidRPr="006E0C49" w:rsidRDefault="007311E3" w:rsidP="003A2C0C">
            <w:pPr>
              <w:rPr>
                <w:color w:val="000000"/>
                <w:sz w:val="20"/>
                <w:szCs w:val="20"/>
                <w:lang w:eastAsia="es-MX"/>
              </w:rPr>
            </w:pPr>
            <w:r w:rsidRPr="006E0C49">
              <w:rPr>
                <w:color w:val="000000"/>
                <w:sz w:val="20"/>
                <w:szCs w:val="20"/>
                <w:lang w:eastAsia="es-MX"/>
              </w:rPr>
              <w:t>Fecha:</w:t>
            </w:r>
          </w:p>
        </w:tc>
        <w:tc>
          <w:tcPr>
            <w:tcW w:w="8788" w:type="dxa"/>
            <w:gridSpan w:val="5"/>
            <w:tcBorders>
              <w:top w:val="single" w:sz="4" w:space="0" w:color="auto"/>
              <w:left w:val="single" w:sz="4" w:space="0" w:color="auto"/>
              <w:bottom w:val="single" w:sz="4" w:space="0" w:color="auto"/>
              <w:right w:val="single" w:sz="4" w:space="0" w:color="000000"/>
            </w:tcBorders>
            <w:shd w:val="clear" w:color="000000" w:fill="F2F2F2"/>
            <w:noWrap/>
          </w:tcPr>
          <w:p w:rsidR="007311E3" w:rsidRPr="006E0C49" w:rsidRDefault="007311E3" w:rsidP="003A2C0C">
            <w:pPr>
              <w:rPr>
                <w:color w:val="000000"/>
                <w:sz w:val="20"/>
                <w:szCs w:val="20"/>
                <w:lang w:eastAsia="es-MX"/>
              </w:rPr>
            </w:pPr>
            <w:r w:rsidRPr="006E0C49">
              <w:rPr>
                <w:color w:val="000000"/>
                <w:sz w:val="20"/>
                <w:szCs w:val="20"/>
                <w:lang w:eastAsia="es-MX"/>
              </w:rPr>
              <w:t> </w:t>
            </w:r>
          </w:p>
        </w:tc>
      </w:tr>
      <w:tr w:rsidR="007311E3" w:rsidRPr="00EE2528" w:rsidTr="003A2C0C">
        <w:trPr>
          <w:trHeight w:val="101"/>
          <w:jc w:val="center"/>
        </w:trPr>
        <w:tc>
          <w:tcPr>
            <w:tcW w:w="4815" w:type="dxa"/>
            <w:tcBorders>
              <w:top w:val="nil"/>
              <w:left w:val="nil"/>
              <w:bottom w:val="nil"/>
              <w:right w:val="nil"/>
            </w:tcBorders>
            <w:noWrap/>
            <w:vAlign w:val="bottom"/>
          </w:tcPr>
          <w:p w:rsidR="007311E3" w:rsidRPr="006E0C49" w:rsidRDefault="007311E3" w:rsidP="003A2C0C">
            <w:pPr>
              <w:rPr>
                <w:color w:val="000000"/>
                <w:sz w:val="20"/>
                <w:szCs w:val="20"/>
                <w:lang w:eastAsia="es-MX"/>
              </w:rPr>
            </w:pPr>
          </w:p>
        </w:tc>
        <w:tc>
          <w:tcPr>
            <w:tcW w:w="8788" w:type="dxa"/>
            <w:gridSpan w:val="5"/>
            <w:tcBorders>
              <w:top w:val="nil"/>
              <w:left w:val="nil"/>
              <w:bottom w:val="nil"/>
              <w:right w:val="nil"/>
            </w:tcBorders>
            <w:noWrap/>
            <w:vAlign w:val="bottom"/>
          </w:tcPr>
          <w:p w:rsidR="007311E3" w:rsidRPr="006E0C49" w:rsidRDefault="007311E3" w:rsidP="003A2C0C">
            <w:pPr>
              <w:rPr>
                <w:color w:val="000000"/>
                <w:sz w:val="20"/>
                <w:szCs w:val="20"/>
                <w:lang w:eastAsia="es-MX"/>
              </w:rPr>
            </w:pPr>
          </w:p>
        </w:tc>
      </w:tr>
      <w:tr w:rsidR="007311E3" w:rsidRPr="00EE2528" w:rsidTr="003A2C0C">
        <w:trPr>
          <w:trHeight w:val="315"/>
          <w:jc w:val="center"/>
        </w:trPr>
        <w:tc>
          <w:tcPr>
            <w:tcW w:w="4815" w:type="dxa"/>
            <w:tcBorders>
              <w:top w:val="nil"/>
              <w:left w:val="nil"/>
              <w:bottom w:val="nil"/>
              <w:right w:val="nil"/>
            </w:tcBorders>
            <w:noWrap/>
            <w:vAlign w:val="bottom"/>
          </w:tcPr>
          <w:p w:rsidR="007311E3" w:rsidRPr="006E0C49" w:rsidRDefault="007311E3" w:rsidP="003A2C0C">
            <w:pPr>
              <w:rPr>
                <w:b/>
                <w:bCs/>
                <w:color w:val="000000"/>
                <w:sz w:val="20"/>
                <w:szCs w:val="20"/>
                <w:lang w:eastAsia="es-MX"/>
              </w:rPr>
            </w:pPr>
            <w:r w:rsidRPr="006E0C49">
              <w:rPr>
                <w:b/>
                <w:bCs/>
                <w:color w:val="000000"/>
                <w:sz w:val="20"/>
                <w:szCs w:val="20"/>
                <w:lang w:eastAsia="es-MX"/>
              </w:rPr>
              <w:t>C</w:t>
            </w:r>
            <w:r w:rsidR="005F0DC3" w:rsidRPr="006E0C49">
              <w:rPr>
                <w:b/>
                <w:bCs/>
                <w:color w:val="000000"/>
                <w:sz w:val="20"/>
                <w:szCs w:val="20"/>
                <w:lang w:eastAsia="es-MX"/>
              </w:rPr>
              <w:t>uestiones estratégicas</w:t>
            </w:r>
          </w:p>
        </w:tc>
        <w:tc>
          <w:tcPr>
            <w:tcW w:w="8788" w:type="dxa"/>
            <w:gridSpan w:val="5"/>
            <w:tcBorders>
              <w:top w:val="nil"/>
              <w:left w:val="nil"/>
              <w:bottom w:val="nil"/>
              <w:right w:val="nil"/>
            </w:tcBorders>
            <w:noWrap/>
            <w:vAlign w:val="bottom"/>
          </w:tcPr>
          <w:p w:rsidR="007311E3" w:rsidRPr="006E0C49" w:rsidRDefault="007311E3" w:rsidP="003A2C0C">
            <w:pPr>
              <w:rPr>
                <w:color w:val="000000"/>
                <w:sz w:val="20"/>
                <w:szCs w:val="20"/>
                <w:lang w:eastAsia="es-MX"/>
              </w:rPr>
            </w:pPr>
          </w:p>
        </w:tc>
      </w:tr>
      <w:tr w:rsidR="007311E3" w:rsidRPr="000364C9" w:rsidTr="003A2C0C">
        <w:trPr>
          <w:trHeight w:val="300"/>
          <w:jc w:val="center"/>
        </w:trPr>
        <w:tc>
          <w:tcPr>
            <w:tcW w:w="13603" w:type="dxa"/>
            <w:gridSpan w:val="6"/>
            <w:tcBorders>
              <w:top w:val="nil"/>
              <w:left w:val="nil"/>
              <w:bottom w:val="nil"/>
              <w:right w:val="nil"/>
            </w:tcBorders>
            <w:noWrap/>
            <w:vAlign w:val="bottom"/>
          </w:tcPr>
          <w:p w:rsidR="007311E3" w:rsidRPr="007311E3" w:rsidRDefault="007311E3" w:rsidP="003A2C0C">
            <w:pPr>
              <w:rPr>
                <w:color w:val="000000"/>
                <w:sz w:val="20"/>
                <w:szCs w:val="20"/>
                <w:lang w:val="es-GT" w:eastAsia="es-MX"/>
              </w:rPr>
            </w:pPr>
            <w:r w:rsidRPr="007311E3">
              <w:rPr>
                <w:color w:val="000000"/>
                <w:sz w:val="20"/>
                <w:szCs w:val="20"/>
                <w:lang w:val="es-GT" w:eastAsia="es-MX"/>
              </w:rPr>
              <w:t xml:space="preserve">¿Qué o cuáles son las situaciones/condiciones que no deben faltar/o garantizar para que propicie el </w:t>
            </w:r>
            <w:r w:rsidR="005F0DC3" w:rsidRPr="007311E3">
              <w:rPr>
                <w:color w:val="000000"/>
                <w:sz w:val="20"/>
                <w:szCs w:val="20"/>
                <w:lang w:val="es-GT" w:eastAsia="es-MX"/>
              </w:rPr>
              <w:t>Desarrollo Rural Integral</w:t>
            </w:r>
            <w:r w:rsidR="005F0DC3">
              <w:rPr>
                <w:color w:val="000000"/>
                <w:sz w:val="20"/>
                <w:szCs w:val="20"/>
                <w:lang w:val="es-GT" w:eastAsia="es-MX"/>
              </w:rPr>
              <w:t>?</w:t>
            </w:r>
          </w:p>
        </w:tc>
      </w:tr>
      <w:tr w:rsidR="007311E3" w:rsidRPr="000364C9" w:rsidTr="003A2C0C">
        <w:trPr>
          <w:trHeight w:val="150"/>
          <w:jc w:val="center"/>
        </w:trPr>
        <w:tc>
          <w:tcPr>
            <w:tcW w:w="13603" w:type="dxa"/>
            <w:gridSpan w:val="6"/>
            <w:tcBorders>
              <w:top w:val="nil"/>
              <w:left w:val="nil"/>
              <w:bottom w:val="nil"/>
              <w:right w:val="nil"/>
            </w:tcBorders>
            <w:noWrap/>
            <w:vAlign w:val="bottom"/>
          </w:tcPr>
          <w:p w:rsidR="007311E3" w:rsidRPr="007311E3" w:rsidRDefault="007311E3" w:rsidP="003A2C0C">
            <w:pPr>
              <w:rPr>
                <w:color w:val="000000"/>
                <w:sz w:val="20"/>
                <w:szCs w:val="20"/>
                <w:lang w:val="es-GT" w:eastAsia="es-MX"/>
              </w:rPr>
            </w:pPr>
          </w:p>
        </w:tc>
      </w:tr>
      <w:tr w:rsidR="007311E3" w:rsidRPr="000364C9" w:rsidTr="003A2C0C">
        <w:trPr>
          <w:trHeight w:val="615"/>
          <w:jc w:val="center"/>
        </w:trPr>
        <w:tc>
          <w:tcPr>
            <w:tcW w:w="5143" w:type="dxa"/>
            <w:gridSpan w:val="2"/>
            <w:tcBorders>
              <w:top w:val="single" w:sz="4" w:space="0" w:color="auto"/>
              <w:left w:val="single" w:sz="4" w:space="0" w:color="auto"/>
              <w:bottom w:val="single" w:sz="4" w:space="0" w:color="auto"/>
              <w:right w:val="single" w:sz="4" w:space="0" w:color="auto"/>
            </w:tcBorders>
            <w:shd w:val="clear" w:color="000000" w:fill="F2F2F2"/>
            <w:noWrap/>
            <w:vAlign w:val="center"/>
          </w:tcPr>
          <w:p w:rsidR="007311E3" w:rsidRPr="006E0C49" w:rsidRDefault="007311E3" w:rsidP="003A2C0C">
            <w:pPr>
              <w:rPr>
                <w:color w:val="000000"/>
                <w:sz w:val="20"/>
                <w:szCs w:val="20"/>
                <w:lang w:eastAsia="es-MX"/>
              </w:rPr>
            </w:pPr>
            <w:r w:rsidRPr="006E0C49">
              <w:rPr>
                <w:color w:val="000000"/>
                <w:sz w:val="20"/>
                <w:szCs w:val="20"/>
                <w:lang w:eastAsia="es-MX"/>
              </w:rPr>
              <w:t>S</w:t>
            </w:r>
            <w:r w:rsidR="005F0DC3" w:rsidRPr="006E0C49">
              <w:rPr>
                <w:color w:val="000000"/>
                <w:sz w:val="20"/>
                <w:szCs w:val="20"/>
                <w:lang w:eastAsia="es-MX"/>
              </w:rPr>
              <w:t>ocioeconómicos</w:t>
            </w:r>
          </w:p>
          <w:p w:rsidR="007311E3" w:rsidRPr="006E0C49" w:rsidRDefault="007311E3" w:rsidP="003A2C0C">
            <w:pPr>
              <w:rPr>
                <w:color w:val="000000"/>
                <w:sz w:val="20"/>
                <w:szCs w:val="20"/>
                <w:lang w:eastAsia="es-MX"/>
              </w:rPr>
            </w:pPr>
            <w:r w:rsidRPr="006E0C49">
              <w:rPr>
                <w:color w:val="000000"/>
                <w:sz w:val="20"/>
                <w:szCs w:val="20"/>
                <w:lang w:eastAsia="es-MX"/>
              </w:rPr>
              <w:t> </w:t>
            </w:r>
          </w:p>
        </w:tc>
        <w:tc>
          <w:tcPr>
            <w:tcW w:w="4840" w:type="dxa"/>
            <w:gridSpan w:val="3"/>
            <w:tcBorders>
              <w:top w:val="single" w:sz="4" w:space="0" w:color="auto"/>
              <w:left w:val="nil"/>
              <w:bottom w:val="single" w:sz="4" w:space="0" w:color="auto"/>
              <w:right w:val="single" w:sz="4" w:space="0" w:color="auto"/>
            </w:tcBorders>
            <w:vAlign w:val="center"/>
          </w:tcPr>
          <w:p w:rsidR="007311E3" w:rsidRPr="007311E3" w:rsidRDefault="005F0DC3" w:rsidP="005F0DC3">
            <w:pPr>
              <w:rPr>
                <w:color w:val="000000"/>
                <w:sz w:val="20"/>
                <w:szCs w:val="20"/>
                <w:lang w:val="es-GT" w:eastAsia="es-MX"/>
              </w:rPr>
            </w:pPr>
            <w:r>
              <w:rPr>
                <w:color w:val="000000"/>
                <w:sz w:val="20"/>
                <w:szCs w:val="20"/>
                <w:lang w:val="es-GT" w:eastAsia="es-MX"/>
              </w:rPr>
              <w:t>¿</w:t>
            </w:r>
            <w:r w:rsidR="007311E3" w:rsidRPr="007311E3">
              <w:rPr>
                <w:color w:val="000000"/>
                <w:sz w:val="20"/>
                <w:szCs w:val="20"/>
                <w:lang w:val="es-GT" w:eastAsia="es-MX"/>
              </w:rPr>
              <w:t>Qué o cuáles conoce o sabe que están implementadas ya, y por qui</w:t>
            </w:r>
            <w:r>
              <w:rPr>
                <w:color w:val="000000"/>
                <w:sz w:val="20"/>
                <w:szCs w:val="20"/>
                <w:lang w:val="es-GT" w:eastAsia="es-MX"/>
              </w:rPr>
              <w:t>é</w:t>
            </w:r>
            <w:r w:rsidR="007311E3" w:rsidRPr="007311E3">
              <w:rPr>
                <w:color w:val="000000"/>
                <w:sz w:val="20"/>
                <w:szCs w:val="20"/>
                <w:lang w:val="es-GT" w:eastAsia="es-MX"/>
              </w:rPr>
              <w:t>n</w:t>
            </w:r>
            <w:r>
              <w:rPr>
                <w:color w:val="000000"/>
                <w:sz w:val="20"/>
                <w:szCs w:val="20"/>
                <w:lang w:val="es-GT" w:eastAsia="es-MX"/>
              </w:rPr>
              <w:t>?</w:t>
            </w:r>
          </w:p>
        </w:tc>
        <w:tc>
          <w:tcPr>
            <w:tcW w:w="3620" w:type="dxa"/>
            <w:tcBorders>
              <w:top w:val="single" w:sz="4" w:space="0" w:color="auto"/>
              <w:left w:val="nil"/>
              <w:bottom w:val="single" w:sz="4" w:space="0" w:color="auto"/>
              <w:right w:val="single" w:sz="4" w:space="0" w:color="000000"/>
            </w:tcBorders>
            <w:vAlign w:val="center"/>
          </w:tcPr>
          <w:p w:rsidR="007311E3" w:rsidRPr="007311E3" w:rsidRDefault="005F0DC3" w:rsidP="003A2C0C">
            <w:pPr>
              <w:rPr>
                <w:color w:val="000000"/>
                <w:sz w:val="20"/>
                <w:szCs w:val="20"/>
                <w:lang w:val="es-GT" w:eastAsia="es-MX"/>
              </w:rPr>
            </w:pPr>
            <w:r>
              <w:rPr>
                <w:color w:val="000000"/>
                <w:sz w:val="20"/>
                <w:szCs w:val="20"/>
                <w:lang w:val="es-GT" w:eastAsia="es-MX"/>
              </w:rPr>
              <w:t>¿</w:t>
            </w:r>
            <w:r w:rsidR="007311E3" w:rsidRPr="007311E3">
              <w:rPr>
                <w:color w:val="000000"/>
                <w:sz w:val="20"/>
                <w:szCs w:val="20"/>
                <w:lang w:val="es-GT" w:eastAsia="es-MX"/>
              </w:rPr>
              <w:t>Cuál considera que es el grado de impacto actual en Guatemala</w:t>
            </w:r>
            <w:r>
              <w:rPr>
                <w:color w:val="000000"/>
                <w:sz w:val="20"/>
                <w:szCs w:val="20"/>
                <w:lang w:val="es-GT" w:eastAsia="es-MX"/>
              </w:rPr>
              <w:t>?</w:t>
            </w:r>
          </w:p>
        </w:tc>
      </w:tr>
      <w:tr w:rsidR="007311E3" w:rsidRPr="000364C9" w:rsidTr="003A2C0C">
        <w:trPr>
          <w:trHeight w:val="1417"/>
          <w:jc w:val="center"/>
        </w:trPr>
        <w:tc>
          <w:tcPr>
            <w:tcW w:w="5143" w:type="dxa"/>
            <w:gridSpan w:val="2"/>
            <w:tcBorders>
              <w:top w:val="single" w:sz="4" w:space="0" w:color="auto"/>
              <w:left w:val="single" w:sz="4" w:space="0" w:color="auto"/>
              <w:bottom w:val="single" w:sz="4" w:space="0" w:color="auto"/>
              <w:right w:val="single" w:sz="4" w:space="0" w:color="000000"/>
            </w:tcBorders>
          </w:tcPr>
          <w:p w:rsidR="007311E3" w:rsidRPr="007311E3" w:rsidRDefault="007311E3" w:rsidP="003A2C0C">
            <w:pPr>
              <w:rPr>
                <w:color w:val="000000"/>
                <w:sz w:val="20"/>
                <w:szCs w:val="20"/>
                <w:lang w:val="es-GT" w:eastAsia="es-MX"/>
              </w:rPr>
            </w:pPr>
            <w:r w:rsidRPr="007311E3">
              <w:rPr>
                <w:color w:val="000000"/>
                <w:sz w:val="20"/>
                <w:szCs w:val="20"/>
                <w:lang w:val="es-GT" w:eastAsia="es-MX"/>
              </w:rPr>
              <w:t> </w:t>
            </w:r>
          </w:p>
        </w:tc>
        <w:tc>
          <w:tcPr>
            <w:tcW w:w="4840" w:type="dxa"/>
            <w:gridSpan w:val="3"/>
            <w:tcBorders>
              <w:top w:val="single" w:sz="4" w:space="0" w:color="auto"/>
              <w:left w:val="nil"/>
              <w:bottom w:val="single" w:sz="4" w:space="0" w:color="auto"/>
              <w:right w:val="single" w:sz="4" w:space="0" w:color="000000"/>
            </w:tcBorders>
            <w:noWrap/>
          </w:tcPr>
          <w:p w:rsidR="007311E3" w:rsidRPr="007311E3" w:rsidRDefault="007311E3" w:rsidP="003A2C0C">
            <w:pPr>
              <w:rPr>
                <w:color w:val="000000"/>
                <w:sz w:val="20"/>
                <w:szCs w:val="20"/>
                <w:lang w:val="es-GT" w:eastAsia="es-MX"/>
              </w:rPr>
            </w:pPr>
            <w:r w:rsidRPr="007311E3">
              <w:rPr>
                <w:color w:val="000000"/>
                <w:sz w:val="20"/>
                <w:szCs w:val="20"/>
                <w:lang w:val="es-GT" w:eastAsia="es-MX"/>
              </w:rPr>
              <w:t> </w:t>
            </w:r>
          </w:p>
        </w:tc>
        <w:tc>
          <w:tcPr>
            <w:tcW w:w="3620" w:type="dxa"/>
            <w:tcBorders>
              <w:top w:val="single" w:sz="4" w:space="0" w:color="auto"/>
              <w:left w:val="nil"/>
              <w:bottom w:val="single" w:sz="4" w:space="0" w:color="auto"/>
              <w:right w:val="single" w:sz="4" w:space="0" w:color="000000"/>
            </w:tcBorders>
            <w:noWrap/>
          </w:tcPr>
          <w:p w:rsidR="007311E3" w:rsidRPr="007311E3" w:rsidRDefault="007311E3" w:rsidP="003A2C0C">
            <w:pPr>
              <w:rPr>
                <w:color w:val="000000"/>
                <w:sz w:val="20"/>
                <w:szCs w:val="20"/>
                <w:lang w:val="es-GT" w:eastAsia="es-MX"/>
              </w:rPr>
            </w:pPr>
            <w:r w:rsidRPr="007311E3">
              <w:rPr>
                <w:color w:val="000000"/>
                <w:sz w:val="20"/>
                <w:szCs w:val="20"/>
                <w:lang w:val="es-GT" w:eastAsia="es-MX"/>
              </w:rPr>
              <w:t> </w:t>
            </w:r>
          </w:p>
        </w:tc>
      </w:tr>
      <w:tr w:rsidR="007311E3" w:rsidRPr="000364C9" w:rsidTr="003A2C0C">
        <w:trPr>
          <w:trHeight w:val="188"/>
          <w:jc w:val="center"/>
        </w:trPr>
        <w:tc>
          <w:tcPr>
            <w:tcW w:w="13603" w:type="dxa"/>
            <w:gridSpan w:val="6"/>
            <w:tcBorders>
              <w:top w:val="nil"/>
              <w:left w:val="nil"/>
              <w:bottom w:val="nil"/>
              <w:right w:val="nil"/>
            </w:tcBorders>
            <w:noWrap/>
            <w:vAlign w:val="bottom"/>
          </w:tcPr>
          <w:p w:rsidR="007311E3" w:rsidRPr="007311E3" w:rsidRDefault="007311E3" w:rsidP="003A2C0C">
            <w:pPr>
              <w:rPr>
                <w:color w:val="000000"/>
                <w:sz w:val="20"/>
                <w:szCs w:val="20"/>
                <w:lang w:val="es-GT" w:eastAsia="es-MX"/>
              </w:rPr>
            </w:pPr>
          </w:p>
        </w:tc>
      </w:tr>
      <w:tr w:rsidR="007311E3" w:rsidRPr="00EE2528" w:rsidTr="003A2C0C">
        <w:trPr>
          <w:trHeight w:val="300"/>
          <w:jc w:val="center"/>
        </w:trPr>
        <w:tc>
          <w:tcPr>
            <w:tcW w:w="5143" w:type="dxa"/>
            <w:gridSpan w:val="2"/>
            <w:tcBorders>
              <w:top w:val="single" w:sz="4" w:space="0" w:color="auto"/>
              <w:left w:val="single" w:sz="4" w:space="0" w:color="auto"/>
              <w:bottom w:val="single" w:sz="4" w:space="0" w:color="auto"/>
              <w:right w:val="single" w:sz="4" w:space="0" w:color="auto"/>
            </w:tcBorders>
            <w:shd w:val="clear" w:color="000000" w:fill="F2F2F2"/>
            <w:noWrap/>
            <w:vAlign w:val="bottom"/>
          </w:tcPr>
          <w:p w:rsidR="007311E3" w:rsidRPr="006E0C49" w:rsidRDefault="007311E3" w:rsidP="003A2C0C">
            <w:pPr>
              <w:rPr>
                <w:color w:val="000000"/>
                <w:sz w:val="20"/>
                <w:szCs w:val="20"/>
                <w:lang w:eastAsia="es-MX"/>
              </w:rPr>
            </w:pPr>
            <w:r w:rsidRPr="006E0C49">
              <w:rPr>
                <w:color w:val="000000"/>
                <w:sz w:val="20"/>
                <w:szCs w:val="20"/>
                <w:lang w:eastAsia="es-MX"/>
              </w:rPr>
              <w:t>A</w:t>
            </w:r>
            <w:r w:rsidR="005F0DC3" w:rsidRPr="006E0C49">
              <w:rPr>
                <w:color w:val="000000"/>
                <w:sz w:val="20"/>
                <w:szCs w:val="20"/>
                <w:lang w:eastAsia="es-MX"/>
              </w:rPr>
              <w:t>mbientales</w:t>
            </w:r>
          </w:p>
        </w:tc>
        <w:tc>
          <w:tcPr>
            <w:tcW w:w="4840" w:type="dxa"/>
            <w:gridSpan w:val="3"/>
            <w:vMerge w:val="restart"/>
            <w:tcBorders>
              <w:top w:val="single" w:sz="4" w:space="0" w:color="auto"/>
              <w:left w:val="single" w:sz="4" w:space="0" w:color="auto"/>
              <w:bottom w:val="single" w:sz="4" w:space="0" w:color="000000"/>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c>
          <w:tcPr>
            <w:tcW w:w="3620" w:type="dxa"/>
            <w:vMerge w:val="restart"/>
            <w:tcBorders>
              <w:top w:val="single" w:sz="4" w:space="0" w:color="auto"/>
              <w:left w:val="single" w:sz="4" w:space="0" w:color="auto"/>
              <w:bottom w:val="single" w:sz="4" w:space="0" w:color="000000"/>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r>
      <w:tr w:rsidR="007311E3" w:rsidRPr="00EE2528" w:rsidTr="003A2C0C">
        <w:trPr>
          <w:trHeight w:val="1417"/>
          <w:jc w:val="center"/>
        </w:trPr>
        <w:tc>
          <w:tcPr>
            <w:tcW w:w="5143" w:type="dxa"/>
            <w:gridSpan w:val="2"/>
            <w:tcBorders>
              <w:top w:val="single" w:sz="4" w:space="0" w:color="auto"/>
              <w:left w:val="single" w:sz="4" w:space="0" w:color="auto"/>
              <w:bottom w:val="single" w:sz="4" w:space="0" w:color="auto"/>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c>
          <w:tcPr>
            <w:tcW w:w="4840" w:type="dxa"/>
            <w:gridSpan w:val="3"/>
            <w:vMerge/>
            <w:tcBorders>
              <w:top w:val="single" w:sz="4" w:space="0" w:color="auto"/>
              <w:left w:val="single" w:sz="4" w:space="0" w:color="auto"/>
              <w:bottom w:val="single" w:sz="4" w:space="0" w:color="000000"/>
              <w:right w:val="single" w:sz="4" w:space="0" w:color="000000"/>
            </w:tcBorders>
            <w:vAlign w:val="center"/>
          </w:tcPr>
          <w:p w:rsidR="007311E3" w:rsidRPr="006E0C49" w:rsidRDefault="007311E3" w:rsidP="003A2C0C">
            <w:pPr>
              <w:rPr>
                <w:color w:val="000000"/>
                <w:sz w:val="20"/>
                <w:szCs w:val="20"/>
                <w:lang w:eastAsia="es-MX"/>
              </w:rPr>
            </w:pPr>
          </w:p>
        </w:tc>
        <w:tc>
          <w:tcPr>
            <w:tcW w:w="3620" w:type="dxa"/>
            <w:vMerge/>
            <w:tcBorders>
              <w:top w:val="single" w:sz="4" w:space="0" w:color="auto"/>
              <w:left w:val="single" w:sz="4" w:space="0" w:color="auto"/>
              <w:bottom w:val="single" w:sz="4" w:space="0" w:color="000000"/>
              <w:right w:val="single" w:sz="4" w:space="0" w:color="000000"/>
            </w:tcBorders>
            <w:vAlign w:val="center"/>
          </w:tcPr>
          <w:p w:rsidR="007311E3" w:rsidRPr="006E0C49" w:rsidRDefault="007311E3" w:rsidP="003A2C0C">
            <w:pPr>
              <w:rPr>
                <w:color w:val="000000"/>
                <w:sz w:val="20"/>
                <w:szCs w:val="20"/>
                <w:lang w:eastAsia="es-MX"/>
              </w:rPr>
            </w:pPr>
          </w:p>
        </w:tc>
      </w:tr>
      <w:tr w:rsidR="007311E3" w:rsidRPr="00EE2528" w:rsidTr="003A2C0C">
        <w:trPr>
          <w:trHeight w:val="188"/>
          <w:jc w:val="center"/>
        </w:trPr>
        <w:tc>
          <w:tcPr>
            <w:tcW w:w="13603" w:type="dxa"/>
            <w:gridSpan w:val="6"/>
            <w:tcBorders>
              <w:top w:val="nil"/>
              <w:left w:val="nil"/>
              <w:bottom w:val="nil"/>
              <w:right w:val="nil"/>
            </w:tcBorders>
            <w:noWrap/>
            <w:vAlign w:val="bottom"/>
          </w:tcPr>
          <w:p w:rsidR="007311E3" w:rsidRPr="006E0C49" w:rsidRDefault="007311E3" w:rsidP="003A2C0C">
            <w:pPr>
              <w:rPr>
                <w:color w:val="000000"/>
                <w:sz w:val="20"/>
                <w:szCs w:val="20"/>
                <w:lang w:eastAsia="es-MX"/>
              </w:rPr>
            </w:pPr>
          </w:p>
        </w:tc>
      </w:tr>
      <w:tr w:rsidR="007311E3" w:rsidRPr="00EE2528" w:rsidTr="003A2C0C">
        <w:trPr>
          <w:trHeight w:val="300"/>
          <w:jc w:val="center"/>
        </w:trPr>
        <w:tc>
          <w:tcPr>
            <w:tcW w:w="5143" w:type="dxa"/>
            <w:gridSpan w:val="2"/>
            <w:tcBorders>
              <w:top w:val="single" w:sz="4" w:space="0" w:color="auto"/>
              <w:left w:val="single" w:sz="4" w:space="0" w:color="auto"/>
              <w:bottom w:val="single" w:sz="4" w:space="0" w:color="auto"/>
              <w:right w:val="single" w:sz="4" w:space="0" w:color="auto"/>
            </w:tcBorders>
            <w:shd w:val="clear" w:color="000000" w:fill="F2F2F2"/>
            <w:noWrap/>
            <w:vAlign w:val="bottom"/>
          </w:tcPr>
          <w:p w:rsidR="007311E3" w:rsidRPr="006E0C49" w:rsidRDefault="007311E3" w:rsidP="003A2C0C">
            <w:pPr>
              <w:rPr>
                <w:color w:val="000000"/>
                <w:sz w:val="20"/>
                <w:szCs w:val="20"/>
                <w:lang w:eastAsia="es-MX"/>
              </w:rPr>
            </w:pPr>
            <w:r w:rsidRPr="006E0C49">
              <w:rPr>
                <w:color w:val="000000"/>
                <w:sz w:val="20"/>
                <w:szCs w:val="20"/>
                <w:lang w:eastAsia="es-MX"/>
              </w:rPr>
              <w:t>P</w:t>
            </w:r>
            <w:r w:rsidR="005F0DC3" w:rsidRPr="006E0C49">
              <w:rPr>
                <w:color w:val="000000"/>
                <w:sz w:val="20"/>
                <w:szCs w:val="20"/>
                <w:lang w:eastAsia="es-MX"/>
              </w:rPr>
              <w:t>olítico-institucionales</w:t>
            </w:r>
          </w:p>
        </w:tc>
        <w:tc>
          <w:tcPr>
            <w:tcW w:w="4840" w:type="dxa"/>
            <w:gridSpan w:val="3"/>
            <w:vMerge w:val="restart"/>
            <w:tcBorders>
              <w:top w:val="single" w:sz="4" w:space="0" w:color="auto"/>
              <w:left w:val="single" w:sz="4" w:space="0" w:color="auto"/>
              <w:bottom w:val="single" w:sz="4" w:space="0" w:color="000000"/>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c>
          <w:tcPr>
            <w:tcW w:w="3620" w:type="dxa"/>
            <w:vMerge w:val="restart"/>
            <w:tcBorders>
              <w:top w:val="single" w:sz="4" w:space="0" w:color="auto"/>
              <w:left w:val="single" w:sz="4" w:space="0" w:color="auto"/>
              <w:bottom w:val="single" w:sz="4" w:space="0" w:color="000000"/>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r>
      <w:tr w:rsidR="007311E3" w:rsidRPr="00EE2528" w:rsidTr="003A2C0C">
        <w:trPr>
          <w:trHeight w:val="1361"/>
          <w:jc w:val="center"/>
        </w:trPr>
        <w:tc>
          <w:tcPr>
            <w:tcW w:w="5143" w:type="dxa"/>
            <w:gridSpan w:val="2"/>
            <w:tcBorders>
              <w:top w:val="single" w:sz="4" w:space="0" w:color="auto"/>
              <w:left w:val="single" w:sz="4" w:space="0" w:color="auto"/>
              <w:bottom w:val="single" w:sz="4" w:space="0" w:color="auto"/>
              <w:right w:val="single" w:sz="4" w:space="0" w:color="000000"/>
            </w:tcBorders>
            <w:noWrap/>
          </w:tcPr>
          <w:p w:rsidR="007311E3" w:rsidRPr="006E0C49" w:rsidRDefault="007311E3" w:rsidP="003A2C0C">
            <w:pPr>
              <w:rPr>
                <w:color w:val="000000"/>
                <w:sz w:val="20"/>
                <w:szCs w:val="20"/>
                <w:lang w:eastAsia="es-MX"/>
              </w:rPr>
            </w:pPr>
            <w:r w:rsidRPr="006E0C49">
              <w:rPr>
                <w:color w:val="000000"/>
                <w:sz w:val="20"/>
                <w:szCs w:val="20"/>
                <w:lang w:eastAsia="es-MX"/>
              </w:rPr>
              <w:t> </w:t>
            </w:r>
          </w:p>
        </w:tc>
        <w:tc>
          <w:tcPr>
            <w:tcW w:w="4840" w:type="dxa"/>
            <w:gridSpan w:val="3"/>
            <w:vMerge/>
            <w:tcBorders>
              <w:top w:val="single" w:sz="4" w:space="0" w:color="auto"/>
              <w:left w:val="single" w:sz="4" w:space="0" w:color="auto"/>
              <w:bottom w:val="single" w:sz="4" w:space="0" w:color="000000"/>
              <w:right w:val="single" w:sz="4" w:space="0" w:color="000000"/>
            </w:tcBorders>
            <w:vAlign w:val="center"/>
          </w:tcPr>
          <w:p w:rsidR="007311E3" w:rsidRPr="006E0C49" w:rsidRDefault="007311E3" w:rsidP="003A2C0C">
            <w:pPr>
              <w:rPr>
                <w:color w:val="000000"/>
                <w:sz w:val="20"/>
                <w:szCs w:val="20"/>
                <w:lang w:eastAsia="es-MX"/>
              </w:rPr>
            </w:pPr>
          </w:p>
        </w:tc>
        <w:tc>
          <w:tcPr>
            <w:tcW w:w="3620" w:type="dxa"/>
            <w:vMerge/>
            <w:tcBorders>
              <w:top w:val="single" w:sz="4" w:space="0" w:color="auto"/>
              <w:left w:val="single" w:sz="4" w:space="0" w:color="auto"/>
              <w:bottom w:val="single" w:sz="4" w:space="0" w:color="000000"/>
              <w:right w:val="single" w:sz="4" w:space="0" w:color="000000"/>
            </w:tcBorders>
            <w:vAlign w:val="center"/>
          </w:tcPr>
          <w:p w:rsidR="007311E3" w:rsidRPr="006E0C49" w:rsidRDefault="007311E3" w:rsidP="003A2C0C">
            <w:pPr>
              <w:rPr>
                <w:color w:val="000000"/>
                <w:sz w:val="20"/>
                <w:szCs w:val="20"/>
                <w:lang w:eastAsia="es-MX"/>
              </w:rPr>
            </w:pPr>
          </w:p>
        </w:tc>
      </w:tr>
      <w:tr w:rsidR="007311E3" w:rsidRPr="000364C9" w:rsidTr="003A2C0C">
        <w:trPr>
          <w:trHeight w:val="300"/>
          <w:jc w:val="center"/>
        </w:trPr>
        <w:tc>
          <w:tcPr>
            <w:tcW w:w="13600" w:type="dxa"/>
            <w:gridSpan w:val="6"/>
            <w:tcBorders>
              <w:top w:val="nil"/>
              <w:left w:val="nil"/>
              <w:bottom w:val="nil"/>
              <w:right w:val="nil"/>
            </w:tcBorders>
            <w:noWrap/>
            <w:vAlign w:val="bottom"/>
          </w:tcPr>
          <w:p w:rsidR="007311E3" w:rsidRDefault="007311E3" w:rsidP="003A2C0C">
            <w:pPr>
              <w:rPr>
                <w:b/>
                <w:bCs/>
                <w:color w:val="000000"/>
                <w:lang w:val="es-GT" w:eastAsia="es-MX"/>
              </w:rPr>
            </w:pPr>
          </w:p>
          <w:p w:rsidR="007311E3" w:rsidRDefault="007311E3" w:rsidP="003A2C0C">
            <w:pPr>
              <w:rPr>
                <w:b/>
                <w:bCs/>
                <w:color w:val="000000"/>
                <w:lang w:val="es-GT" w:eastAsia="es-MX"/>
              </w:rPr>
            </w:pPr>
          </w:p>
          <w:p w:rsidR="007311E3" w:rsidRDefault="007311E3" w:rsidP="003A2C0C">
            <w:pPr>
              <w:rPr>
                <w:b/>
                <w:bCs/>
                <w:color w:val="000000"/>
                <w:lang w:val="es-GT" w:eastAsia="es-MX"/>
              </w:rPr>
            </w:pPr>
          </w:p>
          <w:p w:rsidR="007311E3" w:rsidRDefault="007311E3" w:rsidP="003A2C0C">
            <w:pPr>
              <w:rPr>
                <w:b/>
                <w:bCs/>
                <w:color w:val="000000"/>
                <w:lang w:val="es-GT" w:eastAsia="es-MX"/>
              </w:rPr>
            </w:pPr>
          </w:p>
          <w:p w:rsidR="007311E3" w:rsidRPr="007311E3" w:rsidRDefault="007311E3" w:rsidP="003A2C0C">
            <w:pPr>
              <w:rPr>
                <w:color w:val="000000"/>
                <w:lang w:val="es-GT" w:eastAsia="es-MX"/>
              </w:rPr>
            </w:pPr>
            <w:r w:rsidRPr="007311E3">
              <w:rPr>
                <w:b/>
                <w:bCs/>
                <w:color w:val="000000"/>
                <w:lang w:val="es-GT" w:eastAsia="es-MX"/>
              </w:rPr>
              <w:lastRenderedPageBreak/>
              <w:t>Sección 2.</w:t>
            </w:r>
            <w:r w:rsidR="00141A70">
              <w:rPr>
                <w:b/>
                <w:bCs/>
                <w:color w:val="000000"/>
                <w:lang w:val="es-GT" w:eastAsia="es-MX"/>
              </w:rPr>
              <w:t xml:space="preserve"> </w:t>
            </w:r>
            <w:r w:rsidRPr="007311E3">
              <w:rPr>
                <w:b/>
                <w:bCs/>
                <w:color w:val="000000"/>
                <w:lang w:val="es-GT" w:eastAsia="es-MX"/>
              </w:rPr>
              <w:t>Evaluación de la aplicabilidad de la EAE en Guatemala</w:t>
            </w:r>
          </w:p>
        </w:tc>
      </w:tr>
      <w:tr w:rsidR="007311E3" w:rsidRPr="000364C9" w:rsidTr="003A2C0C">
        <w:trPr>
          <w:trHeight w:val="137"/>
          <w:jc w:val="center"/>
        </w:trPr>
        <w:tc>
          <w:tcPr>
            <w:tcW w:w="13600" w:type="dxa"/>
            <w:gridSpan w:val="6"/>
            <w:tcBorders>
              <w:top w:val="nil"/>
              <w:left w:val="nil"/>
              <w:bottom w:val="nil"/>
              <w:right w:val="nil"/>
            </w:tcBorders>
            <w:noWrap/>
            <w:vAlign w:val="bottom"/>
          </w:tcPr>
          <w:p w:rsidR="007311E3" w:rsidRPr="007311E3" w:rsidRDefault="007311E3" w:rsidP="003A2C0C">
            <w:pPr>
              <w:rPr>
                <w:color w:val="000000"/>
                <w:lang w:val="es-GT" w:eastAsia="es-MX"/>
              </w:rPr>
            </w:pPr>
          </w:p>
        </w:tc>
      </w:tr>
      <w:tr w:rsidR="007311E3" w:rsidRPr="00EE2528" w:rsidTr="003A2C0C">
        <w:trPr>
          <w:trHeight w:val="300"/>
          <w:jc w:val="center"/>
        </w:trPr>
        <w:tc>
          <w:tcPr>
            <w:tcW w:w="5140" w:type="dxa"/>
            <w:gridSpan w:val="2"/>
            <w:tcBorders>
              <w:top w:val="single" w:sz="4" w:space="0" w:color="auto"/>
              <w:left w:val="single" w:sz="4" w:space="0" w:color="auto"/>
              <w:bottom w:val="single" w:sz="4" w:space="0" w:color="auto"/>
              <w:right w:val="nil"/>
            </w:tcBorders>
            <w:noWrap/>
            <w:vAlign w:val="bottom"/>
          </w:tcPr>
          <w:p w:rsidR="007311E3" w:rsidRPr="007311E3" w:rsidRDefault="005F0DC3" w:rsidP="003A2C0C">
            <w:pPr>
              <w:rPr>
                <w:color w:val="000000"/>
                <w:lang w:val="es-GT" w:eastAsia="es-MX"/>
              </w:rPr>
            </w:pPr>
            <w:r>
              <w:rPr>
                <w:color w:val="000000"/>
                <w:lang w:val="es-GT" w:eastAsia="es-MX"/>
              </w:rPr>
              <w:t>¿</w:t>
            </w:r>
            <w:r w:rsidR="007311E3" w:rsidRPr="007311E3">
              <w:rPr>
                <w:color w:val="000000"/>
                <w:lang w:val="es-GT" w:eastAsia="es-MX"/>
              </w:rPr>
              <w:t>Sabe que es una Evaluación Estratégica Ambiental?</w:t>
            </w:r>
          </w:p>
        </w:tc>
        <w:tc>
          <w:tcPr>
            <w:tcW w:w="1200" w:type="dxa"/>
            <w:tcBorders>
              <w:top w:val="single" w:sz="4" w:space="0" w:color="auto"/>
              <w:left w:val="single" w:sz="4" w:space="0" w:color="auto"/>
              <w:bottom w:val="single" w:sz="4" w:space="0" w:color="auto"/>
              <w:right w:val="single" w:sz="4" w:space="0" w:color="auto"/>
            </w:tcBorders>
            <w:noWrap/>
            <w:vAlign w:val="bottom"/>
          </w:tcPr>
          <w:p w:rsidR="007311E3" w:rsidRPr="006E0C49" w:rsidRDefault="005F0DC3" w:rsidP="003A2C0C">
            <w:pPr>
              <w:jc w:val="center"/>
              <w:rPr>
                <w:color w:val="000000"/>
                <w:lang w:eastAsia="es-MX"/>
              </w:rPr>
            </w:pPr>
            <w:r>
              <w:rPr>
                <w:color w:val="000000"/>
                <w:lang w:eastAsia="es-MX"/>
              </w:rPr>
              <w:t>Sí</w:t>
            </w:r>
          </w:p>
        </w:tc>
        <w:tc>
          <w:tcPr>
            <w:tcW w:w="2440" w:type="dxa"/>
            <w:tcBorders>
              <w:top w:val="single" w:sz="4" w:space="0" w:color="auto"/>
              <w:left w:val="nil"/>
              <w:bottom w:val="single" w:sz="4" w:space="0" w:color="auto"/>
              <w:right w:val="single" w:sz="4" w:space="0" w:color="auto"/>
            </w:tcBorders>
            <w:noWrap/>
            <w:vAlign w:val="bottom"/>
          </w:tcPr>
          <w:p w:rsidR="007311E3" w:rsidRPr="006E0C49" w:rsidRDefault="007311E3" w:rsidP="003A2C0C">
            <w:pPr>
              <w:rPr>
                <w:color w:val="000000"/>
                <w:lang w:eastAsia="es-MX"/>
              </w:rPr>
            </w:pPr>
            <w:r w:rsidRPr="006E0C49">
              <w:rPr>
                <w:color w:val="000000"/>
                <w:lang w:eastAsia="es-MX"/>
              </w:rPr>
              <w:t> </w:t>
            </w:r>
          </w:p>
        </w:tc>
        <w:tc>
          <w:tcPr>
            <w:tcW w:w="4820" w:type="dxa"/>
            <w:gridSpan w:val="2"/>
            <w:tcBorders>
              <w:top w:val="single" w:sz="4" w:space="0" w:color="auto"/>
              <w:left w:val="nil"/>
              <w:bottom w:val="single" w:sz="4" w:space="0" w:color="auto"/>
              <w:right w:val="single" w:sz="4" w:space="0" w:color="auto"/>
            </w:tcBorders>
            <w:noWrap/>
            <w:vAlign w:val="bottom"/>
          </w:tcPr>
          <w:p w:rsidR="007311E3" w:rsidRPr="006E0C49" w:rsidRDefault="007311E3" w:rsidP="003A2C0C">
            <w:pPr>
              <w:rPr>
                <w:color w:val="000000"/>
                <w:lang w:eastAsia="es-MX"/>
              </w:rPr>
            </w:pPr>
          </w:p>
        </w:tc>
      </w:tr>
      <w:tr w:rsidR="007311E3" w:rsidRPr="00EE2528" w:rsidTr="003A2C0C">
        <w:trPr>
          <w:trHeight w:val="300"/>
          <w:jc w:val="center"/>
        </w:trPr>
        <w:tc>
          <w:tcPr>
            <w:tcW w:w="5140" w:type="dxa"/>
            <w:gridSpan w:val="2"/>
            <w:tcBorders>
              <w:top w:val="nil"/>
              <w:left w:val="single" w:sz="4" w:space="0" w:color="auto"/>
              <w:bottom w:val="nil"/>
              <w:right w:val="nil"/>
            </w:tcBorders>
            <w:noWrap/>
            <w:vAlign w:val="bottom"/>
          </w:tcPr>
          <w:p w:rsidR="007311E3" w:rsidRPr="006E0C49" w:rsidRDefault="007311E3" w:rsidP="003A2C0C">
            <w:pPr>
              <w:rPr>
                <w:color w:val="000000"/>
                <w:lang w:eastAsia="es-MX"/>
              </w:rPr>
            </w:pPr>
            <w:r w:rsidRPr="006E0C49">
              <w:rPr>
                <w:color w:val="000000"/>
                <w:lang w:eastAsia="es-MX"/>
              </w:rPr>
              <w:t> </w:t>
            </w:r>
          </w:p>
        </w:tc>
        <w:tc>
          <w:tcPr>
            <w:tcW w:w="1200" w:type="dxa"/>
            <w:tcBorders>
              <w:top w:val="nil"/>
              <w:left w:val="single" w:sz="4" w:space="0" w:color="auto"/>
              <w:bottom w:val="single" w:sz="4" w:space="0" w:color="auto"/>
              <w:right w:val="single" w:sz="4" w:space="0" w:color="auto"/>
            </w:tcBorders>
            <w:noWrap/>
            <w:vAlign w:val="bottom"/>
          </w:tcPr>
          <w:p w:rsidR="007311E3" w:rsidRPr="006E0C49" w:rsidRDefault="007311E3" w:rsidP="003A2C0C">
            <w:pPr>
              <w:jc w:val="center"/>
              <w:rPr>
                <w:color w:val="000000"/>
                <w:lang w:eastAsia="es-MX"/>
              </w:rPr>
            </w:pPr>
            <w:r w:rsidRPr="006E0C49">
              <w:rPr>
                <w:color w:val="000000"/>
                <w:lang w:eastAsia="es-MX"/>
              </w:rPr>
              <w:t>No</w:t>
            </w:r>
          </w:p>
        </w:tc>
        <w:tc>
          <w:tcPr>
            <w:tcW w:w="2440" w:type="dxa"/>
            <w:tcBorders>
              <w:top w:val="nil"/>
              <w:left w:val="nil"/>
              <w:bottom w:val="single" w:sz="4" w:space="0" w:color="auto"/>
              <w:right w:val="single" w:sz="4" w:space="0" w:color="auto"/>
            </w:tcBorders>
            <w:noWrap/>
            <w:vAlign w:val="bottom"/>
          </w:tcPr>
          <w:p w:rsidR="007311E3" w:rsidRPr="006E0C49" w:rsidRDefault="007311E3" w:rsidP="003A2C0C">
            <w:pPr>
              <w:rPr>
                <w:color w:val="000000"/>
                <w:lang w:eastAsia="es-MX"/>
              </w:rPr>
            </w:pPr>
            <w:r w:rsidRPr="006E0C49">
              <w:rPr>
                <w:color w:val="000000"/>
                <w:lang w:eastAsia="es-MX"/>
              </w:rPr>
              <w:t> </w:t>
            </w:r>
          </w:p>
        </w:tc>
        <w:tc>
          <w:tcPr>
            <w:tcW w:w="4820" w:type="dxa"/>
            <w:gridSpan w:val="2"/>
            <w:tcBorders>
              <w:top w:val="nil"/>
              <w:left w:val="nil"/>
              <w:bottom w:val="nil"/>
              <w:right w:val="single" w:sz="4" w:space="0" w:color="auto"/>
            </w:tcBorders>
            <w:noWrap/>
            <w:vAlign w:val="bottom"/>
          </w:tcPr>
          <w:p w:rsidR="007311E3" w:rsidRPr="006E0C49" w:rsidRDefault="007311E3" w:rsidP="003A2C0C">
            <w:pPr>
              <w:rPr>
                <w:color w:val="000000"/>
                <w:lang w:eastAsia="es-MX"/>
              </w:rPr>
            </w:pPr>
            <w:r w:rsidRPr="006E0C49">
              <w:rPr>
                <w:color w:val="000000"/>
                <w:lang w:eastAsia="es-MX"/>
              </w:rPr>
              <w:t> </w:t>
            </w:r>
          </w:p>
        </w:tc>
      </w:tr>
      <w:tr w:rsidR="007311E3" w:rsidRPr="000364C9" w:rsidTr="003A2C0C">
        <w:trPr>
          <w:trHeight w:val="300"/>
          <w:jc w:val="center"/>
        </w:trPr>
        <w:tc>
          <w:tcPr>
            <w:tcW w:w="5140" w:type="dxa"/>
            <w:gridSpan w:val="2"/>
            <w:tcBorders>
              <w:top w:val="nil"/>
              <w:left w:val="single" w:sz="4" w:space="0" w:color="auto"/>
              <w:bottom w:val="nil"/>
              <w:right w:val="nil"/>
            </w:tcBorders>
            <w:noWrap/>
            <w:vAlign w:val="bottom"/>
          </w:tcPr>
          <w:p w:rsidR="007311E3" w:rsidRPr="007311E3" w:rsidRDefault="007311E3" w:rsidP="005F0DC3">
            <w:pPr>
              <w:rPr>
                <w:color w:val="000000"/>
                <w:lang w:val="es-GT" w:eastAsia="es-MX"/>
              </w:rPr>
            </w:pPr>
            <w:r w:rsidRPr="007311E3">
              <w:rPr>
                <w:color w:val="000000"/>
                <w:lang w:val="es-GT" w:eastAsia="es-MX"/>
              </w:rPr>
              <w:t xml:space="preserve"> Identifique los alcances considera que tiene</w:t>
            </w:r>
            <w:r w:rsidR="005F0DC3">
              <w:rPr>
                <w:color w:val="000000"/>
                <w:lang w:val="es-GT" w:eastAsia="es-MX"/>
              </w:rPr>
              <w:t>:</w:t>
            </w:r>
          </w:p>
        </w:tc>
        <w:tc>
          <w:tcPr>
            <w:tcW w:w="1200" w:type="dxa"/>
            <w:tcBorders>
              <w:top w:val="nil"/>
              <w:left w:val="nil"/>
              <w:bottom w:val="nil"/>
              <w:right w:val="nil"/>
            </w:tcBorders>
            <w:noWrap/>
            <w:vAlign w:val="bottom"/>
          </w:tcPr>
          <w:p w:rsidR="007311E3" w:rsidRPr="007311E3" w:rsidRDefault="007311E3" w:rsidP="003A2C0C">
            <w:pPr>
              <w:rPr>
                <w:color w:val="000000"/>
                <w:lang w:val="es-GT" w:eastAsia="es-MX"/>
              </w:rPr>
            </w:pPr>
          </w:p>
        </w:tc>
        <w:tc>
          <w:tcPr>
            <w:tcW w:w="2440" w:type="dxa"/>
            <w:tcBorders>
              <w:top w:val="nil"/>
              <w:left w:val="nil"/>
              <w:bottom w:val="nil"/>
              <w:right w:val="nil"/>
            </w:tcBorders>
            <w:noWrap/>
            <w:vAlign w:val="bottom"/>
          </w:tcPr>
          <w:p w:rsidR="007311E3" w:rsidRPr="007311E3" w:rsidRDefault="007311E3" w:rsidP="003A2C0C">
            <w:pPr>
              <w:rPr>
                <w:color w:val="000000"/>
                <w:lang w:val="es-GT" w:eastAsia="es-MX"/>
              </w:rPr>
            </w:pPr>
          </w:p>
        </w:tc>
        <w:tc>
          <w:tcPr>
            <w:tcW w:w="4820" w:type="dxa"/>
            <w:gridSpan w:val="2"/>
            <w:tcBorders>
              <w:top w:val="nil"/>
              <w:left w:val="nil"/>
              <w:bottom w:val="nil"/>
              <w:right w:val="single" w:sz="4" w:space="0" w:color="auto"/>
            </w:tcBorders>
            <w:noWrap/>
            <w:vAlign w:val="bottom"/>
          </w:tcPr>
          <w:p w:rsidR="007311E3" w:rsidRPr="007311E3" w:rsidRDefault="007311E3" w:rsidP="003A2C0C">
            <w:pPr>
              <w:rPr>
                <w:color w:val="000000"/>
                <w:lang w:val="es-GT" w:eastAsia="es-MX"/>
              </w:rPr>
            </w:pPr>
            <w:r w:rsidRPr="007311E3">
              <w:rPr>
                <w:color w:val="000000"/>
                <w:lang w:val="es-GT" w:eastAsia="es-MX"/>
              </w:rPr>
              <w:t> </w:t>
            </w:r>
          </w:p>
        </w:tc>
      </w:tr>
      <w:tr w:rsidR="007311E3" w:rsidRPr="000364C9" w:rsidTr="003A2C0C">
        <w:trPr>
          <w:trHeight w:val="300"/>
          <w:jc w:val="center"/>
        </w:trPr>
        <w:tc>
          <w:tcPr>
            <w:tcW w:w="13600" w:type="dxa"/>
            <w:gridSpan w:val="6"/>
            <w:vMerge w:val="restart"/>
            <w:tcBorders>
              <w:top w:val="nil"/>
              <w:left w:val="single" w:sz="4" w:space="0" w:color="auto"/>
              <w:bottom w:val="single" w:sz="4" w:space="0" w:color="000000"/>
              <w:right w:val="single" w:sz="4" w:space="0" w:color="000000"/>
            </w:tcBorders>
            <w:noWrap/>
          </w:tcPr>
          <w:p w:rsidR="007311E3" w:rsidRPr="007311E3" w:rsidRDefault="007311E3" w:rsidP="003A2C0C">
            <w:pPr>
              <w:rPr>
                <w:color w:val="000000"/>
                <w:lang w:val="es-GT" w:eastAsia="es-MX"/>
              </w:rPr>
            </w:pPr>
          </w:p>
        </w:tc>
      </w:tr>
      <w:tr w:rsidR="007311E3" w:rsidRPr="000364C9" w:rsidTr="003A2C0C">
        <w:trPr>
          <w:trHeight w:val="300"/>
          <w:jc w:val="center"/>
        </w:trPr>
        <w:tc>
          <w:tcPr>
            <w:tcW w:w="13600" w:type="dxa"/>
            <w:gridSpan w:val="6"/>
            <w:vMerge/>
            <w:tcBorders>
              <w:top w:val="nil"/>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300"/>
          <w:jc w:val="center"/>
        </w:trPr>
        <w:tc>
          <w:tcPr>
            <w:tcW w:w="13600" w:type="dxa"/>
            <w:gridSpan w:val="6"/>
            <w:vMerge/>
            <w:tcBorders>
              <w:top w:val="nil"/>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180"/>
          <w:jc w:val="center"/>
        </w:trPr>
        <w:tc>
          <w:tcPr>
            <w:tcW w:w="13600" w:type="dxa"/>
            <w:gridSpan w:val="6"/>
            <w:tcBorders>
              <w:top w:val="nil"/>
              <w:left w:val="nil"/>
              <w:bottom w:val="nil"/>
              <w:right w:val="nil"/>
            </w:tcBorders>
            <w:noWrap/>
            <w:vAlign w:val="bottom"/>
          </w:tcPr>
          <w:p w:rsidR="007311E3" w:rsidRPr="007311E3" w:rsidRDefault="007311E3" w:rsidP="003A2C0C">
            <w:pPr>
              <w:rPr>
                <w:color w:val="000000"/>
                <w:lang w:val="es-GT" w:eastAsia="es-MX"/>
              </w:rPr>
            </w:pPr>
          </w:p>
        </w:tc>
      </w:tr>
      <w:tr w:rsidR="007311E3" w:rsidRPr="000364C9" w:rsidTr="003A2C0C">
        <w:trPr>
          <w:trHeight w:val="300"/>
          <w:jc w:val="center"/>
        </w:trPr>
        <w:tc>
          <w:tcPr>
            <w:tcW w:w="8780" w:type="dxa"/>
            <w:gridSpan w:val="4"/>
            <w:tcBorders>
              <w:top w:val="single" w:sz="4" w:space="0" w:color="auto"/>
              <w:left w:val="single" w:sz="4" w:space="0" w:color="auto"/>
              <w:bottom w:val="single" w:sz="4" w:space="0" w:color="auto"/>
              <w:right w:val="nil"/>
            </w:tcBorders>
            <w:noWrap/>
            <w:vAlign w:val="bottom"/>
          </w:tcPr>
          <w:p w:rsidR="007311E3" w:rsidRPr="007311E3" w:rsidRDefault="005F0DC3" w:rsidP="003A2C0C">
            <w:pPr>
              <w:rPr>
                <w:color w:val="000000"/>
                <w:lang w:val="es-GT" w:eastAsia="es-MX"/>
              </w:rPr>
            </w:pPr>
            <w:r>
              <w:rPr>
                <w:color w:val="000000"/>
                <w:lang w:val="es-GT" w:eastAsia="es-MX"/>
              </w:rPr>
              <w:t>¿Cuá</w:t>
            </w:r>
            <w:r w:rsidR="007311E3" w:rsidRPr="007311E3">
              <w:rPr>
                <w:color w:val="000000"/>
                <w:lang w:val="es-GT" w:eastAsia="es-MX"/>
              </w:rPr>
              <w:t>l podría ser el campo y potencial de aplicabilidad de la EAE en el ámbito de trabajo de su organización?</w:t>
            </w:r>
          </w:p>
        </w:tc>
        <w:tc>
          <w:tcPr>
            <w:tcW w:w="4820" w:type="dxa"/>
            <w:gridSpan w:val="2"/>
            <w:tcBorders>
              <w:top w:val="single" w:sz="4" w:space="0" w:color="auto"/>
              <w:left w:val="nil"/>
              <w:bottom w:val="single" w:sz="4" w:space="0" w:color="auto"/>
              <w:right w:val="single" w:sz="4" w:space="0" w:color="auto"/>
            </w:tcBorders>
            <w:noWrap/>
            <w:vAlign w:val="bottom"/>
          </w:tcPr>
          <w:p w:rsidR="007311E3" w:rsidRPr="007311E3" w:rsidRDefault="007311E3" w:rsidP="003A2C0C">
            <w:pPr>
              <w:rPr>
                <w:color w:val="000000"/>
                <w:lang w:val="es-GT" w:eastAsia="es-MX"/>
              </w:rPr>
            </w:pPr>
          </w:p>
        </w:tc>
      </w:tr>
      <w:tr w:rsidR="007311E3" w:rsidRPr="000364C9" w:rsidTr="003A2C0C">
        <w:trPr>
          <w:trHeight w:val="300"/>
          <w:jc w:val="center"/>
        </w:trPr>
        <w:tc>
          <w:tcPr>
            <w:tcW w:w="13600" w:type="dxa"/>
            <w:gridSpan w:val="6"/>
            <w:vMerge w:val="restart"/>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300"/>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300"/>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447"/>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180"/>
          <w:jc w:val="center"/>
        </w:trPr>
        <w:tc>
          <w:tcPr>
            <w:tcW w:w="13600" w:type="dxa"/>
            <w:gridSpan w:val="6"/>
            <w:tcBorders>
              <w:top w:val="nil"/>
              <w:left w:val="nil"/>
              <w:bottom w:val="nil"/>
              <w:right w:val="nil"/>
            </w:tcBorders>
            <w:noWrap/>
            <w:vAlign w:val="bottom"/>
          </w:tcPr>
          <w:p w:rsidR="007311E3" w:rsidRPr="007311E3" w:rsidRDefault="007311E3" w:rsidP="003A2C0C">
            <w:pPr>
              <w:rPr>
                <w:color w:val="000000"/>
                <w:lang w:val="es-GT" w:eastAsia="es-MX"/>
              </w:rPr>
            </w:pPr>
          </w:p>
        </w:tc>
      </w:tr>
      <w:tr w:rsidR="007311E3" w:rsidRPr="000364C9" w:rsidTr="003A2C0C">
        <w:trPr>
          <w:trHeight w:val="300"/>
          <w:jc w:val="center"/>
        </w:trPr>
        <w:tc>
          <w:tcPr>
            <w:tcW w:w="8780" w:type="dxa"/>
            <w:gridSpan w:val="4"/>
            <w:tcBorders>
              <w:top w:val="single" w:sz="4" w:space="0" w:color="auto"/>
              <w:left w:val="single" w:sz="4" w:space="0" w:color="auto"/>
              <w:bottom w:val="single" w:sz="4" w:space="0" w:color="auto"/>
              <w:right w:val="nil"/>
            </w:tcBorders>
            <w:noWrap/>
            <w:vAlign w:val="bottom"/>
          </w:tcPr>
          <w:p w:rsidR="007311E3" w:rsidRPr="007311E3" w:rsidRDefault="005F0DC3" w:rsidP="003A2C0C">
            <w:pPr>
              <w:rPr>
                <w:color w:val="000000"/>
                <w:lang w:val="es-GT" w:eastAsia="es-MX"/>
              </w:rPr>
            </w:pPr>
            <w:r>
              <w:rPr>
                <w:color w:val="000000"/>
                <w:lang w:val="es-GT" w:eastAsia="es-MX"/>
              </w:rPr>
              <w:t>¿</w:t>
            </w:r>
            <w:r w:rsidR="007311E3" w:rsidRPr="007311E3">
              <w:rPr>
                <w:color w:val="000000"/>
                <w:lang w:val="es-GT" w:eastAsia="es-MX"/>
              </w:rPr>
              <w:t>Considera que existen actualmente capacidades nacionales para desarrollar EAE en Guatemala?</w:t>
            </w:r>
          </w:p>
        </w:tc>
        <w:tc>
          <w:tcPr>
            <w:tcW w:w="4820" w:type="dxa"/>
            <w:gridSpan w:val="2"/>
            <w:tcBorders>
              <w:top w:val="single" w:sz="4" w:space="0" w:color="auto"/>
              <w:left w:val="nil"/>
              <w:bottom w:val="single" w:sz="4" w:space="0" w:color="auto"/>
              <w:right w:val="single" w:sz="4" w:space="0" w:color="auto"/>
            </w:tcBorders>
            <w:noWrap/>
            <w:vAlign w:val="bottom"/>
          </w:tcPr>
          <w:p w:rsidR="007311E3" w:rsidRPr="007311E3" w:rsidRDefault="007311E3" w:rsidP="003A2C0C">
            <w:pPr>
              <w:rPr>
                <w:color w:val="000000"/>
                <w:lang w:val="es-GT" w:eastAsia="es-MX"/>
              </w:rPr>
            </w:pPr>
          </w:p>
        </w:tc>
      </w:tr>
      <w:tr w:rsidR="007311E3" w:rsidRPr="000364C9" w:rsidTr="003A2C0C">
        <w:trPr>
          <w:trHeight w:val="300"/>
          <w:jc w:val="center"/>
        </w:trPr>
        <w:tc>
          <w:tcPr>
            <w:tcW w:w="13600" w:type="dxa"/>
            <w:gridSpan w:val="6"/>
            <w:vMerge w:val="restart"/>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300"/>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300"/>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461"/>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180"/>
          <w:jc w:val="center"/>
        </w:trPr>
        <w:tc>
          <w:tcPr>
            <w:tcW w:w="13600" w:type="dxa"/>
            <w:gridSpan w:val="6"/>
            <w:tcBorders>
              <w:top w:val="nil"/>
              <w:left w:val="nil"/>
              <w:bottom w:val="nil"/>
              <w:right w:val="nil"/>
            </w:tcBorders>
            <w:noWrap/>
            <w:vAlign w:val="bottom"/>
          </w:tcPr>
          <w:p w:rsidR="007311E3" w:rsidRPr="007311E3" w:rsidRDefault="007311E3" w:rsidP="003A2C0C">
            <w:pPr>
              <w:rPr>
                <w:color w:val="000000"/>
                <w:lang w:val="es-GT" w:eastAsia="es-MX"/>
              </w:rPr>
            </w:pPr>
          </w:p>
        </w:tc>
      </w:tr>
      <w:tr w:rsidR="007311E3" w:rsidRPr="000364C9" w:rsidTr="003A2C0C">
        <w:trPr>
          <w:trHeight w:val="300"/>
          <w:jc w:val="center"/>
        </w:trPr>
        <w:tc>
          <w:tcPr>
            <w:tcW w:w="8780" w:type="dxa"/>
            <w:gridSpan w:val="4"/>
            <w:tcBorders>
              <w:top w:val="single" w:sz="4" w:space="0" w:color="auto"/>
              <w:left w:val="single" w:sz="4" w:space="0" w:color="auto"/>
              <w:bottom w:val="single" w:sz="4" w:space="0" w:color="auto"/>
              <w:right w:val="nil"/>
            </w:tcBorders>
            <w:noWrap/>
            <w:vAlign w:val="bottom"/>
          </w:tcPr>
          <w:p w:rsidR="007311E3" w:rsidRPr="007311E3" w:rsidRDefault="005F0DC3" w:rsidP="003A2C0C">
            <w:pPr>
              <w:rPr>
                <w:color w:val="000000"/>
                <w:lang w:val="es-GT" w:eastAsia="es-MX"/>
              </w:rPr>
            </w:pPr>
            <w:r>
              <w:rPr>
                <w:color w:val="000000"/>
                <w:lang w:val="es-GT" w:eastAsia="es-MX"/>
              </w:rPr>
              <w:t>¿</w:t>
            </w:r>
            <w:r w:rsidR="007311E3" w:rsidRPr="007311E3">
              <w:rPr>
                <w:color w:val="000000"/>
                <w:lang w:val="es-GT" w:eastAsia="es-MX"/>
              </w:rPr>
              <w:t>Qué recomendaciones podría dar para que estos instrumentos sean efectivos y prácticos?</w:t>
            </w:r>
          </w:p>
        </w:tc>
        <w:tc>
          <w:tcPr>
            <w:tcW w:w="4820" w:type="dxa"/>
            <w:gridSpan w:val="2"/>
            <w:tcBorders>
              <w:top w:val="single" w:sz="4" w:space="0" w:color="auto"/>
              <w:left w:val="nil"/>
              <w:bottom w:val="single" w:sz="4" w:space="0" w:color="auto"/>
              <w:right w:val="single" w:sz="4" w:space="0" w:color="auto"/>
            </w:tcBorders>
            <w:noWrap/>
            <w:vAlign w:val="bottom"/>
          </w:tcPr>
          <w:p w:rsidR="007311E3" w:rsidRPr="007311E3" w:rsidRDefault="007311E3" w:rsidP="003A2C0C">
            <w:pPr>
              <w:rPr>
                <w:color w:val="000000"/>
                <w:lang w:val="es-GT" w:eastAsia="es-MX"/>
              </w:rPr>
            </w:pPr>
          </w:p>
        </w:tc>
      </w:tr>
      <w:tr w:rsidR="007311E3" w:rsidRPr="000364C9" w:rsidTr="003A2C0C">
        <w:trPr>
          <w:trHeight w:val="300"/>
          <w:jc w:val="center"/>
        </w:trPr>
        <w:tc>
          <w:tcPr>
            <w:tcW w:w="13600" w:type="dxa"/>
            <w:gridSpan w:val="6"/>
            <w:vMerge w:val="restart"/>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300"/>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276"/>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r w:rsidR="007311E3" w:rsidRPr="000364C9" w:rsidTr="003A2C0C">
        <w:trPr>
          <w:trHeight w:val="475"/>
          <w:jc w:val="center"/>
        </w:trPr>
        <w:tc>
          <w:tcPr>
            <w:tcW w:w="13600" w:type="dxa"/>
            <w:gridSpan w:val="6"/>
            <w:vMerge/>
            <w:tcBorders>
              <w:top w:val="single" w:sz="4" w:space="0" w:color="auto"/>
              <w:left w:val="single" w:sz="4" w:space="0" w:color="auto"/>
              <w:bottom w:val="single" w:sz="4" w:space="0" w:color="000000"/>
              <w:right w:val="single" w:sz="4" w:space="0" w:color="000000"/>
            </w:tcBorders>
            <w:vAlign w:val="center"/>
          </w:tcPr>
          <w:p w:rsidR="007311E3" w:rsidRPr="007311E3" w:rsidRDefault="007311E3" w:rsidP="003A2C0C">
            <w:pPr>
              <w:rPr>
                <w:color w:val="000000"/>
                <w:lang w:val="es-GT" w:eastAsia="es-MX"/>
              </w:rPr>
            </w:pPr>
          </w:p>
        </w:tc>
      </w:tr>
    </w:tbl>
    <w:p w:rsidR="00C933DB" w:rsidRDefault="00C933DB" w:rsidP="002E085A">
      <w:pPr>
        <w:jc w:val="both"/>
        <w:rPr>
          <w:rFonts w:ascii="Calibri" w:hAnsi="Calibri" w:cs="Calibri"/>
          <w:lang w:val="es-GT"/>
        </w:rPr>
      </w:pPr>
    </w:p>
    <w:sectPr w:rsidR="00C933DB" w:rsidSect="007311E3">
      <w:pgSz w:w="15840" w:h="12240" w:orient="landscape" w:code="1"/>
      <w:pgMar w:top="1440" w:right="1440" w:bottom="1152"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44" w:author="Cecilia Isabel Cleaves Herrera" w:date="2013-01-22T14:41:00Z" w:initials="CICH">
    <w:p w:rsidR="00C54ACC" w:rsidRPr="00062EE1" w:rsidRDefault="00C54ACC">
      <w:pPr>
        <w:pStyle w:val="Textocomentario"/>
        <w:rPr>
          <w:lang w:val="es-GT"/>
        </w:rPr>
      </w:pPr>
      <w:r>
        <w:rPr>
          <w:rStyle w:val="Refdecomentario"/>
        </w:rPr>
        <w:annotationRef/>
      </w:r>
      <w:r w:rsidRPr="00062EE1">
        <w:rPr>
          <w:lang w:val="es-GT"/>
        </w:rPr>
        <w:t>Este está en el Pacto Hambre Cero, seg</w:t>
      </w:r>
      <w:r>
        <w:rPr>
          <w:lang w:val="es-GT"/>
        </w:rPr>
        <w:t>ún la Figura 25</w:t>
      </w:r>
    </w:p>
  </w:comment>
  <w:comment w:id="175" w:author="Cecilia Isabel Cleaves Herrera" w:date="2013-01-23T10:29:00Z" w:initials="CICH">
    <w:p w:rsidR="00C54ACC" w:rsidRPr="00C727E4" w:rsidRDefault="00C54ACC">
      <w:pPr>
        <w:pStyle w:val="Textocomentario"/>
        <w:rPr>
          <w:lang w:val="es-GT"/>
        </w:rPr>
      </w:pPr>
      <w:r>
        <w:rPr>
          <w:rStyle w:val="Refdecomentario"/>
        </w:rPr>
        <w:annotationRef/>
      </w:r>
      <w:r w:rsidRPr="00C727E4">
        <w:rPr>
          <w:lang w:val="es-GT"/>
        </w:rPr>
        <w:t>Esta corriente ya existe? Pues de no existir no es una fortaleza</w:t>
      </w:r>
    </w:p>
  </w:comment>
  <w:comment w:id="176" w:author="Cecilia Isabel Cleaves Herrera" w:date="2013-01-23T11:32:00Z" w:initials="CICH">
    <w:p w:rsidR="00C54ACC" w:rsidRPr="00735511" w:rsidRDefault="00C54ACC">
      <w:pPr>
        <w:pStyle w:val="Textocomentario"/>
        <w:rPr>
          <w:lang w:val="es-GT"/>
        </w:rPr>
      </w:pPr>
      <w:r>
        <w:rPr>
          <w:rStyle w:val="Refdecomentario"/>
        </w:rPr>
        <w:annotationRef/>
      </w:r>
      <w:r w:rsidRPr="00735511">
        <w:rPr>
          <w:lang w:val="es-GT"/>
        </w:rPr>
        <w:t>No es clara la idea</w:t>
      </w:r>
    </w:p>
  </w:comment>
  <w:comment w:id="262" w:author="Cecilia Isabel Cleaves Herrera" w:date="2013-01-30T10:27:00Z" w:initials="CICH">
    <w:p w:rsidR="00C54ACC" w:rsidRPr="00735511" w:rsidRDefault="00C54ACC">
      <w:pPr>
        <w:pStyle w:val="Textocomentario"/>
        <w:rPr>
          <w:lang w:val="es-GT"/>
        </w:rPr>
      </w:pPr>
      <w:r>
        <w:rPr>
          <w:rStyle w:val="Refdecomentario"/>
        </w:rPr>
        <w:annotationRef/>
      </w:r>
      <w:r w:rsidRPr="00735511">
        <w:rPr>
          <w:lang w:val="es-GT"/>
        </w:rPr>
        <w:t>N</w:t>
      </w:r>
      <w:r>
        <w:rPr>
          <w:lang w:val="es-GT"/>
        </w:rPr>
        <w:t>o aparece en referencias. En las referencias hay otro 2011, pero es el de cambio climático. Arreglar</w:t>
      </w:r>
    </w:p>
  </w:comment>
  <w:comment w:id="457" w:author="Cecilia Isabel Cleaves Herrera" w:date="2013-02-04T15:42:00Z" w:initials="CICH">
    <w:p w:rsidR="00C54ACC" w:rsidRDefault="00C54ACC">
      <w:pPr>
        <w:pStyle w:val="Textocomentario"/>
      </w:pPr>
      <w:r>
        <w:rPr>
          <w:rStyle w:val="Refdecomentario"/>
        </w:rPr>
        <w:annotationRef/>
      </w:r>
      <w:r>
        <w:t>IDH?</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2E7C" w:rsidRDefault="00AB2E7C" w:rsidP="00A66A11">
      <w:r>
        <w:separator/>
      </w:r>
    </w:p>
  </w:endnote>
  <w:endnote w:type="continuationSeparator" w:id="0">
    <w:p w:rsidR="00AB2E7C" w:rsidRDefault="00AB2E7C" w:rsidP="00A66A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imes LT Std">
    <w:altName w:val="Times LT Std"/>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HelveticaNeueLT Std Cn">
    <w:altName w:val="HelveticaNeueLT Std Cn"/>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Narrow">
    <w:panose1 w:val="020B0606020202030204"/>
    <w:charset w:val="00"/>
    <w:family w:val="swiss"/>
    <w:pitch w:val="variable"/>
    <w:sig w:usb0="00000287" w:usb1="00000800" w:usb2="00000000" w:usb3="00000000" w:csb0="0000009F" w:csb1="00000000"/>
  </w:font>
  <w:font w:name="Optima-Regular">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wiss721BT-Roman">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ACC" w:rsidRPr="003D0B53" w:rsidRDefault="00C54ACC" w:rsidP="00A66A11">
    <w:pPr>
      <w:pStyle w:val="Piedepgina"/>
      <w:jc w:val="right"/>
      <w:rPr>
        <w:b/>
      </w:rPr>
    </w:pPr>
    <w:r w:rsidRPr="003D0B53">
      <w:rPr>
        <w:rFonts w:ascii="Tahoma" w:hAnsi="Tahoma" w:cs="Tahoma"/>
        <w:b/>
        <w:sz w:val="20"/>
      </w:rPr>
      <w:fldChar w:fldCharType="begin"/>
    </w:r>
    <w:r w:rsidRPr="003D0B53">
      <w:rPr>
        <w:rFonts w:ascii="Tahoma" w:hAnsi="Tahoma" w:cs="Tahoma"/>
        <w:b/>
        <w:sz w:val="20"/>
      </w:rPr>
      <w:instrText xml:space="preserve"> PAGE   \* MERGEFORMAT </w:instrText>
    </w:r>
    <w:r w:rsidRPr="003D0B53">
      <w:rPr>
        <w:rFonts w:ascii="Tahoma" w:hAnsi="Tahoma" w:cs="Tahoma"/>
        <w:b/>
        <w:sz w:val="20"/>
      </w:rPr>
      <w:fldChar w:fldCharType="separate"/>
    </w:r>
    <w:r w:rsidR="005F3A11">
      <w:rPr>
        <w:rFonts w:ascii="Tahoma" w:hAnsi="Tahoma" w:cs="Tahoma"/>
        <w:b/>
        <w:noProof/>
        <w:sz w:val="20"/>
      </w:rPr>
      <w:t>i</w:t>
    </w:r>
    <w:r w:rsidRPr="003D0B53">
      <w:rPr>
        <w:rFonts w:ascii="Tahoma" w:hAnsi="Tahoma" w:cs="Tahoma"/>
        <w:b/>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2E7C" w:rsidRDefault="00AB2E7C" w:rsidP="00A66A11">
      <w:r>
        <w:separator/>
      </w:r>
    </w:p>
  </w:footnote>
  <w:footnote w:type="continuationSeparator" w:id="0">
    <w:p w:rsidR="00AB2E7C" w:rsidRDefault="00AB2E7C" w:rsidP="00A66A11">
      <w:r>
        <w:continuationSeparator/>
      </w:r>
    </w:p>
  </w:footnote>
  <w:footnote w:id="1">
    <w:p w:rsidR="00C54ACC" w:rsidRPr="001A01AB" w:rsidRDefault="00C54ACC" w:rsidP="00B93911">
      <w:pPr>
        <w:pStyle w:val="Textonotapie"/>
        <w:jc w:val="both"/>
        <w:rPr>
          <w:rFonts w:ascii="Calibri" w:hAnsi="Calibri" w:cs="Calibri"/>
        </w:rPr>
      </w:pPr>
      <w:r w:rsidRPr="00523BC1">
        <w:rPr>
          <w:rStyle w:val="Refdenotaalpie"/>
          <w:rFonts w:ascii="Calibri" w:hAnsi="Calibri" w:cs="Calibri"/>
        </w:rPr>
        <w:footnoteRef/>
      </w:r>
      <w:r w:rsidRPr="00523BC1">
        <w:rPr>
          <w:rFonts w:ascii="Calibri" w:hAnsi="Calibri" w:cs="Calibri"/>
        </w:rPr>
        <w:t xml:space="preserve"> Se ha recurrido a material bibliográfico, como a las notas y estudios de caso desarrollados por el primero de los autores en el marco del “Curso sobre Evaluación Ambiental Estratégica”, Santiago de Chile, Octubre 2011, Impartido por la Dra. Rosario Partidario.</w:t>
      </w:r>
    </w:p>
  </w:footnote>
  <w:footnote w:id="2">
    <w:p w:rsidR="00C54ACC" w:rsidRPr="001A01AB" w:rsidRDefault="00C54ACC" w:rsidP="00B94976">
      <w:pPr>
        <w:pStyle w:val="Textonotapie"/>
        <w:jc w:val="both"/>
        <w:rPr>
          <w:rFonts w:ascii="Calibri" w:hAnsi="Calibri" w:cs="Calibri"/>
        </w:rPr>
      </w:pPr>
      <w:r w:rsidRPr="001A01AB">
        <w:rPr>
          <w:rStyle w:val="Refdenotaalpie"/>
          <w:rFonts w:ascii="Calibri" w:hAnsi="Calibri" w:cs="Calibri"/>
        </w:rPr>
        <w:footnoteRef/>
      </w:r>
      <w:r w:rsidRPr="001A01AB">
        <w:rPr>
          <w:rFonts w:ascii="Calibri" w:hAnsi="Calibri" w:cs="Calibri"/>
        </w:rPr>
        <w:t xml:space="preserve"> </w:t>
      </w:r>
      <w:r>
        <w:rPr>
          <w:rFonts w:ascii="Calibri" w:hAnsi="Calibri" w:cs="Calibri"/>
          <w:lang w:eastAsia="es-GT"/>
        </w:rPr>
        <w:t>B</w:t>
      </w:r>
      <w:r w:rsidRPr="001A01AB">
        <w:rPr>
          <w:rFonts w:ascii="Calibri" w:hAnsi="Calibri" w:cs="Calibri"/>
          <w:lang w:eastAsia="es-GT"/>
        </w:rPr>
        <w:t>asado en la metodología del Departamento de Agricultura de Estados Unidos (USDA), y aplicada a nivel nacional</w:t>
      </w:r>
      <w:r>
        <w:rPr>
          <w:rFonts w:ascii="Calibri" w:hAnsi="Calibri" w:cs="Calibri"/>
          <w:lang w:eastAsia="es-GT"/>
        </w:rPr>
        <w:t>,</w:t>
      </w:r>
      <w:r w:rsidRPr="001A01AB">
        <w:rPr>
          <w:rFonts w:ascii="Calibri" w:hAnsi="Calibri" w:cs="Calibri"/>
          <w:lang w:eastAsia="es-GT"/>
        </w:rPr>
        <w:t xml:space="preserve"> a escala 1:250,000 por parte del Ministerio de Agricultura, Ganadería y Alimentación (MAGA).</w:t>
      </w:r>
    </w:p>
  </w:footnote>
  <w:footnote w:id="3">
    <w:p w:rsidR="00C54ACC" w:rsidRPr="00BC44FA" w:rsidRDefault="00C54ACC" w:rsidP="00780BE5">
      <w:pPr>
        <w:pStyle w:val="Textonotapie"/>
        <w:jc w:val="both"/>
        <w:rPr>
          <w:rFonts w:ascii="Calibri" w:hAnsi="Calibri"/>
        </w:rPr>
      </w:pPr>
      <w:r w:rsidRPr="00BC44FA">
        <w:rPr>
          <w:rStyle w:val="Refdenotaalpie"/>
          <w:rFonts w:ascii="Calibri" w:hAnsi="Calibri"/>
        </w:rPr>
        <w:footnoteRef/>
      </w:r>
      <w:r w:rsidRPr="00BC44FA">
        <w:rPr>
          <w:rFonts w:ascii="Calibri" w:hAnsi="Calibri"/>
        </w:rPr>
        <w:t xml:space="preserve"> </w:t>
      </w:r>
      <w:r w:rsidRPr="00BC44FA">
        <w:rPr>
          <w:rFonts w:ascii="Calibri" w:hAnsi="Calibri" w:cs="Arial"/>
        </w:rPr>
        <w:t xml:space="preserve">Proyección de SEGEPLAN (2010) </w:t>
      </w:r>
      <w:r>
        <w:rPr>
          <w:rFonts w:ascii="Calibri" w:hAnsi="Calibri" w:cs="Arial"/>
        </w:rPr>
        <w:t>con</w:t>
      </w:r>
      <w:r w:rsidRPr="00BC44FA">
        <w:rPr>
          <w:rFonts w:ascii="Calibri" w:hAnsi="Calibri" w:cs="Arial"/>
        </w:rPr>
        <w:t xml:space="preserve"> base </w:t>
      </w:r>
      <w:r>
        <w:rPr>
          <w:rFonts w:ascii="Calibri" w:hAnsi="Calibri" w:cs="Arial"/>
        </w:rPr>
        <w:t>en</w:t>
      </w:r>
      <w:r w:rsidRPr="00BC44FA">
        <w:rPr>
          <w:rFonts w:ascii="Calibri" w:hAnsi="Calibri" w:cs="Arial"/>
        </w:rPr>
        <w:t xml:space="preserve"> datos</w:t>
      </w:r>
      <w:r>
        <w:rPr>
          <w:rFonts w:ascii="Calibri" w:hAnsi="Calibri" w:cs="Arial"/>
        </w:rPr>
        <w:t xml:space="preserve"> de</w:t>
      </w:r>
      <w:r w:rsidRPr="00BC44FA">
        <w:rPr>
          <w:rFonts w:ascii="Calibri" w:hAnsi="Calibri" w:cs="Arial"/>
        </w:rPr>
        <w:t xml:space="preserve"> </w:t>
      </w:r>
      <w:r w:rsidRPr="00817D58">
        <w:rPr>
          <w:rFonts w:ascii="Calibri" w:hAnsi="Calibri" w:cs="Arial"/>
          <w:highlight w:val="magenta"/>
        </w:rPr>
        <w:t>ENSMI 2008-2009.</w:t>
      </w:r>
    </w:p>
  </w:footnote>
  <w:footnote w:id="4">
    <w:p w:rsidR="00C54ACC" w:rsidRPr="00BC44FA" w:rsidRDefault="00C54ACC" w:rsidP="00780BE5">
      <w:pPr>
        <w:pStyle w:val="Textonotapie"/>
        <w:jc w:val="both"/>
        <w:rPr>
          <w:rFonts w:ascii="Calibri" w:hAnsi="Calibri"/>
        </w:rPr>
      </w:pPr>
      <w:r w:rsidRPr="00BC44FA">
        <w:rPr>
          <w:rStyle w:val="Refdenotaalpie"/>
          <w:rFonts w:ascii="Calibri" w:hAnsi="Calibri"/>
        </w:rPr>
        <w:footnoteRef/>
      </w:r>
      <w:r w:rsidRPr="00BC44FA">
        <w:rPr>
          <w:rFonts w:ascii="Calibri" w:hAnsi="Calibri"/>
        </w:rPr>
        <w:t xml:space="preserve"> Información proveniente de las </w:t>
      </w:r>
      <w:r w:rsidRPr="001D5199">
        <w:rPr>
          <w:rFonts w:ascii="Calibri" w:hAnsi="Calibri"/>
          <w:highlight w:val="magenta"/>
        </w:rPr>
        <w:t>ENCOVI 2000, 2006 y 2011,</w:t>
      </w:r>
      <w:r w:rsidRPr="00BC44FA">
        <w:rPr>
          <w:rFonts w:ascii="Calibri" w:hAnsi="Calibri"/>
        </w:rPr>
        <w:t xml:space="preserve"> relacionadas con la pregunta ¿De dónde obtienen principalmente el agua para consumo de los miembros del hogar? , y del </w:t>
      </w:r>
      <w:r w:rsidRPr="001D5199">
        <w:rPr>
          <w:rFonts w:ascii="Calibri" w:hAnsi="Calibri"/>
          <w:highlight w:val="magenta"/>
        </w:rPr>
        <w:t>CENSO 2002</w:t>
      </w:r>
      <w:r w:rsidRPr="00BC44FA">
        <w:rPr>
          <w:rFonts w:ascii="Calibri" w:hAnsi="Calibri"/>
        </w:rPr>
        <w:t xml:space="preserve"> ¿Servicio de agua?</w:t>
      </w:r>
    </w:p>
  </w:footnote>
  <w:footnote w:id="5">
    <w:p w:rsidR="00C54ACC" w:rsidRPr="00141A70" w:rsidRDefault="00C54ACC" w:rsidP="00B03029">
      <w:pPr>
        <w:pStyle w:val="Textonotapie"/>
        <w:jc w:val="both"/>
        <w:rPr>
          <w:rFonts w:ascii="Calibri" w:hAnsi="Calibri"/>
          <w:color w:val="FF0000"/>
        </w:rPr>
      </w:pPr>
      <w:r w:rsidRPr="00BC44FA">
        <w:rPr>
          <w:rStyle w:val="Refdenotaalpie"/>
          <w:rFonts w:ascii="Calibri" w:hAnsi="Calibri"/>
        </w:rPr>
        <w:footnoteRef/>
      </w:r>
      <w:r w:rsidRPr="00BC44FA">
        <w:rPr>
          <w:rFonts w:ascii="Calibri" w:hAnsi="Calibri"/>
        </w:rPr>
        <w:t xml:space="preserve"> Se deriva de la Curva de Lorenz, que es una representación gráfica que permite medir y visualizar la desigualdad del ingreso entre individuos, familias o clases. Cuanto más cóncava sea la curva, mayor será la desigualdad.</w:t>
      </w:r>
    </w:p>
  </w:footnote>
  <w:footnote w:id="6">
    <w:p w:rsidR="00C54ACC" w:rsidRPr="001A01AB" w:rsidRDefault="00C54ACC" w:rsidP="008327B2">
      <w:pPr>
        <w:pStyle w:val="Textonotapie"/>
        <w:jc w:val="both"/>
        <w:rPr>
          <w:rFonts w:ascii="Calibri" w:hAnsi="Calibri" w:cs="Calibri"/>
        </w:rPr>
      </w:pPr>
      <w:r w:rsidRPr="001A01AB">
        <w:rPr>
          <w:rStyle w:val="Refdenotaalpie"/>
          <w:rFonts w:ascii="Calibri" w:hAnsi="Calibri" w:cs="Calibri"/>
        </w:rPr>
        <w:footnoteRef/>
      </w:r>
      <w:r w:rsidRPr="001A01AB">
        <w:rPr>
          <w:rFonts w:ascii="Calibri" w:hAnsi="Calibri" w:cs="Calibri"/>
        </w:rPr>
        <w:t xml:space="preserve"> Los datos no incluyen la agricultura de secano, que es el aprovechamiento natural de agua de lluvia para los cultivos agrícolas (evapotranspiración).</w:t>
      </w:r>
    </w:p>
  </w:footnote>
  <w:footnote w:id="7">
    <w:p w:rsidR="00C54ACC" w:rsidRPr="001A01AB" w:rsidRDefault="00C54ACC" w:rsidP="008327B2">
      <w:pPr>
        <w:pStyle w:val="Textonotapie"/>
        <w:rPr>
          <w:rFonts w:ascii="Calibri" w:hAnsi="Calibri" w:cs="Calibri"/>
          <w:lang w:val="es-MX"/>
        </w:rPr>
      </w:pPr>
      <w:r w:rsidRPr="001A01AB">
        <w:rPr>
          <w:rStyle w:val="Refdenotaalpie"/>
          <w:rFonts w:ascii="Calibri" w:hAnsi="Calibri" w:cs="Calibri"/>
        </w:rPr>
        <w:footnoteRef/>
      </w:r>
      <w:r w:rsidRPr="001A01AB">
        <w:rPr>
          <w:rFonts w:ascii="Calibri" w:hAnsi="Calibri" w:cs="Calibri"/>
          <w:lang w:val="es-MX"/>
        </w:rPr>
        <w:t xml:space="preserve"> AVAD: Años de vida ajustados por discapacidad. </w:t>
      </w:r>
      <w:r w:rsidRPr="00AC507E">
        <w:rPr>
          <w:rFonts w:ascii="Calibri" w:hAnsi="Calibri" w:cs="Calibri"/>
          <w:highlight w:val="magenta"/>
          <w:lang w:val="es-MX" w:eastAsia="es-MX"/>
        </w:rPr>
        <w:t>Serie the Lancet sobre desnutrición materno-infantil.</w:t>
      </w:r>
    </w:p>
  </w:footnote>
  <w:footnote w:id="8">
    <w:p w:rsidR="00C54ACC" w:rsidRPr="00A245C3" w:rsidRDefault="00C54ACC" w:rsidP="008327B2">
      <w:pPr>
        <w:autoSpaceDE w:val="0"/>
        <w:autoSpaceDN w:val="0"/>
        <w:adjustRightInd w:val="0"/>
        <w:jc w:val="both"/>
        <w:rPr>
          <w:rFonts w:ascii="Helvetica" w:hAnsi="Helvetica" w:cs="Helvetica"/>
          <w:color w:val="404041"/>
          <w:sz w:val="18"/>
          <w:szCs w:val="20"/>
          <w:lang w:val="es-GT"/>
        </w:rPr>
      </w:pPr>
      <w:r w:rsidRPr="00A245C3">
        <w:rPr>
          <w:rStyle w:val="Refdenotaalpie"/>
          <w:rFonts w:ascii="Helvetica" w:hAnsi="Helvetica" w:cs="Helvetica"/>
          <w:sz w:val="18"/>
          <w:szCs w:val="20"/>
        </w:rPr>
        <w:footnoteRef/>
      </w:r>
      <w:r w:rsidRPr="00A245C3">
        <w:rPr>
          <w:rFonts w:ascii="Helvetica" w:hAnsi="Helvetica" w:cs="Helvetica"/>
          <w:sz w:val="18"/>
          <w:szCs w:val="20"/>
          <w:lang w:val="es-GT"/>
        </w:rPr>
        <w:t xml:space="preserve"> </w:t>
      </w:r>
      <w:r w:rsidRPr="00A245C3">
        <w:rPr>
          <w:rFonts w:ascii="Helvetica" w:hAnsi="Helvetica" w:cs="Helvetica"/>
          <w:b/>
          <w:bCs/>
          <w:color w:val="404041"/>
          <w:sz w:val="18"/>
          <w:szCs w:val="20"/>
          <w:lang w:val="es-GT"/>
        </w:rPr>
        <w:t xml:space="preserve">Escenario A2: </w:t>
      </w:r>
      <w:r w:rsidRPr="00A245C3">
        <w:rPr>
          <w:rFonts w:ascii="Helvetica" w:hAnsi="Helvetica" w:cs="Helvetica"/>
          <w:color w:val="404041"/>
          <w:sz w:val="18"/>
          <w:szCs w:val="20"/>
          <w:lang w:val="es-GT"/>
        </w:rPr>
        <w:t>describe un mundo heterogéneo. Sus características son la autosuficiencia y la conservación de identidades locales. Las pautas de fertilidad en el conjunto de las regiones convergen lentamente, con lo que se obtiene una población mundial en continuo crecimiento. El desarrollo económico está orientado básicamente a las regiones, mientras que el crecimiento económico por habitante y el cambio tecnológico están fragmentados y son más lentos que en otras líneas evolutivas.</w:t>
      </w:r>
    </w:p>
    <w:p w:rsidR="00C54ACC" w:rsidRPr="00A245C3" w:rsidRDefault="00C54ACC" w:rsidP="008327B2">
      <w:pPr>
        <w:autoSpaceDE w:val="0"/>
        <w:autoSpaceDN w:val="0"/>
        <w:adjustRightInd w:val="0"/>
        <w:jc w:val="both"/>
        <w:rPr>
          <w:rFonts w:ascii="Helvetica" w:hAnsi="Helvetica" w:cs="Helvetica"/>
          <w:sz w:val="18"/>
          <w:szCs w:val="20"/>
          <w:lang w:val="es-GT"/>
        </w:rPr>
      </w:pPr>
      <w:r w:rsidRPr="00A245C3">
        <w:rPr>
          <w:rFonts w:ascii="Helvetica" w:hAnsi="Helvetica" w:cs="Helvetica"/>
          <w:b/>
          <w:bCs/>
          <w:color w:val="404041"/>
          <w:sz w:val="18"/>
          <w:szCs w:val="20"/>
          <w:lang w:val="es-GT"/>
        </w:rPr>
        <w:t xml:space="preserve">Escenario B2: </w:t>
      </w:r>
      <w:r w:rsidRPr="00A245C3">
        <w:rPr>
          <w:rFonts w:ascii="Helvetica" w:hAnsi="Helvetica" w:cs="Helvetica"/>
          <w:color w:val="404041"/>
          <w:sz w:val="18"/>
          <w:szCs w:val="20"/>
          <w:lang w:val="es-GT"/>
        </w:rPr>
        <w:t>describe un mundo en el que predominan las soluciones locales a la sostenibilidad económica, social y medioambiental. Es un mundo cuya población aumenta en forma progresiva, a un ritmo menor que en el escenario A2, con unos niveles de desarrollo económico intermedios y un cambio tecnológico menos rápido y más diverso que en las líneas evolutivas B1 y A1. Aunque este escenario está también orientado a la protección del ambiente y a la igualdad social, se centra en los niveles local y regional.</w:t>
      </w:r>
    </w:p>
  </w:footnote>
  <w:footnote w:id="9">
    <w:p w:rsidR="00C54ACC" w:rsidRPr="001A01AB" w:rsidRDefault="00C54ACC" w:rsidP="008327B2">
      <w:pPr>
        <w:pStyle w:val="Default"/>
        <w:jc w:val="both"/>
        <w:rPr>
          <w:rFonts w:ascii="Calibri" w:hAnsi="Calibri" w:cs="Calibri"/>
          <w:sz w:val="20"/>
          <w:szCs w:val="20"/>
          <w:lang w:val="es-GT"/>
        </w:rPr>
      </w:pPr>
      <w:r w:rsidRPr="001A01AB">
        <w:rPr>
          <w:rStyle w:val="Refdenotaalpie"/>
          <w:rFonts w:ascii="Calibri" w:hAnsi="Calibri" w:cs="Calibri"/>
          <w:sz w:val="20"/>
          <w:szCs w:val="20"/>
        </w:rPr>
        <w:footnoteRef/>
      </w:r>
      <w:r w:rsidRPr="001A01AB">
        <w:rPr>
          <w:rFonts w:ascii="Calibri" w:hAnsi="Calibri" w:cs="Calibri"/>
          <w:sz w:val="20"/>
          <w:szCs w:val="20"/>
          <w:lang w:val="es-GT"/>
        </w:rPr>
        <w:t xml:space="preserve"> Categorías y rango de cumplimiento de la escala de ponderación para el índice de gestión municipal: Óptima: 80% -100%; Buena: 60% -80%; Aceptable: 40% -60%; Debe mejorar: 20% -40%; Deficiente: 0% -20%.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416E73B2"/>
    <w:lvl w:ilvl="0">
      <w:start w:val="1"/>
      <w:numFmt w:val="decimal"/>
      <w:pStyle w:val="Listaconnmeros3"/>
      <w:lvlText w:val="%1."/>
      <w:lvlJc w:val="left"/>
      <w:pPr>
        <w:tabs>
          <w:tab w:val="num" w:pos="926"/>
        </w:tabs>
        <w:ind w:left="926" w:hanging="360"/>
      </w:pPr>
    </w:lvl>
  </w:abstractNum>
  <w:abstractNum w:abstractNumId="1">
    <w:nsid w:val="FFFFFF7F"/>
    <w:multiLevelType w:val="singleLevel"/>
    <w:tmpl w:val="BA4CAE04"/>
    <w:lvl w:ilvl="0">
      <w:start w:val="1"/>
      <w:numFmt w:val="decimal"/>
      <w:pStyle w:val="Listaconnmeros2"/>
      <w:lvlText w:val="%1."/>
      <w:lvlJc w:val="left"/>
      <w:pPr>
        <w:tabs>
          <w:tab w:val="num" w:pos="643"/>
        </w:tabs>
        <w:ind w:left="643" w:hanging="360"/>
      </w:pPr>
    </w:lvl>
  </w:abstractNum>
  <w:abstractNum w:abstractNumId="2">
    <w:nsid w:val="02860FE3"/>
    <w:multiLevelType w:val="hybridMultilevel"/>
    <w:tmpl w:val="C33414B8"/>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nsid w:val="034230BA"/>
    <w:multiLevelType w:val="hybridMultilevel"/>
    <w:tmpl w:val="3334BD64"/>
    <w:lvl w:ilvl="0" w:tplc="4B1CDADC">
      <w:start w:val="1"/>
      <w:numFmt w:val="bullet"/>
      <w:lvlText w:val=""/>
      <w:lvlJc w:val="left"/>
      <w:pPr>
        <w:tabs>
          <w:tab w:val="num" w:pos="720"/>
        </w:tabs>
        <w:ind w:left="720" w:hanging="360"/>
      </w:pPr>
      <w:rPr>
        <w:rFonts w:ascii="Wingdings" w:hAnsi="Wingdings" w:hint="default"/>
      </w:rPr>
    </w:lvl>
    <w:lvl w:ilvl="1" w:tplc="E44CD85A" w:tentative="1">
      <w:start w:val="1"/>
      <w:numFmt w:val="bullet"/>
      <w:lvlText w:val=""/>
      <w:lvlJc w:val="left"/>
      <w:pPr>
        <w:tabs>
          <w:tab w:val="num" w:pos="1440"/>
        </w:tabs>
        <w:ind w:left="1440" w:hanging="360"/>
      </w:pPr>
      <w:rPr>
        <w:rFonts w:ascii="Wingdings" w:hAnsi="Wingdings" w:hint="default"/>
      </w:rPr>
    </w:lvl>
    <w:lvl w:ilvl="2" w:tplc="9ED8540E" w:tentative="1">
      <w:start w:val="1"/>
      <w:numFmt w:val="bullet"/>
      <w:lvlText w:val=""/>
      <w:lvlJc w:val="left"/>
      <w:pPr>
        <w:tabs>
          <w:tab w:val="num" w:pos="2160"/>
        </w:tabs>
        <w:ind w:left="2160" w:hanging="360"/>
      </w:pPr>
      <w:rPr>
        <w:rFonts w:ascii="Wingdings" w:hAnsi="Wingdings" w:hint="default"/>
      </w:rPr>
    </w:lvl>
    <w:lvl w:ilvl="3" w:tplc="2C9CE362" w:tentative="1">
      <w:start w:val="1"/>
      <w:numFmt w:val="bullet"/>
      <w:lvlText w:val=""/>
      <w:lvlJc w:val="left"/>
      <w:pPr>
        <w:tabs>
          <w:tab w:val="num" w:pos="2880"/>
        </w:tabs>
        <w:ind w:left="2880" w:hanging="360"/>
      </w:pPr>
      <w:rPr>
        <w:rFonts w:ascii="Wingdings" w:hAnsi="Wingdings" w:hint="default"/>
      </w:rPr>
    </w:lvl>
    <w:lvl w:ilvl="4" w:tplc="DDBC2940" w:tentative="1">
      <w:start w:val="1"/>
      <w:numFmt w:val="bullet"/>
      <w:lvlText w:val=""/>
      <w:lvlJc w:val="left"/>
      <w:pPr>
        <w:tabs>
          <w:tab w:val="num" w:pos="3600"/>
        </w:tabs>
        <w:ind w:left="3600" w:hanging="360"/>
      </w:pPr>
      <w:rPr>
        <w:rFonts w:ascii="Wingdings" w:hAnsi="Wingdings" w:hint="default"/>
      </w:rPr>
    </w:lvl>
    <w:lvl w:ilvl="5" w:tplc="E1C49E18" w:tentative="1">
      <w:start w:val="1"/>
      <w:numFmt w:val="bullet"/>
      <w:lvlText w:val=""/>
      <w:lvlJc w:val="left"/>
      <w:pPr>
        <w:tabs>
          <w:tab w:val="num" w:pos="4320"/>
        </w:tabs>
        <w:ind w:left="4320" w:hanging="360"/>
      </w:pPr>
      <w:rPr>
        <w:rFonts w:ascii="Wingdings" w:hAnsi="Wingdings" w:hint="default"/>
      </w:rPr>
    </w:lvl>
    <w:lvl w:ilvl="6" w:tplc="7570C528" w:tentative="1">
      <w:start w:val="1"/>
      <w:numFmt w:val="bullet"/>
      <w:lvlText w:val=""/>
      <w:lvlJc w:val="left"/>
      <w:pPr>
        <w:tabs>
          <w:tab w:val="num" w:pos="5040"/>
        </w:tabs>
        <w:ind w:left="5040" w:hanging="360"/>
      </w:pPr>
      <w:rPr>
        <w:rFonts w:ascii="Wingdings" w:hAnsi="Wingdings" w:hint="default"/>
      </w:rPr>
    </w:lvl>
    <w:lvl w:ilvl="7" w:tplc="06786C80" w:tentative="1">
      <w:start w:val="1"/>
      <w:numFmt w:val="bullet"/>
      <w:lvlText w:val=""/>
      <w:lvlJc w:val="left"/>
      <w:pPr>
        <w:tabs>
          <w:tab w:val="num" w:pos="5760"/>
        </w:tabs>
        <w:ind w:left="5760" w:hanging="360"/>
      </w:pPr>
      <w:rPr>
        <w:rFonts w:ascii="Wingdings" w:hAnsi="Wingdings" w:hint="default"/>
      </w:rPr>
    </w:lvl>
    <w:lvl w:ilvl="8" w:tplc="C9FEC9FA" w:tentative="1">
      <w:start w:val="1"/>
      <w:numFmt w:val="bullet"/>
      <w:lvlText w:val=""/>
      <w:lvlJc w:val="left"/>
      <w:pPr>
        <w:tabs>
          <w:tab w:val="num" w:pos="6480"/>
        </w:tabs>
        <w:ind w:left="6480" w:hanging="360"/>
      </w:pPr>
      <w:rPr>
        <w:rFonts w:ascii="Wingdings" w:hAnsi="Wingdings" w:hint="default"/>
      </w:rPr>
    </w:lvl>
  </w:abstractNum>
  <w:abstractNum w:abstractNumId="4">
    <w:nsid w:val="07753CB7"/>
    <w:multiLevelType w:val="hybridMultilevel"/>
    <w:tmpl w:val="0B286D68"/>
    <w:lvl w:ilvl="0" w:tplc="133C59F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7DE77E1"/>
    <w:multiLevelType w:val="hybridMultilevel"/>
    <w:tmpl w:val="9AF8B13C"/>
    <w:lvl w:ilvl="0" w:tplc="133C59FA">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6">
    <w:nsid w:val="08374AD4"/>
    <w:multiLevelType w:val="hybridMultilevel"/>
    <w:tmpl w:val="DB6AFC3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nsid w:val="087D4B96"/>
    <w:multiLevelType w:val="hybridMultilevel"/>
    <w:tmpl w:val="FF86535C"/>
    <w:lvl w:ilvl="0" w:tplc="133C59F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nsid w:val="08AF4F5B"/>
    <w:multiLevelType w:val="multilevel"/>
    <w:tmpl w:val="0409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nsid w:val="0BA90AD6"/>
    <w:multiLevelType w:val="hybridMultilevel"/>
    <w:tmpl w:val="B3CE5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F6076A3"/>
    <w:multiLevelType w:val="hybridMultilevel"/>
    <w:tmpl w:val="57DE681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hint="default"/>
      </w:rPr>
    </w:lvl>
    <w:lvl w:ilvl="8" w:tplc="080A0005">
      <w:start w:val="1"/>
      <w:numFmt w:val="bullet"/>
      <w:lvlText w:val=""/>
      <w:lvlJc w:val="left"/>
      <w:pPr>
        <w:ind w:left="6480" w:hanging="360"/>
      </w:pPr>
      <w:rPr>
        <w:rFonts w:ascii="Wingdings" w:hAnsi="Wingdings" w:hint="default"/>
      </w:rPr>
    </w:lvl>
  </w:abstractNum>
  <w:abstractNum w:abstractNumId="11">
    <w:nsid w:val="0FD4667B"/>
    <w:multiLevelType w:val="hybridMultilevel"/>
    <w:tmpl w:val="AAA2AA00"/>
    <w:lvl w:ilvl="0" w:tplc="133C59FA">
      <w:start w:val="1"/>
      <w:numFmt w:val="bullet"/>
      <w:lvlText w:val=""/>
      <w:lvlJc w:val="left"/>
      <w:pPr>
        <w:tabs>
          <w:tab w:val="num" w:pos="720"/>
        </w:tabs>
        <w:ind w:left="720" w:hanging="360"/>
      </w:pPr>
      <w:rPr>
        <w:rFonts w:ascii="Symbol" w:hAnsi="Symbol" w:hint="default"/>
        <w:color w:val="auto"/>
      </w:rPr>
    </w:lvl>
    <w:lvl w:ilvl="1" w:tplc="3AB6D81A">
      <w:start w:val="1"/>
      <w:numFmt w:val="bullet"/>
      <w:lvlText w:val=""/>
      <w:lvlJc w:val="left"/>
      <w:pPr>
        <w:tabs>
          <w:tab w:val="num" w:pos="1800"/>
        </w:tabs>
        <w:ind w:left="1800" w:hanging="360"/>
      </w:pPr>
      <w:rPr>
        <w:rFonts w:ascii="Wingdings" w:hAnsi="Wingdings" w:cs="Wingdings" w:hint="default"/>
      </w:rPr>
    </w:lvl>
    <w:lvl w:ilvl="2" w:tplc="F9689D9C">
      <w:start w:val="1"/>
      <w:numFmt w:val="bullet"/>
      <w:lvlText w:val=""/>
      <w:lvlJc w:val="left"/>
      <w:pPr>
        <w:tabs>
          <w:tab w:val="num" w:pos="2520"/>
        </w:tabs>
        <w:ind w:left="2520" w:hanging="360"/>
      </w:pPr>
      <w:rPr>
        <w:rFonts w:ascii="Wingdings" w:hAnsi="Wingdings" w:cs="Wingdings" w:hint="default"/>
      </w:rPr>
    </w:lvl>
    <w:lvl w:ilvl="3" w:tplc="D952D99C">
      <w:start w:val="1"/>
      <w:numFmt w:val="bullet"/>
      <w:lvlText w:val=""/>
      <w:lvlJc w:val="left"/>
      <w:pPr>
        <w:tabs>
          <w:tab w:val="num" w:pos="3240"/>
        </w:tabs>
        <w:ind w:left="3240" w:hanging="360"/>
      </w:pPr>
      <w:rPr>
        <w:rFonts w:ascii="Wingdings" w:hAnsi="Wingdings" w:cs="Wingdings" w:hint="default"/>
      </w:rPr>
    </w:lvl>
    <w:lvl w:ilvl="4" w:tplc="EDDA8876">
      <w:start w:val="1"/>
      <w:numFmt w:val="bullet"/>
      <w:lvlText w:val=""/>
      <w:lvlJc w:val="left"/>
      <w:pPr>
        <w:tabs>
          <w:tab w:val="num" w:pos="3960"/>
        </w:tabs>
        <w:ind w:left="3960" w:hanging="360"/>
      </w:pPr>
      <w:rPr>
        <w:rFonts w:ascii="Wingdings" w:hAnsi="Wingdings" w:cs="Wingdings" w:hint="default"/>
      </w:rPr>
    </w:lvl>
    <w:lvl w:ilvl="5" w:tplc="A0D20B00">
      <w:start w:val="1"/>
      <w:numFmt w:val="bullet"/>
      <w:lvlText w:val=""/>
      <w:lvlJc w:val="left"/>
      <w:pPr>
        <w:tabs>
          <w:tab w:val="num" w:pos="4680"/>
        </w:tabs>
        <w:ind w:left="4680" w:hanging="360"/>
      </w:pPr>
      <w:rPr>
        <w:rFonts w:ascii="Wingdings" w:hAnsi="Wingdings" w:cs="Wingdings" w:hint="default"/>
      </w:rPr>
    </w:lvl>
    <w:lvl w:ilvl="6" w:tplc="6652F622">
      <w:start w:val="1"/>
      <w:numFmt w:val="bullet"/>
      <w:lvlText w:val=""/>
      <w:lvlJc w:val="left"/>
      <w:pPr>
        <w:tabs>
          <w:tab w:val="num" w:pos="5400"/>
        </w:tabs>
        <w:ind w:left="5400" w:hanging="360"/>
      </w:pPr>
      <w:rPr>
        <w:rFonts w:ascii="Wingdings" w:hAnsi="Wingdings" w:cs="Wingdings" w:hint="default"/>
      </w:rPr>
    </w:lvl>
    <w:lvl w:ilvl="7" w:tplc="3280B640">
      <w:start w:val="1"/>
      <w:numFmt w:val="bullet"/>
      <w:lvlText w:val=""/>
      <w:lvlJc w:val="left"/>
      <w:pPr>
        <w:tabs>
          <w:tab w:val="num" w:pos="6120"/>
        </w:tabs>
        <w:ind w:left="6120" w:hanging="360"/>
      </w:pPr>
      <w:rPr>
        <w:rFonts w:ascii="Wingdings" w:hAnsi="Wingdings" w:cs="Wingdings" w:hint="default"/>
      </w:rPr>
    </w:lvl>
    <w:lvl w:ilvl="8" w:tplc="3F3EA0F2">
      <w:start w:val="1"/>
      <w:numFmt w:val="bullet"/>
      <w:lvlText w:val=""/>
      <w:lvlJc w:val="left"/>
      <w:pPr>
        <w:tabs>
          <w:tab w:val="num" w:pos="6840"/>
        </w:tabs>
        <w:ind w:left="6840" w:hanging="360"/>
      </w:pPr>
      <w:rPr>
        <w:rFonts w:ascii="Wingdings" w:hAnsi="Wingdings" w:cs="Wingdings" w:hint="default"/>
      </w:rPr>
    </w:lvl>
  </w:abstractNum>
  <w:abstractNum w:abstractNumId="12">
    <w:nsid w:val="11797804"/>
    <w:multiLevelType w:val="hybridMultilevel"/>
    <w:tmpl w:val="24AE9ACE"/>
    <w:lvl w:ilvl="0" w:tplc="679E7EBC">
      <w:start w:val="1"/>
      <w:numFmt w:val="bullet"/>
      <w:lvlText w:val=""/>
      <w:lvlJc w:val="left"/>
      <w:pPr>
        <w:tabs>
          <w:tab w:val="num" w:pos="720"/>
        </w:tabs>
        <w:ind w:left="720" w:hanging="360"/>
      </w:pPr>
      <w:rPr>
        <w:rFonts w:ascii="Wingdings" w:hAnsi="Wingdings" w:hint="default"/>
      </w:rPr>
    </w:lvl>
    <w:lvl w:ilvl="1" w:tplc="98742090" w:tentative="1">
      <w:start w:val="1"/>
      <w:numFmt w:val="bullet"/>
      <w:lvlText w:val=""/>
      <w:lvlJc w:val="left"/>
      <w:pPr>
        <w:tabs>
          <w:tab w:val="num" w:pos="1440"/>
        </w:tabs>
        <w:ind w:left="1440" w:hanging="360"/>
      </w:pPr>
      <w:rPr>
        <w:rFonts w:ascii="Wingdings" w:hAnsi="Wingdings" w:hint="default"/>
      </w:rPr>
    </w:lvl>
    <w:lvl w:ilvl="2" w:tplc="A26CAA5A" w:tentative="1">
      <w:start w:val="1"/>
      <w:numFmt w:val="bullet"/>
      <w:lvlText w:val=""/>
      <w:lvlJc w:val="left"/>
      <w:pPr>
        <w:tabs>
          <w:tab w:val="num" w:pos="2160"/>
        </w:tabs>
        <w:ind w:left="2160" w:hanging="360"/>
      </w:pPr>
      <w:rPr>
        <w:rFonts w:ascii="Wingdings" w:hAnsi="Wingdings" w:hint="default"/>
      </w:rPr>
    </w:lvl>
    <w:lvl w:ilvl="3" w:tplc="CE8C864E" w:tentative="1">
      <w:start w:val="1"/>
      <w:numFmt w:val="bullet"/>
      <w:lvlText w:val=""/>
      <w:lvlJc w:val="left"/>
      <w:pPr>
        <w:tabs>
          <w:tab w:val="num" w:pos="2880"/>
        </w:tabs>
        <w:ind w:left="2880" w:hanging="360"/>
      </w:pPr>
      <w:rPr>
        <w:rFonts w:ascii="Wingdings" w:hAnsi="Wingdings" w:hint="default"/>
      </w:rPr>
    </w:lvl>
    <w:lvl w:ilvl="4" w:tplc="D8A2368C" w:tentative="1">
      <w:start w:val="1"/>
      <w:numFmt w:val="bullet"/>
      <w:lvlText w:val=""/>
      <w:lvlJc w:val="left"/>
      <w:pPr>
        <w:tabs>
          <w:tab w:val="num" w:pos="3600"/>
        </w:tabs>
        <w:ind w:left="3600" w:hanging="360"/>
      </w:pPr>
      <w:rPr>
        <w:rFonts w:ascii="Wingdings" w:hAnsi="Wingdings" w:hint="default"/>
      </w:rPr>
    </w:lvl>
    <w:lvl w:ilvl="5" w:tplc="1F72BC3A" w:tentative="1">
      <w:start w:val="1"/>
      <w:numFmt w:val="bullet"/>
      <w:lvlText w:val=""/>
      <w:lvlJc w:val="left"/>
      <w:pPr>
        <w:tabs>
          <w:tab w:val="num" w:pos="4320"/>
        </w:tabs>
        <w:ind w:left="4320" w:hanging="360"/>
      </w:pPr>
      <w:rPr>
        <w:rFonts w:ascii="Wingdings" w:hAnsi="Wingdings" w:hint="default"/>
      </w:rPr>
    </w:lvl>
    <w:lvl w:ilvl="6" w:tplc="89EA6B12" w:tentative="1">
      <w:start w:val="1"/>
      <w:numFmt w:val="bullet"/>
      <w:lvlText w:val=""/>
      <w:lvlJc w:val="left"/>
      <w:pPr>
        <w:tabs>
          <w:tab w:val="num" w:pos="5040"/>
        </w:tabs>
        <w:ind w:left="5040" w:hanging="360"/>
      </w:pPr>
      <w:rPr>
        <w:rFonts w:ascii="Wingdings" w:hAnsi="Wingdings" w:hint="default"/>
      </w:rPr>
    </w:lvl>
    <w:lvl w:ilvl="7" w:tplc="2794E3C0" w:tentative="1">
      <w:start w:val="1"/>
      <w:numFmt w:val="bullet"/>
      <w:lvlText w:val=""/>
      <w:lvlJc w:val="left"/>
      <w:pPr>
        <w:tabs>
          <w:tab w:val="num" w:pos="5760"/>
        </w:tabs>
        <w:ind w:left="5760" w:hanging="360"/>
      </w:pPr>
      <w:rPr>
        <w:rFonts w:ascii="Wingdings" w:hAnsi="Wingdings" w:hint="default"/>
      </w:rPr>
    </w:lvl>
    <w:lvl w:ilvl="8" w:tplc="F7A0630C" w:tentative="1">
      <w:start w:val="1"/>
      <w:numFmt w:val="bullet"/>
      <w:lvlText w:val=""/>
      <w:lvlJc w:val="left"/>
      <w:pPr>
        <w:tabs>
          <w:tab w:val="num" w:pos="6480"/>
        </w:tabs>
        <w:ind w:left="6480" w:hanging="360"/>
      </w:pPr>
      <w:rPr>
        <w:rFonts w:ascii="Wingdings" w:hAnsi="Wingdings" w:hint="default"/>
      </w:rPr>
    </w:lvl>
  </w:abstractNum>
  <w:abstractNum w:abstractNumId="13">
    <w:nsid w:val="14C153B5"/>
    <w:multiLevelType w:val="hybridMultilevel"/>
    <w:tmpl w:val="20FA60E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hint="default"/>
      </w:rPr>
    </w:lvl>
    <w:lvl w:ilvl="8" w:tplc="080A0005">
      <w:start w:val="1"/>
      <w:numFmt w:val="bullet"/>
      <w:lvlText w:val=""/>
      <w:lvlJc w:val="left"/>
      <w:pPr>
        <w:ind w:left="6480" w:hanging="360"/>
      </w:pPr>
      <w:rPr>
        <w:rFonts w:ascii="Wingdings" w:hAnsi="Wingdings" w:hint="default"/>
      </w:rPr>
    </w:lvl>
  </w:abstractNum>
  <w:abstractNum w:abstractNumId="14">
    <w:nsid w:val="14E97026"/>
    <w:multiLevelType w:val="hybridMultilevel"/>
    <w:tmpl w:val="43CAF8B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5">
    <w:nsid w:val="17BD5EF8"/>
    <w:multiLevelType w:val="multilevel"/>
    <w:tmpl w:val="312A85C4"/>
    <w:lvl w:ilvl="0">
      <w:start w:val="5"/>
      <w:numFmt w:val="decimal"/>
      <w:lvlText w:val="%1"/>
      <w:lvlJc w:val="left"/>
      <w:pPr>
        <w:ind w:left="375" w:hanging="375"/>
      </w:pPr>
      <w:rPr>
        <w:rFonts w:hint="default"/>
      </w:rPr>
    </w:lvl>
    <w:lvl w:ilvl="1">
      <w:start w:val="1"/>
      <w:numFmt w:val="decimal"/>
      <w:lvlText w:val="%1.%2"/>
      <w:lvlJc w:val="left"/>
      <w:pPr>
        <w:ind w:left="645" w:hanging="375"/>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4320" w:hanging="2160"/>
      </w:pPr>
      <w:rPr>
        <w:rFonts w:hint="default"/>
      </w:rPr>
    </w:lvl>
  </w:abstractNum>
  <w:abstractNum w:abstractNumId="16">
    <w:nsid w:val="1CB33459"/>
    <w:multiLevelType w:val="hybridMultilevel"/>
    <w:tmpl w:val="D2605838"/>
    <w:lvl w:ilvl="0" w:tplc="EEB64952">
      <w:start w:val="1"/>
      <w:numFmt w:val="lowerLetter"/>
      <w:lvlText w:val="%1)"/>
      <w:lvlJc w:val="left"/>
      <w:pPr>
        <w:ind w:left="108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nsid w:val="1DF33A4E"/>
    <w:multiLevelType w:val="multilevel"/>
    <w:tmpl w:val="E69EF774"/>
    <w:lvl w:ilvl="0">
      <w:start w:val="3"/>
      <w:numFmt w:val="decimal"/>
      <w:lvlText w:val="%1"/>
      <w:lvlJc w:val="left"/>
      <w:pPr>
        <w:ind w:left="480" w:hanging="480"/>
      </w:pPr>
      <w:rPr>
        <w:rFonts w:hint="default"/>
      </w:rPr>
    </w:lvl>
    <w:lvl w:ilvl="1">
      <w:start w:val="3"/>
      <w:numFmt w:val="decimal"/>
      <w:lvlText w:val="%1.%2"/>
      <w:lvlJc w:val="left"/>
      <w:pPr>
        <w:ind w:left="75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18">
    <w:nsid w:val="1E5E3A0C"/>
    <w:multiLevelType w:val="hybridMultilevel"/>
    <w:tmpl w:val="8DC093FC"/>
    <w:lvl w:ilvl="0" w:tplc="0D18B2F2">
      <w:start w:val="1"/>
      <w:numFmt w:val="lowerLetter"/>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19">
    <w:nsid w:val="1EF6799C"/>
    <w:multiLevelType w:val="hybridMultilevel"/>
    <w:tmpl w:val="0074A25C"/>
    <w:lvl w:ilvl="0" w:tplc="080A0017">
      <w:start w:val="1"/>
      <w:numFmt w:val="lowerLetter"/>
      <w:lvlText w:val="%1)"/>
      <w:lvlJc w:val="left"/>
      <w:pPr>
        <w:ind w:left="720" w:hanging="360"/>
      </w:pPr>
      <w:rPr>
        <w:rFonts w:cs="Times New Roman" w:hint="default"/>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20">
    <w:nsid w:val="1F2F167E"/>
    <w:multiLevelType w:val="hybridMultilevel"/>
    <w:tmpl w:val="46D4B22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21">
    <w:nsid w:val="21916F5D"/>
    <w:multiLevelType w:val="hybridMultilevel"/>
    <w:tmpl w:val="3086DE4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2">
    <w:nsid w:val="22177374"/>
    <w:multiLevelType w:val="hybridMultilevel"/>
    <w:tmpl w:val="FDCE5DF8"/>
    <w:lvl w:ilvl="0" w:tplc="589A7104">
      <w:start w:val="1"/>
      <w:numFmt w:val="bullet"/>
      <w:lvlText w:val=""/>
      <w:lvlJc w:val="left"/>
      <w:pPr>
        <w:tabs>
          <w:tab w:val="num" w:pos="720"/>
        </w:tabs>
        <w:ind w:left="720" w:hanging="360"/>
      </w:pPr>
      <w:rPr>
        <w:rFonts w:ascii="Wingdings" w:hAnsi="Wingdings" w:hint="default"/>
      </w:rPr>
    </w:lvl>
    <w:lvl w:ilvl="1" w:tplc="1388BD32" w:tentative="1">
      <w:start w:val="1"/>
      <w:numFmt w:val="bullet"/>
      <w:lvlText w:val=""/>
      <w:lvlJc w:val="left"/>
      <w:pPr>
        <w:tabs>
          <w:tab w:val="num" w:pos="1440"/>
        </w:tabs>
        <w:ind w:left="1440" w:hanging="360"/>
      </w:pPr>
      <w:rPr>
        <w:rFonts w:ascii="Wingdings" w:hAnsi="Wingdings" w:hint="default"/>
      </w:rPr>
    </w:lvl>
    <w:lvl w:ilvl="2" w:tplc="D9D09A5C" w:tentative="1">
      <w:start w:val="1"/>
      <w:numFmt w:val="bullet"/>
      <w:lvlText w:val=""/>
      <w:lvlJc w:val="left"/>
      <w:pPr>
        <w:tabs>
          <w:tab w:val="num" w:pos="2160"/>
        </w:tabs>
        <w:ind w:left="2160" w:hanging="360"/>
      </w:pPr>
      <w:rPr>
        <w:rFonts w:ascii="Wingdings" w:hAnsi="Wingdings" w:hint="default"/>
      </w:rPr>
    </w:lvl>
    <w:lvl w:ilvl="3" w:tplc="68A4E88E" w:tentative="1">
      <w:start w:val="1"/>
      <w:numFmt w:val="bullet"/>
      <w:lvlText w:val=""/>
      <w:lvlJc w:val="left"/>
      <w:pPr>
        <w:tabs>
          <w:tab w:val="num" w:pos="2880"/>
        </w:tabs>
        <w:ind w:left="2880" w:hanging="360"/>
      </w:pPr>
      <w:rPr>
        <w:rFonts w:ascii="Wingdings" w:hAnsi="Wingdings" w:hint="default"/>
      </w:rPr>
    </w:lvl>
    <w:lvl w:ilvl="4" w:tplc="580E6422" w:tentative="1">
      <w:start w:val="1"/>
      <w:numFmt w:val="bullet"/>
      <w:lvlText w:val=""/>
      <w:lvlJc w:val="left"/>
      <w:pPr>
        <w:tabs>
          <w:tab w:val="num" w:pos="3600"/>
        </w:tabs>
        <w:ind w:left="3600" w:hanging="360"/>
      </w:pPr>
      <w:rPr>
        <w:rFonts w:ascii="Wingdings" w:hAnsi="Wingdings" w:hint="default"/>
      </w:rPr>
    </w:lvl>
    <w:lvl w:ilvl="5" w:tplc="D75C82DA" w:tentative="1">
      <w:start w:val="1"/>
      <w:numFmt w:val="bullet"/>
      <w:lvlText w:val=""/>
      <w:lvlJc w:val="left"/>
      <w:pPr>
        <w:tabs>
          <w:tab w:val="num" w:pos="4320"/>
        </w:tabs>
        <w:ind w:left="4320" w:hanging="360"/>
      </w:pPr>
      <w:rPr>
        <w:rFonts w:ascii="Wingdings" w:hAnsi="Wingdings" w:hint="default"/>
      </w:rPr>
    </w:lvl>
    <w:lvl w:ilvl="6" w:tplc="77660E86" w:tentative="1">
      <w:start w:val="1"/>
      <w:numFmt w:val="bullet"/>
      <w:lvlText w:val=""/>
      <w:lvlJc w:val="left"/>
      <w:pPr>
        <w:tabs>
          <w:tab w:val="num" w:pos="5040"/>
        </w:tabs>
        <w:ind w:left="5040" w:hanging="360"/>
      </w:pPr>
      <w:rPr>
        <w:rFonts w:ascii="Wingdings" w:hAnsi="Wingdings" w:hint="default"/>
      </w:rPr>
    </w:lvl>
    <w:lvl w:ilvl="7" w:tplc="AA203BBE" w:tentative="1">
      <w:start w:val="1"/>
      <w:numFmt w:val="bullet"/>
      <w:lvlText w:val=""/>
      <w:lvlJc w:val="left"/>
      <w:pPr>
        <w:tabs>
          <w:tab w:val="num" w:pos="5760"/>
        </w:tabs>
        <w:ind w:left="5760" w:hanging="360"/>
      </w:pPr>
      <w:rPr>
        <w:rFonts w:ascii="Wingdings" w:hAnsi="Wingdings" w:hint="default"/>
      </w:rPr>
    </w:lvl>
    <w:lvl w:ilvl="8" w:tplc="6C4CFB3C" w:tentative="1">
      <w:start w:val="1"/>
      <w:numFmt w:val="bullet"/>
      <w:lvlText w:val=""/>
      <w:lvlJc w:val="left"/>
      <w:pPr>
        <w:tabs>
          <w:tab w:val="num" w:pos="6480"/>
        </w:tabs>
        <w:ind w:left="6480" w:hanging="360"/>
      </w:pPr>
      <w:rPr>
        <w:rFonts w:ascii="Wingdings" w:hAnsi="Wingdings" w:hint="default"/>
      </w:rPr>
    </w:lvl>
  </w:abstractNum>
  <w:abstractNum w:abstractNumId="23">
    <w:nsid w:val="268E45B1"/>
    <w:multiLevelType w:val="hybridMultilevel"/>
    <w:tmpl w:val="ADBCA942"/>
    <w:lvl w:ilvl="0" w:tplc="4B86E1A8">
      <w:start w:val="1"/>
      <w:numFmt w:val="bullet"/>
      <w:lvlText w:val="-"/>
      <w:lvlJc w:val="left"/>
      <w:pPr>
        <w:ind w:left="720" w:hanging="360"/>
      </w:pPr>
      <w:rPr>
        <w:rFonts w:ascii="Calibri" w:eastAsia="Times New Roman" w:hAnsi="Calibri" w:cs="Times LT Std"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
    <w:nsid w:val="27E5273D"/>
    <w:multiLevelType w:val="hybridMultilevel"/>
    <w:tmpl w:val="E702C192"/>
    <w:lvl w:ilvl="0" w:tplc="100A0017">
      <w:start w:val="1"/>
      <w:numFmt w:val="lowerLetter"/>
      <w:lvlText w:val="%1)"/>
      <w:lvlJc w:val="left"/>
      <w:pPr>
        <w:ind w:left="1080" w:hanging="360"/>
      </w:pPr>
      <w:rPr>
        <w:rFonts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25">
    <w:nsid w:val="28614D72"/>
    <w:multiLevelType w:val="hybridMultilevel"/>
    <w:tmpl w:val="CBE49E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28B67BC2"/>
    <w:multiLevelType w:val="hybridMultilevel"/>
    <w:tmpl w:val="3EFE2970"/>
    <w:lvl w:ilvl="0" w:tplc="100A0001">
      <w:start w:val="1"/>
      <w:numFmt w:val="bullet"/>
      <w:lvlText w:val=""/>
      <w:lvlJc w:val="left"/>
      <w:pPr>
        <w:ind w:left="1440" w:hanging="360"/>
      </w:pPr>
      <w:rPr>
        <w:rFonts w:ascii="Symbol" w:hAnsi="Symbol"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27">
    <w:nsid w:val="293D4C83"/>
    <w:multiLevelType w:val="hybridMultilevel"/>
    <w:tmpl w:val="EA4E773A"/>
    <w:lvl w:ilvl="0" w:tplc="7764BE50">
      <w:start w:val="1"/>
      <w:numFmt w:val="bullet"/>
      <w:lvlText w:val=""/>
      <w:lvlJc w:val="left"/>
      <w:pPr>
        <w:tabs>
          <w:tab w:val="num" w:pos="720"/>
        </w:tabs>
        <w:ind w:left="720" w:hanging="360"/>
      </w:pPr>
      <w:rPr>
        <w:rFonts w:ascii="Wingdings" w:hAnsi="Wingdings" w:hint="default"/>
      </w:rPr>
    </w:lvl>
    <w:lvl w:ilvl="1" w:tplc="9056E00A" w:tentative="1">
      <w:start w:val="1"/>
      <w:numFmt w:val="bullet"/>
      <w:lvlText w:val=""/>
      <w:lvlJc w:val="left"/>
      <w:pPr>
        <w:tabs>
          <w:tab w:val="num" w:pos="1440"/>
        </w:tabs>
        <w:ind w:left="1440" w:hanging="360"/>
      </w:pPr>
      <w:rPr>
        <w:rFonts w:ascii="Wingdings" w:hAnsi="Wingdings" w:hint="default"/>
      </w:rPr>
    </w:lvl>
    <w:lvl w:ilvl="2" w:tplc="8BA4852E" w:tentative="1">
      <w:start w:val="1"/>
      <w:numFmt w:val="bullet"/>
      <w:lvlText w:val=""/>
      <w:lvlJc w:val="left"/>
      <w:pPr>
        <w:tabs>
          <w:tab w:val="num" w:pos="2160"/>
        </w:tabs>
        <w:ind w:left="2160" w:hanging="360"/>
      </w:pPr>
      <w:rPr>
        <w:rFonts w:ascii="Wingdings" w:hAnsi="Wingdings" w:hint="default"/>
      </w:rPr>
    </w:lvl>
    <w:lvl w:ilvl="3" w:tplc="9488AF0E" w:tentative="1">
      <w:start w:val="1"/>
      <w:numFmt w:val="bullet"/>
      <w:lvlText w:val=""/>
      <w:lvlJc w:val="left"/>
      <w:pPr>
        <w:tabs>
          <w:tab w:val="num" w:pos="2880"/>
        </w:tabs>
        <w:ind w:left="2880" w:hanging="360"/>
      </w:pPr>
      <w:rPr>
        <w:rFonts w:ascii="Wingdings" w:hAnsi="Wingdings" w:hint="default"/>
      </w:rPr>
    </w:lvl>
    <w:lvl w:ilvl="4" w:tplc="2CAACA0C" w:tentative="1">
      <w:start w:val="1"/>
      <w:numFmt w:val="bullet"/>
      <w:lvlText w:val=""/>
      <w:lvlJc w:val="left"/>
      <w:pPr>
        <w:tabs>
          <w:tab w:val="num" w:pos="3600"/>
        </w:tabs>
        <w:ind w:left="3600" w:hanging="360"/>
      </w:pPr>
      <w:rPr>
        <w:rFonts w:ascii="Wingdings" w:hAnsi="Wingdings" w:hint="default"/>
      </w:rPr>
    </w:lvl>
    <w:lvl w:ilvl="5" w:tplc="A9268BF2" w:tentative="1">
      <w:start w:val="1"/>
      <w:numFmt w:val="bullet"/>
      <w:lvlText w:val=""/>
      <w:lvlJc w:val="left"/>
      <w:pPr>
        <w:tabs>
          <w:tab w:val="num" w:pos="4320"/>
        </w:tabs>
        <w:ind w:left="4320" w:hanging="360"/>
      </w:pPr>
      <w:rPr>
        <w:rFonts w:ascii="Wingdings" w:hAnsi="Wingdings" w:hint="default"/>
      </w:rPr>
    </w:lvl>
    <w:lvl w:ilvl="6" w:tplc="3BACA980" w:tentative="1">
      <w:start w:val="1"/>
      <w:numFmt w:val="bullet"/>
      <w:lvlText w:val=""/>
      <w:lvlJc w:val="left"/>
      <w:pPr>
        <w:tabs>
          <w:tab w:val="num" w:pos="5040"/>
        </w:tabs>
        <w:ind w:left="5040" w:hanging="360"/>
      </w:pPr>
      <w:rPr>
        <w:rFonts w:ascii="Wingdings" w:hAnsi="Wingdings" w:hint="default"/>
      </w:rPr>
    </w:lvl>
    <w:lvl w:ilvl="7" w:tplc="353A829A" w:tentative="1">
      <w:start w:val="1"/>
      <w:numFmt w:val="bullet"/>
      <w:lvlText w:val=""/>
      <w:lvlJc w:val="left"/>
      <w:pPr>
        <w:tabs>
          <w:tab w:val="num" w:pos="5760"/>
        </w:tabs>
        <w:ind w:left="5760" w:hanging="360"/>
      </w:pPr>
      <w:rPr>
        <w:rFonts w:ascii="Wingdings" w:hAnsi="Wingdings" w:hint="default"/>
      </w:rPr>
    </w:lvl>
    <w:lvl w:ilvl="8" w:tplc="EED60F86" w:tentative="1">
      <w:start w:val="1"/>
      <w:numFmt w:val="bullet"/>
      <w:lvlText w:val=""/>
      <w:lvlJc w:val="left"/>
      <w:pPr>
        <w:tabs>
          <w:tab w:val="num" w:pos="6480"/>
        </w:tabs>
        <w:ind w:left="6480" w:hanging="360"/>
      </w:pPr>
      <w:rPr>
        <w:rFonts w:ascii="Wingdings" w:hAnsi="Wingdings" w:hint="default"/>
      </w:rPr>
    </w:lvl>
  </w:abstractNum>
  <w:abstractNum w:abstractNumId="28">
    <w:nsid w:val="2B405E6C"/>
    <w:multiLevelType w:val="hybridMultilevel"/>
    <w:tmpl w:val="6014456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9">
    <w:nsid w:val="2C27122F"/>
    <w:multiLevelType w:val="hybridMultilevel"/>
    <w:tmpl w:val="6C929C24"/>
    <w:lvl w:ilvl="0" w:tplc="7CF44234">
      <w:start w:val="1"/>
      <w:numFmt w:val="bullet"/>
      <w:lvlText w:val=""/>
      <w:lvlJc w:val="left"/>
      <w:pPr>
        <w:tabs>
          <w:tab w:val="num" w:pos="720"/>
        </w:tabs>
        <w:ind w:left="720" w:hanging="360"/>
      </w:pPr>
      <w:rPr>
        <w:rFonts w:ascii="Wingdings" w:hAnsi="Wingdings" w:hint="default"/>
      </w:rPr>
    </w:lvl>
    <w:lvl w:ilvl="1" w:tplc="1DE07AE4" w:tentative="1">
      <w:start w:val="1"/>
      <w:numFmt w:val="bullet"/>
      <w:lvlText w:val=""/>
      <w:lvlJc w:val="left"/>
      <w:pPr>
        <w:tabs>
          <w:tab w:val="num" w:pos="1440"/>
        </w:tabs>
        <w:ind w:left="1440" w:hanging="360"/>
      </w:pPr>
      <w:rPr>
        <w:rFonts w:ascii="Wingdings" w:hAnsi="Wingdings" w:hint="default"/>
      </w:rPr>
    </w:lvl>
    <w:lvl w:ilvl="2" w:tplc="101C5236" w:tentative="1">
      <w:start w:val="1"/>
      <w:numFmt w:val="bullet"/>
      <w:lvlText w:val=""/>
      <w:lvlJc w:val="left"/>
      <w:pPr>
        <w:tabs>
          <w:tab w:val="num" w:pos="2160"/>
        </w:tabs>
        <w:ind w:left="2160" w:hanging="360"/>
      </w:pPr>
      <w:rPr>
        <w:rFonts w:ascii="Wingdings" w:hAnsi="Wingdings" w:hint="default"/>
      </w:rPr>
    </w:lvl>
    <w:lvl w:ilvl="3" w:tplc="613A5666" w:tentative="1">
      <w:start w:val="1"/>
      <w:numFmt w:val="bullet"/>
      <w:lvlText w:val=""/>
      <w:lvlJc w:val="left"/>
      <w:pPr>
        <w:tabs>
          <w:tab w:val="num" w:pos="2880"/>
        </w:tabs>
        <w:ind w:left="2880" w:hanging="360"/>
      </w:pPr>
      <w:rPr>
        <w:rFonts w:ascii="Wingdings" w:hAnsi="Wingdings" w:hint="default"/>
      </w:rPr>
    </w:lvl>
    <w:lvl w:ilvl="4" w:tplc="1A98AF86" w:tentative="1">
      <w:start w:val="1"/>
      <w:numFmt w:val="bullet"/>
      <w:lvlText w:val=""/>
      <w:lvlJc w:val="left"/>
      <w:pPr>
        <w:tabs>
          <w:tab w:val="num" w:pos="3600"/>
        </w:tabs>
        <w:ind w:left="3600" w:hanging="360"/>
      </w:pPr>
      <w:rPr>
        <w:rFonts w:ascii="Wingdings" w:hAnsi="Wingdings" w:hint="default"/>
      </w:rPr>
    </w:lvl>
    <w:lvl w:ilvl="5" w:tplc="5B8EDD8A" w:tentative="1">
      <w:start w:val="1"/>
      <w:numFmt w:val="bullet"/>
      <w:lvlText w:val=""/>
      <w:lvlJc w:val="left"/>
      <w:pPr>
        <w:tabs>
          <w:tab w:val="num" w:pos="4320"/>
        </w:tabs>
        <w:ind w:left="4320" w:hanging="360"/>
      </w:pPr>
      <w:rPr>
        <w:rFonts w:ascii="Wingdings" w:hAnsi="Wingdings" w:hint="default"/>
      </w:rPr>
    </w:lvl>
    <w:lvl w:ilvl="6" w:tplc="83302CDA" w:tentative="1">
      <w:start w:val="1"/>
      <w:numFmt w:val="bullet"/>
      <w:lvlText w:val=""/>
      <w:lvlJc w:val="left"/>
      <w:pPr>
        <w:tabs>
          <w:tab w:val="num" w:pos="5040"/>
        </w:tabs>
        <w:ind w:left="5040" w:hanging="360"/>
      </w:pPr>
      <w:rPr>
        <w:rFonts w:ascii="Wingdings" w:hAnsi="Wingdings" w:hint="default"/>
      </w:rPr>
    </w:lvl>
    <w:lvl w:ilvl="7" w:tplc="2D8012A2" w:tentative="1">
      <w:start w:val="1"/>
      <w:numFmt w:val="bullet"/>
      <w:lvlText w:val=""/>
      <w:lvlJc w:val="left"/>
      <w:pPr>
        <w:tabs>
          <w:tab w:val="num" w:pos="5760"/>
        </w:tabs>
        <w:ind w:left="5760" w:hanging="360"/>
      </w:pPr>
      <w:rPr>
        <w:rFonts w:ascii="Wingdings" w:hAnsi="Wingdings" w:hint="default"/>
      </w:rPr>
    </w:lvl>
    <w:lvl w:ilvl="8" w:tplc="1AAEC994" w:tentative="1">
      <w:start w:val="1"/>
      <w:numFmt w:val="bullet"/>
      <w:lvlText w:val=""/>
      <w:lvlJc w:val="left"/>
      <w:pPr>
        <w:tabs>
          <w:tab w:val="num" w:pos="6480"/>
        </w:tabs>
        <w:ind w:left="6480" w:hanging="360"/>
      </w:pPr>
      <w:rPr>
        <w:rFonts w:ascii="Wingdings" w:hAnsi="Wingdings" w:hint="default"/>
      </w:rPr>
    </w:lvl>
  </w:abstractNum>
  <w:abstractNum w:abstractNumId="30">
    <w:nsid w:val="2FA767BB"/>
    <w:multiLevelType w:val="hybridMultilevel"/>
    <w:tmpl w:val="70EEDA7E"/>
    <w:lvl w:ilvl="0" w:tplc="100A0001">
      <w:start w:val="1"/>
      <w:numFmt w:val="bullet"/>
      <w:lvlText w:val=""/>
      <w:lvlJc w:val="left"/>
      <w:pPr>
        <w:ind w:left="1440" w:hanging="360"/>
      </w:pPr>
      <w:rPr>
        <w:rFonts w:ascii="Symbol" w:hAnsi="Symbol"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31">
    <w:nsid w:val="2FF50A47"/>
    <w:multiLevelType w:val="hybridMultilevel"/>
    <w:tmpl w:val="B1E41E64"/>
    <w:lvl w:ilvl="0" w:tplc="100A0017">
      <w:start w:val="1"/>
      <w:numFmt w:val="lowerLetter"/>
      <w:lvlText w:val="%1)"/>
      <w:lvlJc w:val="left"/>
      <w:pPr>
        <w:ind w:left="720" w:hanging="36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2">
    <w:nsid w:val="314731CC"/>
    <w:multiLevelType w:val="hybridMultilevel"/>
    <w:tmpl w:val="1B469CB2"/>
    <w:lvl w:ilvl="0" w:tplc="F3664F80">
      <w:numFmt w:val="bullet"/>
      <w:lvlText w:val="•"/>
      <w:lvlJc w:val="left"/>
      <w:pPr>
        <w:ind w:left="1800" w:hanging="360"/>
      </w:pPr>
      <w:rPr>
        <w:rFonts w:ascii="Helvetica" w:eastAsia="Times New Roman" w:hAnsi="Helvetica" w:cs="Helvetica" w:hint="default"/>
      </w:rPr>
    </w:lvl>
    <w:lvl w:ilvl="1" w:tplc="38F0A154" w:tentative="1">
      <w:start w:val="1"/>
      <w:numFmt w:val="bullet"/>
      <w:lvlText w:val="o"/>
      <w:lvlJc w:val="left"/>
      <w:pPr>
        <w:ind w:left="2160" w:hanging="360"/>
      </w:pPr>
      <w:rPr>
        <w:rFonts w:ascii="Courier New" w:hAnsi="Courier New" w:cs="Courier New" w:hint="default"/>
      </w:rPr>
    </w:lvl>
    <w:lvl w:ilvl="2" w:tplc="A29CA1C4" w:tentative="1">
      <w:start w:val="1"/>
      <w:numFmt w:val="bullet"/>
      <w:lvlText w:val=""/>
      <w:lvlJc w:val="left"/>
      <w:pPr>
        <w:ind w:left="2880" w:hanging="360"/>
      </w:pPr>
      <w:rPr>
        <w:rFonts w:ascii="Wingdings" w:hAnsi="Wingdings" w:hint="default"/>
      </w:rPr>
    </w:lvl>
    <w:lvl w:ilvl="3" w:tplc="81644AAC" w:tentative="1">
      <w:start w:val="1"/>
      <w:numFmt w:val="bullet"/>
      <w:lvlText w:val=""/>
      <w:lvlJc w:val="left"/>
      <w:pPr>
        <w:ind w:left="3600" w:hanging="360"/>
      </w:pPr>
      <w:rPr>
        <w:rFonts w:ascii="Symbol" w:hAnsi="Symbol" w:hint="default"/>
      </w:rPr>
    </w:lvl>
    <w:lvl w:ilvl="4" w:tplc="2000262E" w:tentative="1">
      <w:start w:val="1"/>
      <w:numFmt w:val="bullet"/>
      <w:lvlText w:val="o"/>
      <w:lvlJc w:val="left"/>
      <w:pPr>
        <w:ind w:left="4320" w:hanging="360"/>
      </w:pPr>
      <w:rPr>
        <w:rFonts w:ascii="Courier New" w:hAnsi="Courier New" w:cs="Courier New" w:hint="default"/>
      </w:rPr>
    </w:lvl>
    <w:lvl w:ilvl="5" w:tplc="00089066" w:tentative="1">
      <w:start w:val="1"/>
      <w:numFmt w:val="bullet"/>
      <w:lvlText w:val=""/>
      <w:lvlJc w:val="left"/>
      <w:pPr>
        <w:ind w:left="5040" w:hanging="360"/>
      </w:pPr>
      <w:rPr>
        <w:rFonts w:ascii="Wingdings" w:hAnsi="Wingdings" w:hint="default"/>
      </w:rPr>
    </w:lvl>
    <w:lvl w:ilvl="6" w:tplc="21229270" w:tentative="1">
      <w:start w:val="1"/>
      <w:numFmt w:val="bullet"/>
      <w:lvlText w:val=""/>
      <w:lvlJc w:val="left"/>
      <w:pPr>
        <w:ind w:left="5760" w:hanging="360"/>
      </w:pPr>
      <w:rPr>
        <w:rFonts w:ascii="Symbol" w:hAnsi="Symbol" w:hint="default"/>
      </w:rPr>
    </w:lvl>
    <w:lvl w:ilvl="7" w:tplc="51C441CE" w:tentative="1">
      <w:start w:val="1"/>
      <w:numFmt w:val="bullet"/>
      <w:lvlText w:val="o"/>
      <w:lvlJc w:val="left"/>
      <w:pPr>
        <w:ind w:left="6480" w:hanging="360"/>
      </w:pPr>
      <w:rPr>
        <w:rFonts w:ascii="Courier New" w:hAnsi="Courier New" w:cs="Courier New" w:hint="default"/>
      </w:rPr>
    </w:lvl>
    <w:lvl w:ilvl="8" w:tplc="DB22673E" w:tentative="1">
      <w:start w:val="1"/>
      <w:numFmt w:val="bullet"/>
      <w:lvlText w:val=""/>
      <w:lvlJc w:val="left"/>
      <w:pPr>
        <w:ind w:left="7200" w:hanging="360"/>
      </w:pPr>
      <w:rPr>
        <w:rFonts w:ascii="Wingdings" w:hAnsi="Wingdings" w:hint="default"/>
      </w:rPr>
    </w:lvl>
  </w:abstractNum>
  <w:abstractNum w:abstractNumId="33">
    <w:nsid w:val="31891A55"/>
    <w:multiLevelType w:val="hybridMultilevel"/>
    <w:tmpl w:val="D2605838"/>
    <w:lvl w:ilvl="0" w:tplc="EEB64952">
      <w:start w:val="1"/>
      <w:numFmt w:val="lowerLetter"/>
      <w:lvlText w:val="%1)"/>
      <w:lvlJc w:val="left"/>
      <w:pPr>
        <w:ind w:left="108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4">
    <w:nsid w:val="359E347D"/>
    <w:multiLevelType w:val="hybridMultilevel"/>
    <w:tmpl w:val="B192B912"/>
    <w:lvl w:ilvl="0" w:tplc="A76AFB5A">
      <w:start w:val="1"/>
      <w:numFmt w:val="bullet"/>
      <w:lvlText w:val=""/>
      <w:lvlJc w:val="left"/>
      <w:pPr>
        <w:tabs>
          <w:tab w:val="num" w:pos="720"/>
        </w:tabs>
        <w:ind w:left="720" w:hanging="360"/>
      </w:pPr>
      <w:rPr>
        <w:rFonts w:ascii="Wingdings" w:hAnsi="Wingdings" w:hint="default"/>
      </w:rPr>
    </w:lvl>
    <w:lvl w:ilvl="1" w:tplc="428A1E4A" w:tentative="1">
      <w:start w:val="1"/>
      <w:numFmt w:val="bullet"/>
      <w:lvlText w:val=""/>
      <w:lvlJc w:val="left"/>
      <w:pPr>
        <w:tabs>
          <w:tab w:val="num" w:pos="1440"/>
        </w:tabs>
        <w:ind w:left="1440" w:hanging="360"/>
      </w:pPr>
      <w:rPr>
        <w:rFonts w:ascii="Wingdings" w:hAnsi="Wingdings" w:hint="default"/>
      </w:rPr>
    </w:lvl>
    <w:lvl w:ilvl="2" w:tplc="668C8D00" w:tentative="1">
      <w:start w:val="1"/>
      <w:numFmt w:val="bullet"/>
      <w:lvlText w:val=""/>
      <w:lvlJc w:val="left"/>
      <w:pPr>
        <w:tabs>
          <w:tab w:val="num" w:pos="2160"/>
        </w:tabs>
        <w:ind w:left="2160" w:hanging="360"/>
      </w:pPr>
      <w:rPr>
        <w:rFonts w:ascii="Wingdings" w:hAnsi="Wingdings" w:hint="default"/>
      </w:rPr>
    </w:lvl>
    <w:lvl w:ilvl="3" w:tplc="B5283484" w:tentative="1">
      <w:start w:val="1"/>
      <w:numFmt w:val="bullet"/>
      <w:lvlText w:val=""/>
      <w:lvlJc w:val="left"/>
      <w:pPr>
        <w:tabs>
          <w:tab w:val="num" w:pos="2880"/>
        </w:tabs>
        <w:ind w:left="2880" w:hanging="360"/>
      </w:pPr>
      <w:rPr>
        <w:rFonts w:ascii="Wingdings" w:hAnsi="Wingdings" w:hint="default"/>
      </w:rPr>
    </w:lvl>
    <w:lvl w:ilvl="4" w:tplc="0E08AC0E" w:tentative="1">
      <w:start w:val="1"/>
      <w:numFmt w:val="bullet"/>
      <w:lvlText w:val=""/>
      <w:lvlJc w:val="left"/>
      <w:pPr>
        <w:tabs>
          <w:tab w:val="num" w:pos="3600"/>
        </w:tabs>
        <w:ind w:left="3600" w:hanging="360"/>
      </w:pPr>
      <w:rPr>
        <w:rFonts w:ascii="Wingdings" w:hAnsi="Wingdings" w:hint="default"/>
      </w:rPr>
    </w:lvl>
    <w:lvl w:ilvl="5" w:tplc="1F545334" w:tentative="1">
      <w:start w:val="1"/>
      <w:numFmt w:val="bullet"/>
      <w:lvlText w:val=""/>
      <w:lvlJc w:val="left"/>
      <w:pPr>
        <w:tabs>
          <w:tab w:val="num" w:pos="4320"/>
        </w:tabs>
        <w:ind w:left="4320" w:hanging="360"/>
      </w:pPr>
      <w:rPr>
        <w:rFonts w:ascii="Wingdings" w:hAnsi="Wingdings" w:hint="default"/>
      </w:rPr>
    </w:lvl>
    <w:lvl w:ilvl="6" w:tplc="748A6C60" w:tentative="1">
      <w:start w:val="1"/>
      <w:numFmt w:val="bullet"/>
      <w:lvlText w:val=""/>
      <w:lvlJc w:val="left"/>
      <w:pPr>
        <w:tabs>
          <w:tab w:val="num" w:pos="5040"/>
        </w:tabs>
        <w:ind w:left="5040" w:hanging="360"/>
      </w:pPr>
      <w:rPr>
        <w:rFonts w:ascii="Wingdings" w:hAnsi="Wingdings" w:hint="default"/>
      </w:rPr>
    </w:lvl>
    <w:lvl w:ilvl="7" w:tplc="0960FAD4" w:tentative="1">
      <w:start w:val="1"/>
      <w:numFmt w:val="bullet"/>
      <w:lvlText w:val=""/>
      <w:lvlJc w:val="left"/>
      <w:pPr>
        <w:tabs>
          <w:tab w:val="num" w:pos="5760"/>
        </w:tabs>
        <w:ind w:left="5760" w:hanging="360"/>
      </w:pPr>
      <w:rPr>
        <w:rFonts w:ascii="Wingdings" w:hAnsi="Wingdings" w:hint="default"/>
      </w:rPr>
    </w:lvl>
    <w:lvl w:ilvl="8" w:tplc="209AF454" w:tentative="1">
      <w:start w:val="1"/>
      <w:numFmt w:val="bullet"/>
      <w:lvlText w:val=""/>
      <w:lvlJc w:val="left"/>
      <w:pPr>
        <w:tabs>
          <w:tab w:val="num" w:pos="6480"/>
        </w:tabs>
        <w:ind w:left="6480" w:hanging="360"/>
      </w:pPr>
      <w:rPr>
        <w:rFonts w:ascii="Wingdings" w:hAnsi="Wingdings" w:hint="default"/>
      </w:rPr>
    </w:lvl>
  </w:abstractNum>
  <w:abstractNum w:abstractNumId="35">
    <w:nsid w:val="36703579"/>
    <w:multiLevelType w:val="hybridMultilevel"/>
    <w:tmpl w:val="5C12AA90"/>
    <w:lvl w:ilvl="0" w:tplc="B85C24A2">
      <w:start w:val="1"/>
      <w:numFmt w:val="bullet"/>
      <w:lvlText w:val=""/>
      <w:lvlJc w:val="left"/>
      <w:pPr>
        <w:ind w:left="720" w:hanging="360"/>
      </w:pPr>
      <w:rPr>
        <w:rFonts w:ascii="Symbol" w:hAnsi="Symbol" w:hint="default"/>
      </w:rPr>
    </w:lvl>
    <w:lvl w:ilvl="1" w:tplc="C4B03D20" w:tentative="1">
      <w:start w:val="1"/>
      <w:numFmt w:val="bullet"/>
      <w:lvlText w:val="o"/>
      <w:lvlJc w:val="left"/>
      <w:pPr>
        <w:ind w:left="1440" w:hanging="360"/>
      </w:pPr>
      <w:rPr>
        <w:rFonts w:ascii="Courier New" w:hAnsi="Courier New" w:cs="Courier New" w:hint="default"/>
      </w:rPr>
    </w:lvl>
    <w:lvl w:ilvl="2" w:tplc="894E0948" w:tentative="1">
      <w:start w:val="1"/>
      <w:numFmt w:val="bullet"/>
      <w:lvlText w:val=""/>
      <w:lvlJc w:val="left"/>
      <w:pPr>
        <w:ind w:left="2160" w:hanging="360"/>
      </w:pPr>
      <w:rPr>
        <w:rFonts w:ascii="Wingdings" w:hAnsi="Wingdings" w:hint="default"/>
      </w:rPr>
    </w:lvl>
    <w:lvl w:ilvl="3" w:tplc="4D1EF370" w:tentative="1">
      <w:start w:val="1"/>
      <w:numFmt w:val="bullet"/>
      <w:lvlText w:val=""/>
      <w:lvlJc w:val="left"/>
      <w:pPr>
        <w:ind w:left="2880" w:hanging="360"/>
      </w:pPr>
      <w:rPr>
        <w:rFonts w:ascii="Symbol" w:hAnsi="Symbol" w:hint="default"/>
      </w:rPr>
    </w:lvl>
    <w:lvl w:ilvl="4" w:tplc="DB5619AC" w:tentative="1">
      <w:start w:val="1"/>
      <w:numFmt w:val="bullet"/>
      <w:lvlText w:val="o"/>
      <w:lvlJc w:val="left"/>
      <w:pPr>
        <w:ind w:left="3600" w:hanging="360"/>
      </w:pPr>
      <w:rPr>
        <w:rFonts w:ascii="Courier New" w:hAnsi="Courier New" w:cs="Courier New" w:hint="default"/>
      </w:rPr>
    </w:lvl>
    <w:lvl w:ilvl="5" w:tplc="6302C608" w:tentative="1">
      <w:start w:val="1"/>
      <w:numFmt w:val="bullet"/>
      <w:lvlText w:val=""/>
      <w:lvlJc w:val="left"/>
      <w:pPr>
        <w:ind w:left="4320" w:hanging="360"/>
      </w:pPr>
      <w:rPr>
        <w:rFonts w:ascii="Wingdings" w:hAnsi="Wingdings" w:hint="default"/>
      </w:rPr>
    </w:lvl>
    <w:lvl w:ilvl="6" w:tplc="CFDCBA14" w:tentative="1">
      <w:start w:val="1"/>
      <w:numFmt w:val="bullet"/>
      <w:lvlText w:val=""/>
      <w:lvlJc w:val="left"/>
      <w:pPr>
        <w:ind w:left="5040" w:hanging="360"/>
      </w:pPr>
      <w:rPr>
        <w:rFonts w:ascii="Symbol" w:hAnsi="Symbol" w:hint="default"/>
      </w:rPr>
    </w:lvl>
    <w:lvl w:ilvl="7" w:tplc="0F522C52" w:tentative="1">
      <w:start w:val="1"/>
      <w:numFmt w:val="bullet"/>
      <w:lvlText w:val="o"/>
      <w:lvlJc w:val="left"/>
      <w:pPr>
        <w:ind w:left="5760" w:hanging="360"/>
      </w:pPr>
      <w:rPr>
        <w:rFonts w:ascii="Courier New" w:hAnsi="Courier New" w:cs="Courier New" w:hint="default"/>
      </w:rPr>
    </w:lvl>
    <w:lvl w:ilvl="8" w:tplc="9AE26606" w:tentative="1">
      <w:start w:val="1"/>
      <w:numFmt w:val="bullet"/>
      <w:lvlText w:val=""/>
      <w:lvlJc w:val="left"/>
      <w:pPr>
        <w:ind w:left="6480" w:hanging="360"/>
      </w:pPr>
      <w:rPr>
        <w:rFonts w:ascii="Wingdings" w:hAnsi="Wingdings" w:hint="default"/>
      </w:rPr>
    </w:lvl>
  </w:abstractNum>
  <w:abstractNum w:abstractNumId="36">
    <w:nsid w:val="367562CF"/>
    <w:multiLevelType w:val="hybridMultilevel"/>
    <w:tmpl w:val="DB3C1548"/>
    <w:lvl w:ilvl="0" w:tplc="2474B974">
      <w:start w:val="1"/>
      <w:numFmt w:val="low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
    <w:nsid w:val="37E15E8E"/>
    <w:multiLevelType w:val="hybridMultilevel"/>
    <w:tmpl w:val="68B0C1BA"/>
    <w:lvl w:ilvl="0" w:tplc="5B10D5F2">
      <w:start w:val="1"/>
      <w:numFmt w:val="bullet"/>
      <w:lvlText w:val=""/>
      <w:lvlJc w:val="left"/>
      <w:pPr>
        <w:tabs>
          <w:tab w:val="num" w:pos="720"/>
        </w:tabs>
        <w:ind w:left="720" w:hanging="360"/>
      </w:pPr>
      <w:rPr>
        <w:rFonts w:ascii="Symbol" w:hAnsi="Symbol" w:hint="default"/>
        <w:color w:val="auto"/>
      </w:rPr>
    </w:lvl>
    <w:lvl w:ilvl="1" w:tplc="5744214E" w:tentative="1">
      <w:start w:val="1"/>
      <w:numFmt w:val="bullet"/>
      <w:lvlText w:val="o"/>
      <w:lvlJc w:val="left"/>
      <w:pPr>
        <w:tabs>
          <w:tab w:val="num" w:pos="1440"/>
        </w:tabs>
        <w:ind w:left="1440" w:hanging="360"/>
      </w:pPr>
      <w:rPr>
        <w:rFonts w:ascii="Courier New" w:hAnsi="Courier New" w:cs="Courier New" w:hint="default"/>
      </w:rPr>
    </w:lvl>
    <w:lvl w:ilvl="2" w:tplc="F0DCB23C" w:tentative="1">
      <w:start w:val="1"/>
      <w:numFmt w:val="bullet"/>
      <w:lvlText w:val=""/>
      <w:lvlJc w:val="left"/>
      <w:pPr>
        <w:tabs>
          <w:tab w:val="num" w:pos="2160"/>
        </w:tabs>
        <w:ind w:left="2160" w:hanging="360"/>
      </w:pPr>
      <w:rPr>
        <w:rFonts w:ascii="Wingdings" w:hAnsi="Wingdings" w:hint="default"/>
      </w:rPr>
    </w:lvl>
    <w:lvl w:ilvl="3" w:tplc="3104E87C" w:tentative="1">
      <w:start w:val="1"/>
      <w:numFmt w:val="bullet"/>
      <w:lvlText w:val=""/>
      <w:lvlJc w:val="left"/>
      <w:pPr>
        <w:tabs>
          <w:tab w:val="num" w:pos="2880"/>
        </w:tabs>
        <w:ind w:left="2880" w:hanging="360"/>
      </w:pPr>
      <w:rPr>
        <w:rFonts w:ascii="Symbol" w:hAnsi="Symbol" w:hint="default"/>
      </w:rPr>
    </w:lvl>
    <w:lvl w:ilvl="4" w:tplc="76262A94" w:tentative="1">
      <w:start w:val="1"/>
      <w:numFmt w:val="bullet"/>
      <w:lvlText w:val="o"/>
      <w:lvlJc w:val="left"/>
      <w:pPr>
        <w:tabs>
          <w:tab w:val="num" w:pos="3600"/>
        </w:tabs>
        <w:ind w:left="3600" w:hanging="360"/>
      </w:pPr>
      <w:rPr>
        <w:rFonts w:ascii="Courier New" w:hAnsi="Courier New" w:cs="Courier New" w:hint="default"/>
      </w:rPr>
    </w:lvl>
    <w:lvl w:ilvl="5" w:tplc="CEF883E0" w:tentative="1">
      <w:start w:val="1"/>
      <w:numFmt w:val="bullet"/>
      <w:lvlText w:val=""/>
      <w:lvlJc w:val="left"/>
      <w:pPr>
        <w:tabs>
          <w:tab w:val="num" w:pos="4320"/>
        </w:tabs>
        <w:ind w:left="4320" w:hanging="360"/>
      </w:pPr>
      <w:rPr>
        <w:rFonts w:ascii="Wingdings" w:hAnsi="Wingdings" w:hint="default"/>
      </w:rPr>
    </w:lvl>
    <w:lvl w:ilvl="6" w:tplc="870EC3F0" w:tentative="1">
      <w:start w:val="1"/>
      <w:numFmt w:val="bullet"/>
      <w:lvlText w:val=""/>
      <w:lvlJc w:val="left"/>
      <w:pPr>
        <w:tabs>
          <w:tab w:val="num" w:pos="5040"/>
        </w:tabs>
        <w:ind w:left="5040" w:hanging="360"/>
      </w:pPr>
      <w:rPr>
        <w:rFonts w:ascii="Symbol" w:hAnsi="Symbol" w:hint="default"/>
      </w:rPr>
    </w:lvl>
    <w:lvl w:ilvl="7" w:tplc="67303774" w:tentative="1">
      <w:start w:val="1"/>
      <w:numFmt w:val="bullet"/>
      <w:lvlText w:val="o"/>
      <w:lvlJc w:val="left"/>
      <w:pPr>
        <w:tabs>
          <w:tab w:val="num" w:pos="5760"/>
        </w:tabs>
        <w:ind w:left="5760" w:hanging="360"/>
      </w:pPr>
      <w:rPr>
        <w:rFonts w:ascii="Courier New" w:hAnsi="Courier New" w:cs="Courier New" w:hint="default"/>
      </w:rPr>
    </w:lvl>
    <w:lvl w:ilvl="8" w:tplc="C0BA54E0" w:tentative="1">
      <w:start w:val="1"/>
      <w:numFmt w:val="bullet"/>
      <w:lvlText w:val=""/>
      <w:lvlJc w:val="left"/>
      <w:pPr>
        <w:tabs>
          <w:tab w:val="num" w:pos="6480"/>
        </w:tabs>
        <w:ind w:left="6480" w:hanging="360"/>
      </w:pPr>
      <w:rPr>
        <w:rFonts w:ascii="Wingdings" w:hAnsi="Wingdings" w:hint="default"/>
      </w:rPr>
    </w:lvl>
  </w:abstractNum>
  <w:abstractNum w:abstractNumId="38">
    <w:nsid w:val="38043F31"/>
    <w:multiLevelType w:val="hybridMultilevel"/>
    <w:tmpl w:val="6A42FADA"/>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39">
    <w:nsid w:val="3AF335E9"/>
    <w:multiLevelType w:val="hybridMultilevel"/>
    <w:tmpl w:val="EB3277C8"/>
    <w:lvl w:ilvl="0" w:tplc="080A0017">
      <w:start w:val="1"/>
      <w:numFmt w:val="bullet"/>
      <w:lvlText w:val=""/>
      <w:lvlJc w:val="left"/>
      <w:pPr>
        <w:ind w:left="720" w:hanging="360"/>
      </w:pPr>
      <w:rPr>
        <w:rFonts w:ascii="Symbol" w:hAnsi="Symbol" w:hint="default"/>
      </w:rPr>
    </w:lvl>
    <w:lvl w:ilvl="1" w:tplc="080A0019" w:tentative="1">
      <w:start w:val="1"/>
      <w:numFmt w:val="bullet"/>
      <w:lvlText w:val="o"/>
      <w:lvlJc w:val="left"/>
      <w:pPr>
        <w:ind w:left="1440" w:hanging="360"/>
      </w:pPr>
      <w:rPr>
        <w:rFonts w:ascii="Courier New" w:hAnsi="Courier New" w:cs="Courier New" w:hint="default"/>
      </w:rPr>
    </w:lvl>
    <w:lvl w:ilvl="2" w:tplc="080A001B" w:tentative="1">
      <w:start w:val="1"/>
      <w:numFmt w:val="bullet"/>
      <w:lvlText w:val=""/>
      <w:lvlJc w:val="left"/>
      <w:pPr>
        <w:ind w:left="2160" w:hanging="360"/>
      </w:pPr>
      <w:rPr>
        <w:rFonts w:ascii="Wingdings" w:hAnsi="Wingdings" w:hint="default"/>
      </w:rPr>
    </w:lvl>
    <w:lvl w:ilvl="3" w:tplc="080A000F" w:tentative="1">
      <w:start w:val="1"/>
      <w:numFmt w:val="bullet"/>
      <w:lvlText w:val=""/>
      <w:lvlJc w:val="left"/>
      <w:pPr>
        <w:ind w:left="2880" w:hanging="360"/>
      </w:pPr>
      <w:rPr>
        <w:rFonts w:ascii="Symbol" w:hAnsi="Symbol" w:hint="default"/>
      </w:rPr>
    </w:lvl>
    <w:lvl w:ilvl="4" w:tplc="080A0019" w:tentative="1">
      <w:start w:val="1"/>
      <w:numFmt w:val="bullet"/>
      <w:lvlText w:val="o"/>
      <w:lvlJc w:val="left"/>
      <w:pPr>
        <w:ind w:left="3600" w:hanging="360"/>
      </w:pPr>
      <w:rPr>
        <w:rFonts w:ascii="Courier New" w:hAnsi="Courier New" w:cs="Courier New" w:hint="default"/>
      </w:rPr>
    </w:lvl>
    <w:lvl w:ilvl="5" w:tplc="080A001B" w:tentative="1">
      <w:start w:val="1"/>
      <w:numFmt w:val="bullet"/>
      <w:lvlText w:val=""/>
      <w:lvlJc w:val="left"/>
      <w:pPr>
        <w:ind w:left="4320" w:hanging="360"/>
      </w:pPr>
      <w:rPr>
        <w:rFonts w:ascii="Wingdings" w:hAnsi="Wingdings" w:hint="default"/>
      </w:rPr>
    </w:lvl>
    <w:lvl w:ilvl="6" w:tplc="080A000F" w:tentative="1">
      <w:start w:val="1"/>
      <w:numFmt w:val="bullet"/>
      <w:lvlText w:val=""/>
      <w:lvlJc w:val="left"/>
      <w:pPr>
        <w:ind w:left="5040" w:hanging="360"/>
      </w:pPr>
      <w:rPr>
        <w:rFonts w:ascii="Symbol" w:hAnsi="Symbol" w:hint="default"/>
      </w:rPr>
    </w:lvl>
    <w:lvl w:ilvl="7" w:tplc="080A0019" w:tentative="1">
      <w:start w:val="1"/>
      <w:numFmt w:val="bullet"/>
      <w:lvlText w:val="o"/>
      <w:lvlJc w:val="left"/>
      <w:pPr>
        <w:ind w:left="5760" w:hanging="360"/>
      </w:pPr>
      <w:rPr>
        <w:rFonts w:ascii="Courier New" w:hAnsi="Courier New" w:cs="Courier New" w:hint="default"/>
      </w:rPr>
    </w:lvl>
    <w:lvl w:ilvl="8" w:tplc="080A001B" w:tentative="1">
      <w:start w:val="1"/>
      <w:numFmt w:val="bullet"/>
      <w:lvlText w:val=""/>
      <w:lvlJc w:val="left"/>
      <w:pPr>
        <w:ind w:left="6480" w:hanging="360"/>
      </w:pPr>
      <w:rPr>
        <w:rFonts w:ascii="Wingdings" w:hAnsi="Wingdings" w:hint="default"/>
      </w:rPr>
    </w:lvl>
  </w:abstractNum>
  <w:abstractNum w:abstractNumId="40">
    <w:nsid w:val="3CCF09DA"/>
    <w:multiLevelType w:val="multilevel"/>
    <w:tmpl w:val="5EA65ADE"/>
    <w:lvl w:ilvl="0">
      <w:start w:val="7"/>
      <w:numFmt w:val="decimal"/>
      <w:pStyle w:val="Ttulo11"/>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nsid w:val="3D971384"/>
    <w:multiLevelType w:val="hybridMultilevel"/>
    <w:tmpl w:val="ACB639E2"/>
    <w:lvl w:ilvl="0" w:tplc="100A0001">
      <w:start w:val="1"/>
      <w:numFmt w:val="bullet"/>
      <w:lvlText w:val=""/>
      <w:lvlJc w:val="left"/>
      <w:pPr>
        <w:tabs>
          <w:tab w:val="num" w:pos="720"/>
        </w:tabs>
        <w:ind w:left="720" w:hanging="360"/>
      </w:pPr>
      <w:rPr>
        <w:rFonts w:ascii="Wingdings" w:hAnsi="Wingdings" w:cs="Wingdings" w:hint="default"/>
      </w:rPr>
    </w:lvl>
    <w:lvl w:ilvl="1" w:tplc="100A0003">
      <w:start w:val="1"/>
      <w:numFmt w:val="bullet"/>
      <w:lvlText w:val=""/>
      <w:lvlJc w:val="left"/>
      <w:pPr>
        <w:tabs>
          <w:tab w:val="num" w:pos="1440"/>
        </w:tabs>
        <w:ind w:left="1440" w:hanging="360"/>
      </w:pPr>
      <w:rPr>
        <w:rFonts w:ascii="Wingdings" w:hAnsi="Wingdings" w:cs="Wingdings" w:hint="default"/>
      </w:rPr>
    </w:lvl>
    <w:lvl w:ilvl="2" w:tplc="100A0005">
      <w:start w:val="1"/>
      <w:numFmt w:val="bullet"/>
      <w:lvlText w:val=""/>
      <w:lvlJc w:val="left"/>
      <w:pPr>
        <w:tabs>
          <w:tab w:val="num" w:pos="2160"/>
        </w:tabs>
        <w:ind w:left="2160" w:hanging="360"/>
      </w:pPr>
      <w:rPr>
        <w:rFonts w:ascii="Wingdings" w:hAnsi="Wingdings" w:cs="Wingdings" w:hint="default"/>
      </w:rPr>
    </w:lvl>
    <w:lvl w:ilvl="3" w:tplc="100A0001">
      <w:start w:val="1"/>
      <w:numFmt w:val="bullet"/>
      <w:lvlText w:val=""/>
      <w:lvlJc w:val="left"/>
      <w:pPr>
        <w:tabs>
          <w:tab w:val="num" w:pos="2880"/>
        </w:tabs>
        <w:ind w:left="2880" w:hanging="360"/>
      </w:pPr>
      <w:rPr>
        <w:rFonts w:ascii="Wingdings" w:hAnsi="Wingdings" w:cs="Wingdings" w:hint="default"/>
      </w:rPr>
    </w:lvl>
    <w:lvl w:ilvl="4" w:tplc="100A0003">
      <w:start w:val="1"/>
      <w:numFmt w:val="bullet"/>
      <w:lvlText w:val=""/>
      <w:lvlJc w:val="left"/>
      <w:pPr>
        <w:tabs>
          <w:tab w:val="num" w:pos="3600"/>
        </w:tabs>
        <w:ind w:left="3600" w:hanging="360"/>
      </w:pPr>
      <w:rPr>
        <w:rFonts w:ascii="Wingdings" w:hAnsi="Wingdings" w:cs="Wingdings" w:hint="default"/>
      </w:rPr>
    </w:lvl>
    <w:lvl w:ilvl="5" w:tplc="100A0005">
      <w:start w:val="1"/>
      <w:numFmt w:val="bullet"/>
      <w:lvlText w:val=""/>
      <w:lvlJc w:val="left"/>
      <w:pPr>
        <w:tabs>
          <w:tab w:val="num" w:pos="4320"/>
        </w:tabs>
        <w:ind w:left="4320" w:hanging="360"/>
      </w:pPr>
      <w:rPr>
        <w:rFonts w:ascii="Wingdings" w:hAnsi="Wingdings" w:cs="Wingdings" w:hint="default"/>
      </w:rPr>
    </w:lvl>
    <w:lvl w:ilvl="6" w:tplc="100A0001">
      <w:start w:val="1"/>
      <w:numFmt w:val="bullet"/>
      <w:lvlText w:val=""/>
      <w:lvlJc w:val="left"/>
      <w:pPr>
        <w:tabs>
          <w:tab w:val="num" w:pos="5040"/>
        </w:tabs>
        <w:ind w:left="5040" w:hanging="360"/>
      </w:pPr>
      <w:rPr>
        <w:rFonts w:ascii="Wingdings" w:hAnsi="Wingdings" w:cs="Wingdings" w:hint="default"/>
      </w:rPr>
    </w:lvl>
    <w:lvl w:ilvl="7" w:tplc="100A0003">
      <w:start w:val="1"/>
      <w:numFmt w:val="bullet"/>
      <w:lvlText w:val=""/>
      <w:lvlJc w:val="left"/>
      <w:pPr>
        <w:tabs>
          <w:tab w:val="num" w:pos="5760"/>
        </w:tabs>
        <w:ind w:left="5760" w:hanging="360"/>
      </w:pPr>
      <w:rPr>
        <w:rFonts w:ascii="Wingdings" w:hAnsi="Wingdings" w:cs="Wingdings" w:hint="default"/>
      </w:rPr>
    </w:lvl>
    <w:lvl w:ilvl="8" w:tplc="100A0005">
      <w:start w:val="1"/>
      <w:numFmt w:val="bullet"/>
      <w:lvlText w:val=""/>
      <w:lvlJc w:val="left"/>
      <w:pPr>
        <w:tabs>
          <w:tab w:val="num" w:pos="6480"/>
        </w:tabs>
        <w:ind w:left="6480" w:hanging="360"/>
      </w:pPr>
      <w:rPr>
        <w:rFonts w:ascii="Wingdings" w:hAnsi="Wingdings" w:cs="Wingdings" w:hint="default"/>
      </w:rPr>
    </w:lvl>
  </w:abstractNum>
  <w:abstractNum w:abstractNumId="42">
    <w:nsid w:val="404D1A61"/>
    <w:multiLevelType w:val="hybridMultilevel"/>
    <w:tmpl w:val="6EA0903E"/>
    <w:lvl w:ilvl="0" w:tplc="100A0001">
      <w:start w:val="1"/>
      <w:numFmt w:val="bullet"/>
      <w:lvlText w:val=""/>
      <w:lvlJc w:val="left"/>
      <w:pPr>
        <w:tabs>
          <w:tab w:val="num" w:pos="720"/>
        </w:tabs>
        <w:ind w:left="720" w:hanging="360"/>
      </w:pPr>
      <w:rPr>
        <w:rFonts w:ascii="Wingdings" w:hAnsi="Wingdings" w:hint="default"/>
      </w:rPr>
    </w:lvl>
    <w:lvl w:ilvl="1" w:tplc="100A0003" w:tentative="1">
      <w:start w:val="1"/>
      <w:numFmt w:val="bullet"/>
      <w:lvlText w:val=""/>
      <w:lvlJc w:val="left"/>
      <w:pPr>
        <w:tabs>
          <w:tab w:val="num" w:pos="1440"/>
        </w:tabs>
        <w:ind w:left="1440" w:hanging="360"/>
      </w:pPr>
      <w:rPr>
        <w:rFonts w:ascii="Wingdings" w:hAnsi="Wingdings" w:hint="default"/>
      </w:rPr>
    </w:lvl>
    <w:lvl w:ilvl="2" w:tplc="100A0005" w:tentative="1">
      <w:start w:val="1"/>
      <w:numFmt w:val="bullet"/>
      <w:lvlText w:val=""/>
      <w:lvlJc w:val="left"/>
      <w:pPr>
        <w:tabs>
          <w:tab w:val="num" w:pos="2160"/>
        </w:tabs>
        <w:ind w:left="2160" w:hanging="360"/>
      </w:pPr>
      <w:rPr>
        <w:rFonts w:ascii="Wingdings" w:hAnsi="Wingdings" w:hint="default"/>
      </w:rPr>
    </w:lvl>
    <w:lvl w:ilvl="3" w:tplc="100A0001" w:tentative="1">
      <w:start w:val="1"/>
      <w:numFmt w:val="bullet"/>
      <w:lvlText w:val=""/>
      <w:lvlJc w:val="left"/>
      <w:pPr>
        <w:tabs>
          <w:tab w:val="num" w:pos="2880"/>
        </w:tabs>
        <w:ind w:left="2880" w:hanging="360"/>
      </w:pPr>
      <w:rPr>
        <w:rFonts w:ascii="Wingdings" w:hAnsi="Wingdings" w:hint="default"/>
      </w:rPr>
    </w:lvl>
    <w:lvl w:ilvl="4" w:tplc="100A0003" w:tentative="1">
      <w:start w:val="1"/>
      <w:numFmt w:val="bullet"/>
      <w:lvlText w:val=""/>
      <w:lvlJc w:val="left"/>
      <w:pPr>
        <w:tabs>
          <w:tab w:val="num" w:pos="3600"/>
        </w:tabs>
        <w:ind w:left="3600" w:hanging="360"/>
      </w:pPr>
      <w:rPr>
        <w:rFonts w:ascii="Wingdings" w:hAnsi="Wingdings" w:hint="default"/>
      </w:rPr>
    </w:lvl>
    <w:lvl w:ilvl="5" w:tplc="100A0005" w:tentative="1">
      <w:start w:val="1"/>
      <w:numFmt w:val="bullet"/>
      <w:lvlText w:val=""/>
      <w:lvlJc w:val="left"/>
      <w:pPr>
        <w:tabs>
          <w:tab w:val="num" w:pos="4320"/>
        </w:tabs>
        <w:ind w:left="4320" w:hanging="360"/>
      </w:pPr>
      <w:rPr>
        <w:rFonts w:ascii="Wingdings" w:hAnsi="Wingdings" w:hint="default"/>
      </w:rPr>
    </w:lvl>
    <w:lvl w:ilvl="6" w:tplc="100A0001" w:tentative="1">
      <w:start w:val="1"/>
      <w:numFmt w:val="bullet"/>
      <w:lvlText w:val=""/>
      <w:lvlJc w:val="left"/>
      <w:pPr>
        <w:tabs>
          <w:tab w:val="num" w:pos="5040"/>
        </w:tabs>
        <w:ind w:left="5040" w:hanging="360"/>
      </w:pPr>
      <w:rPr>
        <w:rFonts w:ascii="Wingdings" w:hAnsi="Wingdings" w:hint="default"/>
      </w:rPr>
    </w:lvl>
    <w:lvl w:ilvl="7" w:tplc="100A0003" w:tentative="1">
      <w:start w:val="1"/>
      <w:numFmt w:val="bullet"/>
      <w:lvlText w:val=""/>
      <w:lvlJc w:val="left"/>
      <w:pPr>
        <w:tabs>
          <w:tab w:val="num" w:pos="5760"/>
        </w:tabs>
        <w:ind w:left="5760" w:hanging="360"/>
      </w:pPr>
      <w:rPr>
        <w:rFonts w:ascii="Wingdings" w:hAnsi="Wingdings" w:hint="default"/>
      </w:rPr>
    </w:lvl>
    <w:lvl w:ilvl="8" w:tplc="100A0005" w:tentative="1">
      <w:start w:val="1"/>
      <w:numFmt w:val="bullet"/>
      <w:lvlText w:val=""/>
      <w:lvlJc w:val="left"/>
      <w:pPr>
        <w:tabs>
          <w:tab w:val="num" w:pos="6480"/>
        </w:tabs>
        <w:ind w:left="6480" w:hanging="360"/>
      </w:pPr>
      <w:rPr>
        <w:rFonts w:ascii="Wingdings" w:hAnsi="Wingdings" w:hint="default"/>
      </w:rPr>
    </w:lvl>
  </w:abstractNum>
  <w:abstractNum w:abstractNumId="43">
    <w:nsid w:val="41F63065"/>
    <w:multiLevelType w:val="hybridMultilevel"/>
    <w:tmpl w:val="7D00CFD4"/>
    <w:lvl w:ilvl="0" w:tplc="0DD026A0">
      <w:start w:val="1"/>
      <w:numFmt w:val="bullet"/>
      <w:lvlText w:val=""/>
      <w:lvlJc w:val="left"/>
      <w:pPr>
        <w:ind w:left="1080" w:hanging="360"/>
      </w:pPr>
      <w:rPr>
        <w:rFonts w:ascii="Symbol" w:hAnsi="Symbol" w:hint="default"/>
      </w:rPr>
    </w:lvl>
    <w:lvl w:ilvl="1" w:tplc="24124A54" w:tentative="1">
      <w:start w:val="1"/>
      <w:numFmt w:val="bullet"/>
      <w:lvlText w:val="o"/>
      <w:lvlJc w:val="left"/>
      <w:pPr>
        <w:ind w:left="1800" w:hanging="360"/>
      </w:pPr>
      <w:rPr>
        <w:rFonts w:ascii="Courier New" w:hAnsi="Courier New" w:cs="Courier New" w:hint="default"/>
      </w:rPr>
    </w:lvl>
    <w:lvl w:ilvl="2" w:tplc="D66C69E8" w:tentative="1">
      <w:start w:val="1"/>
      <w:numFmt w:val="bullet"/>
      <w:lvlText w:val=""/>
      <w:lvlJc w:val="left"/>
      <w:pPr>
        <w:ind w:left="2520" w:hanging="360"/>
      </w:pPr>
      <w:rPr>
        <w:rFonts w:ascii="Wingdings" w:hAnsi="Wingdings" w:hint="default"/>
      </w:rPr>
    </w:lvl>
    <w:lvl w:ilvl="3" w:tplc="7BC23A46" w:tentative="1">
      <w:start w:val="1"/>
      <w:numFmt w:val="bullet"/>
      <w:lvlText w:val=""/>
      <w:lvlJc w:val="left"/>
      <w:pPr>
        <w:ind w:left="3240" w:hanging="360"/>
      </w:pPr>
      <w:rPr>
        <w:rFonts w:ascii="Symbol" w:hAnsi="Symbol" w:hint="default"/>
      </w:rPr>
    </w:lvl>
    <w:lvl w:ilvl="4" w:tplc="FAC064DE" w:tentative="1">
      <w:start w:val="1"/>
      <w:numFmt w:val="bullet"/>
      <w:lvlText w:val="o"/>
      <w:lvlJc w:val="left"/>
      <w:pPr>
        <w:ind w:left="3960" w:hanging="360"/>
      </w:pPr>
      <w:rPr>
        <w:rFonts w:ascii="Courier New" w:hAnsi="Courier New" w:cs="Courier New" w:hint="default"/>
      </w:rPr>
    </w:lvl>
    <w:lvl w:ilvl="5" w:tplc="2D88462E" w:tentative="1">
      <w:start w:val="1"/>
      <w:numFmt w:val="bullet"/>
      <w:lvlText w:val=""/>
      <w:lvlJc w:val="left"/>
      <w:pPr>
        <w:ind w:left="4680" w:hanging="360"/>
      </w:pPr>
      <w:rPr>
        <w:rFonts w:ascii="Wingdings" w:hAnsi="Wingdings" w:hint="default"/>
      </w:rPr>
    </w:lvl>
    <w:lvl w:ilvl="6" w:tplc="CEA657F8" w:tentative="1">
      <w:start w:val="1"/>
      <w:numFmt w:val="bullet"/>
      <w:lvlText w:val=""/>
      <w:lvlJc w:val="left"/>
      <w:pPr>
        <w:ind w:left="5400" w:hanging="360"/>
      </w:pPr>
      <w:rPr>
        <w:rFonts w:ascii="Symbol" w:hAnsi="Symbol" w:hint="default"/>
      </w:rPr>
    </w:lvl>
    <w:lvl w:ilvl="7" w:tplc="5CB2B1CC" w:tentative="1">
      <w:start w:val="1"/>
      <w:numFmt w:val="bullet"/>
      <w:lvlText w:val="o"/>
      <w:lvlJc w:val="left"/>
      <w:pPr>
        <w:ind w:left="6120" w:hanging="360"/>
      </w:pPr>
      <w:rPr>
        <w:rFonts w:ascii="Courier New" w:hAnsi="Courier New" w:cs="Courier New" w:hint="default"/>
      </w:rPr>
    </w:lvl>
    <w:lvl w:ilvl="8" w:tplc="857A422A" w:tentative="1">
      <w:start w:val="1"/>
      <w:numFmt w:val="bullet"/>
      <w:lvlText w:val=""/>
      <w:lvlJc w:val="left"/>
      <w:pPr>
        <w:ind w:left="6840" w:hanging="360"/>
      </w:pPr>
      <w:rPr>
        <w:rFonts w:ascii="Wingdings" w:hAnsi="Wingdings" w:hint="default"/>
      </w:rPr>
    </w:lvl>
  </w:abstractNum>
  <w:abstractNum w:abstractNumId="44">
    <w:nsid w:val="425209B1"/>
    <w:multiLevelType w:val="multilevel"/>
    <w:tmpl w:val="EFB24810"/>
    <w:lvl w:ilvl="0">
      <w:start w:val="3"/>
      <w:numFmt w:val="decimal"/>
      <w:lvlText w:val="%1"/>
      <w:lvlJc w:val="left"/>
      <w:pPr>
        <w:ind w:left="480" w:hanging="480"/>
      </w:pPr>
      <w:rPr>
        <w:rFonts w:hint="default"/>
      </w:rPr>
    </w:lvl>
    <w:lvl w:ilvl="1">
      <w:start w:val="1"/>
      <w:numFmt w:val="decimal"/>
      <w:lvlText w:val="%1.%2"/>
      <w:lvlJc w:val="left"/>
      <w:pPr>
        <w:ind w:left="75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45">
    <w:nsid w:val="42F203AD"/>
    <w:multiLevelType w:val="hybridMultilevel"/>
    <w:tmpl w:val="405C8DF4"/>
    <w:lvl w:ilvl="0" w:tplc="3D1001AC">
      <w:start w:val="1"/>
      <w:numFmt w:val="bullet"/>
      <w:lvlText w:val=""/>
      <w:lvlJc w:val="left"/>
      <w:pPr>
        <w:tabs>
          <w:tab w:val="num" w:pos="720"/>
        </w:tabs>
        <w:ind w:left="720" w:hanging="360"/>
      </w:pPr>
      <w:rPr>
        <w:rFonts w:ascii="Wingdings" w:hAnsi="Wingdings" w:hint="default"/>
      </w:rPr>
    </w:lvl>
    <w:lvl w:ilvl="1" w:tplc="A1025192" w:tentative="1">
      <w:start w:val="1"/>
      <w:numFmt w:val="bullet"/>
      <w:lvlText w:val=""/>
      <w:lvlJc w:val="left"/>
      <w:pPr>
        <w:tabs>
          <w:tab w:val="num" w:pos="1440"/>
        </w:tabs>
        <w:ind w:left="1440" w:hanging="360"/>
      </w:pPr>
      <w:rPr>
        <w:rFonts w:ascii="Wingdings" w:hAnsi="Wingdings" w:hint="default"/>
      </w:rPr>
    </w:lvl>
    <w:lvl w:ilvl="2" w:tplc="CEEAA43E" w:tentative="1">
      <w:start w:val="1"/>
      <w:numFmt w:val="bullet"/>
      <w:lvlText w:val=""/>
      <w:lvlJc w:val="left"/>
      <w:pPr>
        <w:tabs>
          <w:tab w:val="num" w:pos="2160"/>
        </w:tabs>
        <w:ind w:left="2160" w:hanging="360"/>
      </w:pPr>
      <w:rPr>
        <w:rFonts w:ascii="Wingdings" w:hAnsi="Wingdings" w:hint="default"/>
      </w:rPr>
    </w:lvl>
    <w:lvl w:ilvl="3" w:tplc="5D4204AC" w:tentative="1">
      <w:start w:val="1"/>
      <w:numFmt w:val="bullet"/>
      <w:lvlText w:val=""/>
      <w:lvlJc w:val="left"/>
      <w:pPr>
        <w:tabs>
          <w:tab w:val="num" w:pos="2880"/>
        </w:tabs>
        <w:ind w:left="2880" w:hanging="360"/>
      </w:pPr>
      <w:rPr>
        <w:rFonts w:ascii="Wingdings" w:hAnsi="Wingdings" w:hint="default"/>
      </w:rPr>
    </w:lvl>
    <w:lvl w:ilvl="4" w:tplc="B5E809E8" w:tentative="1">
      <w:start w:val="1"/>
      <w:numFmt w:val="bullet"/>
      <w:lvlText w:val=""/>
      <w:lvlJc w:val="left"/>
      <w:pPr>
        <w:tabs>
          <w:tab w:val="num" w:pos="3600"/>
        </w:tabs>
        <w:ind w:left="3600" w:hanging="360"/>
      </w:pPr>
      <w:rPr>
        <w:rFonts w:ascii="Wingdings" w:hAnsi="Wingdings" w:hint="default"/>
      </w:rPr>
    </w:lvl>
    <w:lvl w:ilvl="5" w:tplc="630E6682" w:tentative="1">
      <w:start w:val="1"/>
      <w:numFmt w:val="bullet"/>
      <w:lvlText w:val=""/>
      <w:lvlJc w:val="left"/>
      <w:pPr>
        <w:tabs>
          <w:tab w:val="num" w:pos="4320"/>
        </w:tabs>
        <w:ind w:left="4320" w:hanging="360"/>
      </w:pPr>
      <w:rPr>
        <w:rFonts w:ascii="Wingdings" w:hAnsi="Wingdings" w:hint="default"/>
      </w:rPr>
    </w:lvl>
    <w:lvl w:ilvl="6" w:tplc="F82E93F4" w:tentative="1">
      <w:start w:val="1"/>
      <w:numFmt w:val="bullet"/>
      <w:lvlText w:val=""/>
      <w:lvlJc w:val="left"/>
      <w:pPr>
        <w:tabs>
          <w:tab w:val="num" w:pos="5040"/>
        </w:tabs>
        <w:ind w:left="5040" w:hanging="360"/>
      </w:pPr>
      <w:rPr>
        <w:rFonts w:ascii="Wingdings" w:hAnsi="Wingdings" w:hint="default"/>
      </w:rPr>
    </w:lvl>
    <w:lvl w:ilvl="7" w:tplc="6FB04756" w:tentative="1">
      <w:start w:val="1"/>
      <w:numFmt w:val="bullet"/>
      <w:lvlText w:val=""/>
      <w:lvlJc w:val="left"/>
      <w:pPr>
        <w:tabs>
          <w:tab w:val="num" w:pos="5760"/>
        </w:tabs>
        <w:ind w:left="5760" w:hanging="360"/>
      </w:pPr>
      <w:rPr>
        <w:rFonts w:ascii="Wingdings" w:hAnsi="Wingdings" w:hint="default"/>
      </w:rPr>
    </w:lvl>
    <w:lvl w:ilvl="8" w:tplc="005AF390" w:tentative="1">
      <w:start w:val="1"/>
      <w:numFmt w:val="bullet"/>
      <w:lvlText w:val=""/>
      <w:lvlJc w:val="left"/>
      <w:pPr>
        <w:tabs>
          <w:tab w:val="num" w:pos="6480"/>
        </w:tabs>
        <w:ind w:left="6480" w:hanging="360"/>
      </w:pPr>
      <w:rPr>
        <w:rFonts w:ascii="Wingdings" w:hAnsi="Wingdings" w:hint="default"/>
      </w:rPr>
    </w:lvl>
  </w:abstractNum>
  <w:abstractNum w:abstractNumId="46">
    <w:nsid w:val="439E3E0E"/>
    <w:multiLevelType w:val="multilevel"/>
    <w:tmpl w:val="C06A36B6"/>
    <w:lvl w:ilvl="0">
      <w:start w:val="3"/>
      <w:numFmt w:val="decimal"/>
      <w:lvlText w:val="%1"/>
      <w:lvlJc w:val="left"/>
      <w:pPr>
        <w:ind w:left="480" w:hanging="480"/>
      </w:pPr>
      <w:rPr>
        <w:rFonts w:hint="default"/>
      </w:rPr>
    </w:lvl>
    <w:lvl w:ilvl="1">
      <w:start w:val="2"/>
      <w:numFmt w:val="decimal"/>
      <w:lvlText w:val="%1.%2"/>
      <w:lvlJc w:val="left"/>
      <w:pPr>
        <w:ind w:left="75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47">
    <w:nsid w:val="45B91E28"/>
    <w:multiLevelType w:val="hybridMultilevel"/>
    <w:tmpl w:val="481E3CD0"/>
    <w:lvl w:ilvl="0" w:tplc="A31CF2E2">
      <w:start w:val="1"/>
      <w:numFmt w:val="bullet"/>
      <w:lvlText w:val=""/>
      <w:lvlJc w:val="left"/>
      <w:pPr>
        <w:tabs>
          <w:tab w:val="num" w:pos="360"/>
        </w:tabs>
        <w:ind w:left="360" w:hanging="360"/>
      </w:pPr>
      <w:rPr>
        <w:rFonts w:ascii="Symbol" w:hAnsi="Symbol" w:hint="default"/>
        <w:color w:val="auto"/>
      </w:rPr>
    </w:lvl>
    <w:lvl w:ilvl="1" w:tplc="93546F8E" w:tentative="1">
      <w:start w:val="1"/>
      <w:numFmt w:val="bullet"/>
      <w:lvlText w:val="o"/>
      <w:lvlJc w:val="left"/>
      <w:pPr>
        <w:tabs>
          <w:tab w:val="num" w:pos="0"/>
        </w:tabs>
        <w:ind w:left="0" w:hanging="360"/>
      </w:pPr>
      <w:rPr>
        <w:rFonts w:ascii="Courier New" w:hAnsi="Courier New" w:cs="Courier New" w:hint="default"/>
      </w:rPr>
    </w:lvl>
    <w:lvl w:ilvl="2" w:tplc="07A21E42" w:tentative="1">
      <w:start w:val="1"/>
      <w:numFmt w:val="bullet"/>
      <w:lvlText w:val=""/>
      <w:lvlJc w:val="left"/>
      <w:pPr>
        <w:tabs>
          <w:tab w:val="num" w:pos="720"/>
        </w:tabs>
        <w:ind w:left="720" w:hanging="360"/>
      </w:pPr>
      <w:rPr>
        <w:rFonts w:ascii="Wingdings" w:hAnsi="Wingdings" w:hint="default"/>
      </w:rPr>
    </w:lvl>
    <w:lvl w:ilvl="3" w:tplc="2B1E74D6" w:tentative="1">
      <w:start w:val="1"/>
      <w:numFmt w:val="bullet"/>
      <w:lvlText w:val=""/>
      <w:lvlJc w:val="left"/>
      <w:pPr>
        <w:tabs>
          <w:tab w:val="num" w:pos="1440"/>
        </w:tabs>
        <w:ind w:left="1440" w:hanging="360"/>
      </w:pPr>
      <w:rPr>
        <w:rFonts w:ascii="Symbol" w:hAnsi="Symbol" w:hint="default"/>
      </w:rPr>
    </w:lvl>
    <w:lvl w:ilvl="4" w:tplc="918290BE" w:tentative="1">
      <w:start w:val="1"/>
      <w:numFmt w:val="bullet"/>
      <w:lvlText w:val="o"/>
      <w:lvlJc w:val="left"/>
      <w:pPr>
        <w:tabs>
          <w:tab w:val="num" w:pos="2160"/>
        </w:tabs>
        <w:ind w:left="2160" w:hanging="360"/>
      </w:pPr>
      <w:rPr>
        <w:rFonts w:ascii="Courier New" w:hAnsi="Courier New" w:cs="Courier New" w:hint="default"/>
      </w:rPr>
    </w:lvl>
    <w:lvl w:ilvl="5" w:tplc="652EEFCE" w:tentative="1">
      <w:start w:val="1"/>
      <w:numFmt w:val="bullet"/>
      <w:lvlText w:val=""/>
      <w:lvlJc w:val="left"/>
      <w:pPr>
        <w:tabs>
          <w:tab w:val="num" w:pos="2880"/>
        </w:tabs>
        <w:ind w:left="2880" w:hanging="360"/>
      </w:pPr>
      <w:rPr>
        <w:rFonts w:ascii="Wingdings" w:hAnsi="Wingdings" w:hint="default"/>
      </w:rPr>
    </w:lvl>
    <w:lvl w:ilvl="6" w:tplc="6E4A7728" w:tentative="1">
      <w:start w:val="1"/>
      <w:numFmt w:val="bullet"/>
      <w:lvlText w:val=""/>
      <w:lvlJc w:val="left"/>
      <w:pPr>
        <w:tabs>
          <w:tab w:val="num" w:pos="3600"/>
        </w:tabs>
        <w:ind w:left="3600" w:hanging="360"/>
      </w:pPr>
      <w:rPr>
        <w:rFonts w:ascii="Symbol" w:hAnsi="Symbol" w:hint="default"/>
      </w:rPr>
    </w:lvl>
    <w:lvl w:ilvl="7" w:tplc="B2947A0A" w:tentative="1">
      <w:start w:val="1"/>
      <w:numFmt w:val="bullet"/>
      <w:lvlText w:val="o"/>
      <w:lvlJc w:val="left"/>
      <w:pPr>
        <w:tabs>
          <w:tab w:val="num" w:pos="4320"/>
        </w:tabs>
        <w:ind w:left="4320" w:hanging="360"/>
      </w:pPr>
      <w:rPr>
        <w:rFonts w:ascii="Courier New" w:hAnsi="Courier New" w:cs="Courier New" w:hint="default"/>
      </w:rPr>
    </w:lvl>
    <w:lvl w:ilvl="8" w:tplc="67AC9394" w:tentative="1">
      <w:start w:val="1"/>
      <w:numFmt w:val="bullet"/>
      <w:lvlText w:val=""/>
      <w:lvlJc w:val="left"/>
      <w:pPr>
        <w:tabs>
          <w:tab w:val="num" w:pos="5040"/>
        </w:tabs>
        <w:ind w:left="5040" w:hanging="360"/>
      </w:pPr>
      <w:rPr>
        <w:rFonts w:ascii="Wingdings" w:hAnsi="Wingdings" w:hint="default"/>
      </w:rPr>
    </w:lvl>
  </w:abstractNum>
  <w:abstractNum w:abstractNumId="48">
    <w:nsid w:val="46B97961"/>
    <w:multiLevelType w:val="hybridMultilevel"/>
    <w:tmpl w:val="97E0074C"/>
    <w:lvl w:ilvl="0" w:tplc="40B85FF4">
      <w:start w:val="1"/>
      <w:numFmt w:val="bullet"/>
      <w:lvlText w:val=""/>
      <w:lvlJc w:val="left"/>
      <w:pPr>
        <w:ind w:left="720" w:hanging="360"/>
      </w:pPr>
      <w:rPr>
        <w:rFonts w:ascii="Symbol" w:hAnsi="Symbol" w:hint="default"/>
      </w:rPr>
    </w:lvl>
    <w:lvl w:ilvl="1" w:tplc="6A8A89EC">
      <w:start w:val="1"/>
      <w:numFmt w:val="bullet"/>
      <w:lvlText w:val="o"/>
      <w:lvlJc w:val="left"/>
      <w:pPr>
        <w:ind w:left="1440" w:hanging="360"/>
      </w:pPr>
      <w:rPr>
        <w:rFonts w:ascii="Courier New" w:hAnsi="Courier New" w:hint="default"/>
      </w:rPr>
    </w:lvl>
    <w:lvl w:ilvl="2" w:tplc="8F0C3294">
      <w:start w:val="1"/>
      <w:numFmt w:val="bullet"/>
      <w:lvlText w:val=""/>
      <w:lvlJc w:val="left"/>
      <w:pPr>
        <w:ind w:left="2160" w:hanging="360"/>
      </w:pPr>
      <w:rPr>
        <w:rFonts w:ascii="Wingdings" w:hAnsi="Wingdings" w:hint="default"/>
      </w:rPr>
    </w:lvl>
    <w:lvl w:ilvl="3" w:tplc="D55230FC">
      <w:start w:val="1"/>
      <w:numFmt w:val="bullet"/>
      <w:lvlText w:val=""/>
      <w:lvlJc w:val="left"/>
      <w:pPr>
        <w:ind w:left="2880" w:hanging="360"/>
      </w:pPr>
      <w:rPr>
        <w:rFonts w:ascii="Symbol" w:hAnsi="Symbol" w:hint="default"/>
      </w:rPr>
    </w:lvl>
    <w:lvl w:ilvl="4" w:tplc="B50C2454">
      <w:start w:val="1"/>
      <w:numFmt w:val="bullet"/>
      <w:lvlText w:val="o"/>
      <w:lvlJc w:val="left"/>
      <w:pPr>
        <w:ind w:left="3600" w:hanging="360"/>
      </w:pPr>
      <w:rPr>
        <w:rFonts w:ascii="Courier New" w:hAnsi="Courier New" w:hint="default"/>
      </w:rPr>
    </w:lvl>
    <w:lvl w:ilvl="5" w:tplc="1876D5C8">
      <w:start w:val="1"/>
      <w:numFmt w:val="bullet"/>
      <w:lvlText w:val=""/>
      <w:lvlJc w:val="left"/>
      <w:pPr>
        <w:ind w:left="4320" w:hanging="360"/>
      </w:pPr>
      <w:rPr>
        <w:rFonts w:ascii="Wingdings" w:hAnsi="Wingdings" w:hint="default"/>
      </w:rPr>
    </w:lvl>
    <w:lvl w:ilvl="6" w:tplc="064E283E">
      <w:start w:val="1"/>
      <w:numFmt w:val="bullet"/>
      <w:lvlText w:val=""/>
      <w:lvlJc w:val="left"/>
      <w:pPr>
        <w:ind w:left="5040" w:hanging="360"/>
      </w:pPr>
      <w:rPr>
        <w:rFonts w:ascii="Symbol" w:hAnsi="Symbol" w:hint="default"/>
      </w:rPr>
    </w:lvl>
    <w:lvl w:ilvl="7" w:tplc="1ED4F1A0">
      <w:start w:val="1"/>
      <w:numFmt w:val="bullet"/>
      <w:lvlText w:val="o"/>
      <w:lvlJc w:val="left"/>
      <w:pPr>
        <w:ind w:left="5760" w:hanging="360"/>
      </w:pPr>
      <w:rPr>
        <w:rFonts w:ascii="Courier New" w:hAnsi="Courier New" w:hint="default"/>
      </w:rPr>
    </w:lvl>
    <w:lvl w:ilvl="8" w:tplc="179292EC">
      <w:start w:val="1"/>
      <w:numFmt w:val="bullet"/>
      <w:lvlText w:val=""/>
      <w:lvlJc w:val="left"/>
      <w:pPr>
        <w:ind w:left="6480" w:hanging="360"/>
      </w:pPr>
      <w:rPr>
        <w:rFonts w:ascii="Wingdings" w:hAnsi="Wingdings" w:hint="default"/>
      </w:rPr>
    </w:lvl>
  </w:abstractNum>
  <w:abstractNum w:abstractNumId="49">
    <w:nsid w:val="48A949BA"/>
    <w:multiLevelType w:val="hybridMultilevel"/>
    <w:tmpl w:val="46243B26"/>
    <w:lvl w:ilvl="0" w:tplc="84E4C4E0">
      <w:start w:val="1"/>
      <w:numFmt w:val="bullet"/>
      <w:lvlText w:val=""/>
      <w:lvlJc w:val="left"/>
      <w:pPr>
        <w:ind w:left="720" w:hanging="360"/>
      </w:pPr>
      <w:rPr>
        <w:rFonts w:ascii="Symbol" w:hAnsi="Symbol" w:hint="default"/>
      </w:rPr>
    </w:lvl>
    <w:lvl w:ilvl="1" w:tplc="616861B6" w:tentative="1">
      <w:start w:val="1"/>
      <w:numFmt w:val="bullet"/>
      <w:lvlText w:val="o"/>
      <w:lvlJc w:val="left"/>
      <w:pPr>
        <w:ind w:left="1440" w:hanging="360"/>
      </w:pPr>
      <w:rPr>
        <w:rFonts w:ascii="Courier New" w:hAnsi="Courier New" w:cs="Courier New" w:hint="default"/>
      </w:rPr>
    </w:lvl>
    <w:lvl w:ilvl="2" w:tplc="1D3CCA06" w:tentative="1">
      <w:start w:val="1"/>
      <w:numFmt w:val="bullet"/>
      <w:lvlText w:val=""/>
      <w:lvlJc w:val="left"/>
      <w:pPr>
        <w:ind w:left="2160" w:hanging="360"/>
      </w:pPr>
      <w:rPr>
        <w:rFonts w:ascii="Wingdings" w:hAnsi="Wingdings" w:hint="default"/>
      </w:rPr>
    </w:lvl>
    <w:lvl w:ilvl="3" w:tplc="FAFADFA0" w:tentative="1">
      <w:start w:val="1"/>
      <w:numFmt w:val="bullet"/>
      <w:lvlText w:val=""/>
      <w:lvlJc w:val="left"/>
      <w:pPr>
        <w:ind w:left="2880" w:hanging="360"/>
      </w:pPr>
      <w:rPr>
        <w:rFonts w:ascii="Symbol" w:hAnsi="Symbol" w:hint="default"/>
      </w:rPr>
    </w:lvl>
    <w:lvl w:ilvl="4" w:tplc="85C8E076" w:tentative="1">
      <w:start w:val="1"/>
      <w:numFmt w:val="bullet"/>
      <w:lvlText w:val="o"/>
      <w:lvlJc w:val="left"/>
      <w:pPr>
        <w:ind w:left="3600" w:hanging="360"/>
      </w:pPr>
      <w:rPr>
        <w:rFonts w:ascii="Courier New" w:hAnsi="Courier New" w:cs="Courier New" w:hint="default"/>
      </w:rPr>
    </w:lvl>
    <w:lvl w:ilvl="5" w:tplc="D284BF9E" w:tentative="1">
      <w:start w:val="1"/>
      <w:numFmt w:val="bullet"/>
      <w:lvlText w:val=""/>
      <w:lvlJc w:val="left"/>
      <w:pPr>
        <w:ind w:left="4320" w:hanging="360"/>
      </w:pPr>
      <w:rPr>
        <w:rFonts w:ascii="Wingdings" w:hAnsi="Wingdings" w:hint="default"/>
      </w:rPr>
    </w:lvl>
    <w:lvl w:ilvl="6" w:tplc="B6EE6DE6" w:tentative="1">
      <w:start w:val="1"/>
      <w:numFmt w:val="bullet"/>
      <w:lvlText w:val=""/>
      <w:lvlJc w:val="left"/>
      <w:pPr>
        <w:ind w:left="5040" w:hanging="360"/>
      </w:pPr>
      <w:rPr>
        <w:rFonts w:ascii="Symbol" w:hAnsi="Symbol" w:hint="default"/>
      </w:rPr>
    </w:lvl>
    <w:lvl w:ilvl="7" w:tplc="8E5CC2D4" w:tentative="1">
      <w:start w:val="1"/>
      <w:numFmt w:val="bullet"/>
      <w:lvlText w:val="o"/>
      <w:lvlJc w:val="left"/>
      <w:pPr>
        <w:ind w:left="5760" w:hanging="360"/>
      </w:pPr>
      <w:rPr>
        <w:rFonts w:ascii="Courier New" w:hAnsi="Courier New" w:cs="Courier New" w:hint="default"/>
      </w:rPr>
    </w:lvl>
    <w:lvl w:ilvl="8" w:tplc="B13CB7A4" w:tentative="1">
      <w:start w:val="1"/>
      <w:numFmt w:val="bullet"/>
      <w:lvlText w:val=""/>
      <w:lvlJc w:val="left"/>
      <w:pPr>
        <w:ind w:left="6480" w:hanging="360"/>
      </w:pPr>
      <w:rPr>
        <w:rFonts w:ascii="Wingdings" w:hAnsi="Wingdings" w:hint="default"/>
      </w:rPr>
    </w:lvl>
  </w:abstractNum>
  <w:abstractNum w:abstractNumId="50">
    <w:nsid w:val="4AE31F93"/>
    <w:multiLevelType w:val="hybridMultilevel"/>
    <w:tmpl w:val="0344C59C"/>
    <w:lvl w:ilvl="0" w:tplc="F246218E">
      <w:start w:val="1"/>
      <w:numFmt w:val="lowerLetter"/>
      <w:lvlText w:val="%1)"/>
      <w:lvlJc w:val="left"/>
      <w:pPr>
        <w:ind w:left="1080" w:hanging="360"/>
      </w:pPr>
      <w:rPr>
        <w:rFonts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51">
    <w:nsid w:val="4D4B77C9"/>
    <w:multiLevelType w:val="multilevel"/>
    <w:tmpl w:val="7AB29E90"/>
    <w:lvl w:ilvl="0">
      <w:start w:val="4"/>
      <w:numFmt w:val="decimal"/>
      <w:lvlText w:val="%1"/>
      <w:lvlJc w:val="left"/>
      <w:pPr>
        <w:ind w:left="480" w:hanging="480"/>
      </w:pPr>
      <w:rPr>
        <w:rFonts w:hint="default"/>
      </w:rPr>
    </w:lvl>
    <w:lvl w:ilvl="1">
      <w:start w:val="7"/>
      <w:numFmt w:val="decimal"/>
      <w:lvlText w:val="%1.%2"/>
      <w:lvlJc w:val="left"/>
      <w:pPr>
        <w:ind w:left="75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52">
    <w:nsid w:val="4F036C19"/>
    <w:multiLevelType w:val="hybridMultilevel"/>
    <w:tmpl w:val="74D48586"/>
    <w:lvl w:ilvl="0" w:tplc="080A0001">
      <w:start w:val="1"/>
      <w:numFmt w:val="bullet"/>
      <w:lvlText w:val=""/>
      <w:lvlJc w:val="left"/>
      <w:pPr>
        <w:tabs>
          <w:tab w:val="num" w:pos="360"/>
        </w:tabs>
        <w:ind w:left="360" w:hanging="360"/>
      </w:pPr>
      <w:rPr>
        <w:rFonts w:ascii="Symbol" w:hAnsi="Symbol" w:hint="default"/>
        <w:color w:val="auto"/>
      </w:rPr>
    </w:lvl>
    <w:lvl w:ilvl="1" w:tplc="080A0003" w:tentative="1">
      <w:start w:val="1"/>
      <w:numFmt w:val="bullet"/>
      <w:lvlText w:val="o"/>
      <w:lvlJc w:val="left"/>
      <w:pPr>
        <w:tabs>
          <w:tab w:val="num" w:pos="1080"/>
        </w:tabs>
        <w:ind w:left="1080" w:hanging="360"/>
      </w:pPr>
      <w:rPr>
        <w:rFonts w:ascii="Courier New" w:hAnsi="Courier New" w:cs="Courier New" w:hint="default"/>
      </w:rPr>
    </w:lvl>
    <w:lvl w:ilvl="2" w:tplc="080A0005" w:tentative="1">
      <w:start w:val="1"/>
      <w:numFmt w:val="bullet"/>
      <w:lvlText w:val=""/>
      <w:lvlJc w:val="left"/>
      <w:pPr>
        <w:tabs>
          <w:tab w:val="num" w:pos="1800"/>
        </w:tabs>
        <w:ind w:left="1800" w:hanging="360"/>
      </w:pPr>
      <w:rPr>
        <w:rFonts w:ascii="Wingdings" w:hAnsi="Wingdings" w:hint="default"/>
      </w:rPr>
    </w:lvl>
    <w:lvl w:ilvl="3" w:tplc="080A0001" w:tentative="1">
      <w:start w:val="1"/>
      <w:numFmt w:val="bullet"/>
      <w:lvlText w:val=""/>
      <w:lvlJc w:val="left"/>
      <w:pPr>
        <w:tabs>
          <w:tab w:val="num" w:pos="2520"/>
        </w:tabs>
        <w:ind w:left="2520" w:hanging="360"/>
      </w:pPr>
      <w:rPr>
        <w:rFonts w:ascii="Symbol" w:hAnsi="Symbol" w:hint="default"/>
      </w:rPr>
    </w:lvl>
    <w:lvl w:ilvl="4" w:tplc="080A0003" w:tentative="1">
      <w:start w:val="1"/>
      <w:numFmt w:val="bullet"/>
      <w:lvlText w:val="o"/>
      <w:lvlJc w:val="left"/>
      <w:pPr>
        <w:tabs>
          <w:tab w:val="num" w:pos="3240"/>
        </w:tabs>
        <w:ind w:left="3240" w:hanging="360"/>
      </w:pPr>
      <w:rPr>
        <w:rFonts w:ascii="Courier New" w:hAnsi="Courier New" w:cs="Courier New" w:hint="default"/>
      </w:rPr>
    </w:lvl>
    <w:lvl w:ilvl="5" w:tplc="080A0005" w:tentative="1">
      <w:start w:val="1"/>
      <w:numFmt w:val="bullet"/>
      <w:lvlText w:val=""/>
      <w:lvlJc w:val="left"/>
      <w:pPr>
        <w:tabs>
          <w:tab w:val="num" w:pos="3960"/>
        </w:tabs>
        <w:ind w:left="3960" w:hanging="360"/>
      </w:pPr>
      <w:rPr>
        <w:rFonts w:ascii="Wingdings" w:hAnsi="Wingdings" w:hint="default"/>
      </w:rPr>
    </w:lvl>
    <w:lvl w:ilvl="6" w:tplc="080A0001" w:tentative="1">
      <w:start w:val="1"/>
      <w:numFmt w:val="bullet"/>
      <w:lvlText w:val=""/>
      <w:lvlJc w:val="left"/>
      <w:pPr>
        <w:tabs>
          <w:tab w:val="num" w:pos="4680"/>
        </w:tabs>
        <w:ind w:left="4680" w:hanging="360"/>
      </w:pPr>
      <w:rPr>
        <w:rFonts w:ascii="Symbol" w:hAnsi="Symbol" w:hint="default"/>
      </w:rPr>
    </w:lvl>
    <w:lvl w:ilvl="7" w:tplc="080A0003" w:tentative="1">
      <w:start w:val="1"/>
      <w:numFmt w:val="bullet"/>
      <w:lvlText w:val="o"/>
      <w:lvlJc w:val="left"/>
      <w:pPr>
        <w:tabs>
          <w:tab w:val="num" w:pos="5400"/>
        </w:tabs>
        <w:ind w:left="5400" w:hanging="360"/>
      </w:pPr>
      <w:rPr>
        <w:rFonts w:ascii="Courier New" w:hAnsi="Courier New" w:cs="Courier New" w:hint="default"/>
      </w:rPr>
    </w:lvl>
    <w:lvl w:ilvl="8" w:tplc="080A0005" w:tentative="1">
      <w:start w:val="1"/>
      <w:numFmt w:val="bullet"/>
      <w:lvlText w:val=""/>
      <w:lvlJc w:val="left"/>
      <w:pPr>
        <w:tabs>
          <w:tab w:val="num" w:pos="6120"/>
        </w:tabs>
        <w:ind w:left="6120" w:hanging="360"/>
      </w:pPr>
      <w:rPr>
        <w:rFonts w:ascii="Wingdings" w:hAnsi="Wingdings" w:hint="default"/>
      </w:rPr>
    </w:lvl>
  </w:abstractNum>
  <w:abstractNum w:abstractNumId="53">
    <w:nsid w:val="4F900007"/>
    <w:multiLevelType w:val="hybridMultilevel"/>
    <w:tmpl w:val="F78A09E0"/>
    <w:lvl w:ilvl="0" w:tplc="080A0017">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4">
    <w:nsid w:val="57FE6335"/>
    <w:multiLevelType w:val="hybridMultilevel"/>
    <w:tmpl w:val="887A5B0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nsid w:val="58AC14C4"/>
    <w:multiLevelType w:val="hybridMultilevel"/>
    <w:tmpl w:val="E51C27BE"/>
    <w:lvl w:ilvl="0" w:tplc="100A0001">
      <w:start w:val="1"/>
      <w:numFmt w:val="lowerLetter"/>
      <w:lvlText w:val="%1)"/>
      <w:lvlJc w:val="left"/>
      <w:pPr>
        <w:ind w:left="720" w:hanging="360"/>
      </w:pPr>
      <w:rPr>
        <w:rFonts w:hint="default"/>
      </w:rPr>
    </w:lvl>
    <w:lvl w:ilvl="1" w:tplc="100A0003" w:tentative="1">
      <w:start w:val="1"/>
      <w:numFmt w:val="lowerLetter"/>
      <w:lvlText w:val="%2."/>
      <w:lvlJc w:val="left"/>
      <w:pPr>
        <w:ind w:left="1440" w:hanging="360"/>
      </w:pPr>
    </w:lvl>
    <w:lvl w:ilvl="2" w:tplc="100A0005" w:tentative="1">
      <w:start w:val="1"/>
      <w:numFmt w:val="lowerRoman"/>
      <w:lvlText w:val="%3."/>
      <w:lvlJc w:val="right"/>
      <w:pPr>
        <w:ind w:left="2160" w:hanging="180"/>
      </w:pPr>
    </w:lvl>
    <w:lvl w:ilvl="3" w:tplc="100A0001" w:tentative="1">
      <w:start w:val="1"/>
      <w:numFmt w:val="decimal"/>
      <w:lvlText w:val="%4."/>
      <w:lvlJc w:val="left"/>
      <w:pPr>
        <w:ind w:left="2880" w:hanging="360"/>
      </w:pPr>
    </w:lvl>
    <w:lvl w:ilvl="4" w:tplc="100A0003" w:tentative="1">
      <w:start w:val="1"/>
      <w:numFmt w:val="lowerLetter"/>
      <w:lvlText w:val="%5."/>
      <w:lvlJc w:val="left"/>
      <w:pPr>
        <w:ind w:left="3600" w:hanging="360"/>
      </w:pPr>
    </w:lvl>
    <w:lvl w:ilvl="5" w:tplc="100A0005" w:tentative="1">
      <w:start w:val="1"/>
      <w:numFmt w:val="lowerRoman"/>
      <w:lvlText w:val="%6."/>
      <w:lvlJc w:val="right"/>
      <w:pPr>
        <w:ind w:left="4320" w:hanging="180"/>
      </w:pPr>
    </w:lvl>
    <w:lvl w:ilvl="6" w:tplc="100A0001" w:tentative="1">
      <w:start w:val="1"/>
      <w:numFmt w:val="decimal"/>
      <w:lvlText w:val="%7."/>
      <w:lvlJc w:val="left"/>
      <w:pPr>
        <w:ind w:left="5040" w:hanging="360"/>
      </w:pPr>
    </w:lvl>
    <w:lvl w:ilvl="7" w:tplc="100A0003" w:tentative="1">
      <w:start w:val="1"/>
      <w:numFmt w:val="lowerLetter"/>
      <w:lvlText w:val="%8."/>
      <w:lvlJc w:val="left"/>
      <w:pPr>
        <w:ind w:left="5760" w:hanging="360"/>
      </w:pPr>
    </w:lvl>
    <w:lvl w:ilvl="8" w:tplc="100A0005" w:tentative="1">
      <w:start w:val="1"/>
      <w:numFmt w:val="lowerRoman"/>
      <w:lvlText w:val="%9."/>
      <w:lvlJc w:val="right"/>
      <w:pPr>
        <w:ind w:left="6480" w:hanging="180"/>
      </w:pPr>
    </w:lvl>
  </w:abstractNum>
  <w:abstractNum w:abstractNumId="56">
    <w:nsid w:val="5E8259A5"/>
    <w:multiLevelType w:val="multilevel"/>
    <w:tmpl w:val="AE543FD0"/>
    <w:lvl w:ilvl="0">
      <w:start w:val="4"/>
      <w:numFmt w:val="decimal"/>
      <w:lvlText w:val="%1"/>
      <w:lvlJc w:val="left"/>
      <w:pPr>
        <w:ind w:left="480" w:hanging="480"/>
      </w:pPr>
      <w:rPr>
        <w:rFonts w:hint="default"/>
      </w:rPr>
    </w:lvl>
    <w:lvl w:ilvl="1">
      <w:start w:val="2"/>
      <w:numFmt w:val="decimal"/>
      <w:lvlText w:val="%1.%2"/>
      <w:lvlJc w:val="left"/>
      <w:pPr>
        <w:ind w:left="750" w:hanging="48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57">
    <w:nsid w:val="5EB21E5C"/>
    <w:multiLevelType w:val="hybridMultilevel"/>
    <w:tmpl w:val="E2009EB4"/>
    <w:lvl w:ilvl="0" w:tplc="133C59FA">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8">
    <w:nsid w:val="5EE719DE"/>
    <w:multiLevelType w:val="hybridMultilevel"/>
    <w:tmpl w:val="2D2EC2E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9">
    <w:nsid w:val="613B5D05"/>
    <w:multiLevelType w:val="hybridMultilevel"/>
    <w:tmpl w:val="89E0B866"/>
    <w:lvl w:ilvl="0" w:tplc="100A0017">
      <w:start w:val="1"/>
      <w:numFmt w:val="bullet"/>
      <w:lvlText w:val=""/>
      <w:lvlJc w:val="left"/>
      <w:pPr>
        <w:ind w:left="720" w:hanging="360"/>
      </w:pPr>
      <w:rPr>
        <w:rFonts w:ascii="Symbol" w:hAnsi="Symbol" w:hint="default"/>
      </w:rPr>
    </w:lvl>
    <w:lvl w:ilvl="1" w:tplc="100A0019" w:tentative="1">
      <w:start w:val="1"/>
      <w:numFmt w:val="bullet"/>
      <w:lvlText w:val="o"/>
      <w:lvlJc w:val="left"/>
      <w:pPr>
        <w:ind w:left="1440" w:hanging="360"/>
      </w:pPr>
      <w:rPr>
        <w:rFonts w:ascii="Courier New" w:hAnsi="Courier New" w:cs="Courier New" w:hint="default"/>
      </w:rPr>
    </w:lvl>
    <w:lvl w:ilvl="2" w:tplc="100A001B" w:tentative="1">
      <w:start w:val="1"/>
      <w:numFmt w:val="bullet"/>
      <w:lvlText w:val=""/>
      <w:lvlJc w:val="left"/>
      <w:pPr>
        <w:ind w:left="2160" w:hanging="360"/>
      </w:pPr>
      <w:rPr>
        <w:rFonts w:ascii="Wingdings" w:hAnsi="Wingdings" w:hint="default"/>
      </w:rPr>
    </w:lvl>
    <w:lvl w:ilvl="3" w:tplc="100A000F" w:tentative="1">
      <w:start w:val="1"/>
      <w:numFmt w:val="bullet"/>
      <w:lvlText w:val=""/>
      <w:lvlJc w:val="left"/>
      <w:pPr>
        <w:ind w:left="2880" w:hanging="360"/>
      </w:pPr>
      <w:rPr>
        <w:rFonts w:ascii="Symbol" w:hAnsi="Symbol" w:hint="default"/>
      </w:rPr>
    </w:lvl>
    <w:lvl w:ilvl="4" w:tplc="100A0019" w:tentative="1">
      <w:start w:val="1"/>
      <w:numFmt w:val="bullet"/>
      <w:lvlText w:val="o"/>
      <w:lvlJc w:val="left"/>
      <w:pPr>
        <w:ind w:left="3600" w:hanging="360"/>
      </w:pPr>
      <w:rPr>
        <w:rFonts w:ascii="Courier New" w:hAnsi="Courier New" w:cs="Courier New" w:hint="default"/>
      </w:rPr>
    </w:lvl>
    <w:lvl w:ilvl="5" w:tplc="100A001B" w:tentative="1">
      <w:start w:val="1"/>
      <w:numFmt w:val="bullet"/>
      <w:lvlText w:val=""/>
      <w:lvlJc w:val="left"/>
      <w:pPr>
        <w:ind w:left="4320" w:hanging="360"/>
      </w:pPr>
      <w:rPr>
        <w:rFonts w:ascii="Wingdings" w:hAnsi="Wingdings" w:hint="default"/>
      </w:rPr>
    </w:lvl>
    <w:lvl w:ilvl="6" w:tplc="100A000F" w:tentative="1">
      <w:start w:val="1"/>
      <w:numFmt w:val="bullet"/>
      <w:lvlText w:val=""/>
      <w:lvlJc w:val="left"/>
      <w:pPr>
        <w:ind w:left="5040" w:hanging="360"/>
      </w:pPr>
      <w:rPr>
        <w:rFonts w:ascii="Symbol" w:hAnsi="Symbol" w:hint="default"/>
      </w:rPr>
    </w:lvl>
    <w:lvl w:ilvl="7" w:tplc="100A0019" w:tentative="1">
      <w:start w:val="1"/>
      <w:numFmt w:val="bullet"/>
      <w:lvlText w:val="o"/>
      <w:lvlJc w:val="left"/>
      <w:pPr>
        <w:ind w:left="5760" w:hanging="360"/>
      </w:pPr>
      <w:rPr>
        <w:rFonts w:ascii="Courier New" w:hAnsi="Courier New" w:cs="Courier New" w:hint="default"/>
      </w:rPr>
    </w:lvl>
    <w:lvl w:ilvl="8" w:tplc="100A001B" w:tentative="1">
      <w:start w:val="1"/>
      <w:numFmt w:val="bullet"/>
      <w:lvlText w:val=""/>
      <w:lvlJc w:val="left"/>
      <w:pPr>
        <w:ind w:left="6480" w:hanging="360"/>
      </w:pPr>
      <w:rPr>
        <w:rFonts w:ascii="Wingdings" w:hAnsi="Wingdings" w:hint="default"/>
      </w:rPr>
    </w:lvl>
  </w:abstractNum>
  <w:abstractNum w:abstractNumId="60">
    <w:nsid w:val="61F11F80"/>
    <w:multiLevelType w:val="hybridMultilevel"/>
    <w:tmpl w:val="759099DA"/>
    <w:lvl w:ilvl="0" w:tplc="E27C5B02">
      <w:start w:val="1"/>
      <w:numFmt w:val="bullet"/>
      <w:lvlText w:val=""/>
      <w:lvlJc w:val="left"/>
      <w:pPr>
        <w:tabs>
          <w:tab w:val="num" w:pos="720"/>
        </w:tabs>
        <w:ind w:left="720" w:hanging="360"/>
      </w:pPr>
      <w:rPr>
        <w:rFonts w:ascii="Symbol" w:hAnsi="Symbol" w:hint="default"/>
        <w:b w:val="0"/>
        <w:color w:val="auto"/>
      </w:rPr>
    </w:lvl>
    <w:lvl w:ilvl="1" w:tplc="C1B822FE" w:tentative="1">
      <w:start w:val="1"/>
      <w:numFmt w:val="bullet"/>
      <w:lvlText w:val="o"/>
      <w:lvlJc w:val="left"/>
      <w:pPr>
        <w:tabs>
          <w:tab w:val="num" w:pos="1440"/>
        </w:tabs>
        <w:ind w:left="1440" w:hanging="360"/>
      </w:pPr>
      <w:rPr>
        <w:rFonts w:ascii="Courier New" w:hAnsi="Courier New" w:cs="Courier New" w:hint="default"/>
      </w:rPr>
    </w:lvl>
    <w:lvl w:ilvl="2" w:tplc="BE28921E" w:tentative="1">
      <w:start w:val="1"/>
      <w:numFmt w:val="bullet"/>
      <w:lvlText w:val=""/>
      <w:lvlJc w:val="left"/>
      <w:pPr>
        <w:tabs>
          <w:tab w:val="num" w:pos="2160"/>
        </w:tabs>
        <w:ind w:left="2160" w:hanging="360"/>
      </w:pPr>
      <w:rPr>
        <w:rFonts w:ascii="Wingdings" w:hAnsi="Wingdings" w:hint="default"/>
      </w:rPr>
    </w:lvl>
    <w:lvl w:ilvl="3" w:tplc="2A74F702" w:tentative="1">
      <w:start w:val="1"/>
      <w:numFmt w:val="bullet"/>
      <w:lvlText w:val=""/>
      <w:lvlJc w:val="left"/>
      <w:pPr>
        <w:tabs>
          <w:tab w:val="num" w:pos="2880"/>
        </w:tabs>
        <w:ind w:left="2880" w:hanging="360"/>
      </w:pPr>
      <w:rPr>
        <w:rFonts w:ascii="Symbol" w:hAnsi="Symbol" w:hint="default"/>
      </w:rPr>
    </w:lvl>
    <w:lvl w:ilvl="4" w:tplc="BA920E2C" w:tentative="1">
      <w:start w:val="1"/>
      <w:numFmt w:val="bullet"/>
      <w:lvlText w:val="o"/>
      <w:lvlJc w:val="left"/>
      <w:pPr>
        <w:tabs>
          <w:tab w:val="num" w:pos="3600"/>
        </w:tabs>
        <w:ind w:left="3600" w:hanging="360"/>
      </w:pPr>
      <w:rPr>
        <w:rFonts w:ascii="Courier New" w:hAnsi="Courier New" w:cs="Courier New" w:hint="default"/>
      </w:rPr>
    </w:lvl>
    <w:lvl w:ilvl="5" w:tplc="ED880346" w:tentative="1">
      <w:start w:val="1"/>
      <w:numFmt w:val="bullet"/>
      <w:lvlText w:val=""/>
      <w:lvlJc w:val="left"/>
      <w:pPr>
        <w:tabs>
          <w:tab w:val="num" w:pos="4320"/>
        </w:tabs>
        <w:ind w:left="4320" w:hanging="360"/>
      </w:pPr>
      <w:rPr>
        <w:rFonts w:ascii="Wingdings" w:hAnsi="Wingdings" w:hint="default"/>
      </w:rPr>
    </w:lvl>
    <w:lvl w:ilvl="6" w:tplc="0F64E824" w:tentative="1">
      <w:start w:val="1"/>
      <w:numFmt w:val="bullet"/>
      <w:lvlText w:val=""/>
      <w:lvlJc w:val="left"/>
      <w:pPr>
        <w:tabs>
          <w:tab w:val="num" w:pos="5040"/>
        </w:tabs>
        <w:ind w:left="5040" w:hanging="360"/>
      </w:pPr>
      <w:rPr>
        <w:rFonts w:ascii="Symbol" w:hAnsi="Symbol" w:hint="default"/>
      </w:rPr>
    </w:lvl>
    <w:lvl w:ilvl="7" w:tplc="64C8B044" w:tentative="1">
      <w:start w:val="1"/>
      <w:numFmt w:val="bullet"/>
      <w:lvlText w:val="o"/>
      <w:lvlJc w:val="left"/>
      <w:pPr>
        <w:tabs>
          <w:tab w:val="num" w:pos="5760"/>
        </w:tabs>
        <w:ind w:left="5760" w:hanging="360"/>
      </w:pPr>
      <w:rPr>
        <w:rFonts w:ascii="Courier New" w:hAnsi="Courier New" w:cs="Courier New" w:hint="default"/>
      </w:rPr>
    </w:lvl>
    <w:lvl w:ilvl="8" w:tplc="D2C09E36" w:tentative="1">
      <w:start w:val="1"/>
      <w:numFmt w:val="bullet"/>
      <w:lvlText w:val=""/>
      <w:lvlJc w:val="left"/>
      <w:pPr>
        <w:tabs>
          <w:tab w:val="num" w:pos="6480"/>
        </w:tabs>
        <w:ind w:left="6480" w:hanging="360"/>
      </w:pPr>
      <w:rPr>
        <w:rFonts w:ascii="Wingdings" w:hAnsi="Wingdings" w:hint="default"/>
      </w:rPr>
    </w:lvl>
  </w:abstractNum>
  <w:abstractNum w:abstractNumId="61">
    <w:nsid w:val="62AB025C"/>
    <w:multiLevelType w:val="hybridMultilevel"/>
    <w:tmpl w:val="6AB4EC88"/>
    <w:lvl w:ilvl="0" w:tplc="133C59F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nsid w:val="644C037E"/>
    <w:multiLevelType w:val="hybridMultilevel"/>
    <w:tmpl w:val="44A03DD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3">
    <w:nsid w:val="649F73D0"/>
    <w:multiLevelType w:val="hybridMultilevel"/>
    <w:tmpl w:val="7BA6036E"/>
    <w:lvl w:ilvl="0" w:tplc="A4EA23B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nsid w:val="657046EB"/>
    <w:multiLevelType w:val="multilevel"/>
    <w:tmpl w:val="C97E693E"/>
    <w:lvl w:ilvl="0">
      <w:start w:val="1"/>
      <w:numFmt w:val="decimal"/>
      <w:pStyle w:val="IFADparagraphnumbering"/>
      <w:lvlText w:val="%1."/>
      <w:lvlJc w:val="left"/>
      <w:pPr>
        <w:tabs>
          <w:tab w:val="num" w:pos="454"/>
        </w:tabs>
        <w:ind w:left="454" w:hanging="454"/>
      </w:pPr>
      <w:rPr>
        <w:rFonts w:ascii="Verdana" w:hAnsi="Verdana" w:hint="default"/>
        <w:b w:val="0"/>
        <w:i w:val="0"/>
        <w:color w:val="auto"/>
        <w:sz w:val="20"/>
      </w:rPr>
    </w:lvl>
    <w:lvl w:ilvl="1">
      <w:start w:val="1"/>
      <w:numFmt w:val="lowerLetter"/>
      <w:pStyle w:val="IFADparagraphno2ndlevel"/>
      <w:lvlText w:val="(%2)"/>
      <w:lvlJc w:val="left"/>
      <w:pPr>
        <w:tabs>
          <w:tab w:val="num" w:pos="1021"/>
        </w:tabs>
        <w:ind w:left="1021" w:hanging="567"/>
      </w:pPr>
      <w:rPr>
        <w:rFonts w:ascii="Verdana" w:hAnsi="Verdana" w:hint="default"/>
        <w:b w:val="0"/>
        <w:i w:val="0"/>
        <w:sz w:val="20"/>
      </w:rPr>
    </w:lvl>
    <w:lvl w:ilvl="2">
      <w:start w:val="1"/>
      <w:numFmt w:val="lowerRoman"/>
      <w:pStyle w:val="IFADparagraphno3rdlevel"/>
      <w:lvlText w:val="(%3)"/>
      <w:lvlJc w:val="left"/>
      <w:pPr>
        <w:tabs>
          <w:tab w:val="num" w:pos="1588"/>
        </w:tabs>
        <w:ind w:left="1588" w:hanging="567"/>
      </w:pPr>
      <w:rPr>
        <w:rFonts w:ascii="Verdana" w:hAnsi="Verdana" w:hint="default"/>
        <w:b w:val="0"/>
        <w:i w:val="0"/>
        <w:sz w:val="20"/>
      </w:rPr>
    </w:lvl>
    <w:lvl w:ilvl="3">
      <w:start w:val="1"/>
      <w:numFmt w:val="bullet"/>
      <w:pStyle w:val="IFADparagraphno4thlevel"/>
      <w:lvlText w:val="-"/>
      <w:lvlJc w:val="left"/>
      <w:pPr>
        <w:tabs>
          <w:tab w:val="num" w:pos="1871"/>
        </w:tabs>
        <w:ind w:left="1871" w:hanging="283"/>
      </w:pPr>
      <w:rPr>
        <w:rFonts w:ascii="Verdana" w:hAnsi="Verdana" w:cs="Times New Roman" w:hint="default"/>
        <w:b w:val="0"/>
        <w:i w:val="0"/>
        <w:color w:val="auto"/>
        <w:sz w:val="20"/>
        <w:szCs w:val="2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5">
    <w:nsid w:val="669118C0"/>
    <w:multiLevelType w:val="multilevel"/>
    <w:tmpl w:val="45E0344E"/>
    <w:lvl w:ilvl="0">
      <w:start w:val="1"/>
      <w:numFmt w:val="decimal"/>
      <w:lvlText w:val="%1."/>
      <w:lvlJc w:val="left"/>
      <w:pPr>
        <w:ind w:left="360" w:hanging="360"/>
      </w:pPr>
    </w:lvl>
    <w:lvl w:ilvl="1">
      <w:start w:val="1"/>
      <w:numFmt w:val="decimal"/>
      <w:lvlText w:val="%1.%2."/>
      <w:lvlJc w:val="left"/>
      <w:pPr>
        <w:ind w:left="792" w:hanging="432"/>
      </w:pPr>
      <w:rPr>
        <w:rFonts w:ascii="Calibri" w:hAnsi="Calibri" w:cs="Calibri" w:hint="default"/>
        <w:b/>
        <w:color w:val="365F91"/>
        <w:sz w:val="28"/>
        <w:szCs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nsid w:val="67282FA1"/>
    <w:multiLevelType w:val="hybridMultilevel"/>
    <w:tmpl w:val="F19EBCA6"/>
    <w:lvl w:ilvl="0" w:tplc="080A0001">
      <w:start w:val="1"/>
      <w:numFmt w:val="bullet"/>
      <w:lvlText w:val="◦"/>
      <w:lvlJc w:val="left"/>
      <w:pPr>
        <w:tabs>
          <w:tab w:val="num" w:pos="720"/>
        </w:tabs>
        <w:ind w:left="720" w:hanging="360"/>
      </w:pPr>
      <w:rPr>
        <w:rFonts w:ascii="Sylfaen" w:hAnsi="Sylfaen"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67">
    <w:nsid w:val="6CC74A11"/>
    <w:multiLevelType w:val="hybridMultilevel"/>
    <w:tmpl w:val="76A07300"/>
    <w:lvl w:ilvl="0" w:tplc="448075CA">
      <w:start w:val="1"/>
      <w:numFmt w:val="bullet"/>
      <w:lvlText w:val=""/>
      <w:lvlJc w:val="left"/>
      <w:pPr>
        <w:tabs>
          <w:tab w:val="num" w:pos="360"/>
        </w:tabs>
        <w:ind w:left="360" w:hanging="360"/>
      </w:pPr>
      <w:rPr>
        <w:rFonts w:ascii="Symbol" w:hAnsi="Symbol" w:hint="default"/>
        <w:color w:val="auto"/>
      </w:rPr>
    </w:lvl>
    <w:lvl w:ilvl="1" w:tplc="6C7C60FE" w:tentative="1">
      <w:start w:val="1"/>
      <w:numFmt w:val="bullet"/>
      <w:lvlText w:val="o"/>
      <w:lvlJc w:val="left"/>
      <w:pPr>
        <w:tabs>
          <w:tab w:val="num" w:pos="360"/>
        </w:tabs>
        <w:ind w:left="360" w:hanging="360"/>
      </w:pPr>
      <w:rPr>
        <w:rFonts w:ascii="Courier New" w:hAnsi="Courier New" w:cs="Courier New" w:hint="default"/>
      </w:rPr>
    </w:lvl>
    <w:lvl w:ilvl="2" w:tplc="7A98B0E8" w:tentative="1">
      <w:start w:val="1"/>
      <w:numFmt w:val="bullet"/>
      <w:lvlText w:val=""/>
      <w:lvlJc w:val="left"/>
      <w:pPr>
        <w:tabs>
          <w:tab w:val="num" w:pos="1080"/>
        </w:tabs>
        <w:ind w:left="1080" w:hanging="360"/>
      </w:pPr>
      <w:rPr>
        <w:rFonts w:ascii="Wingdings" w:hAnsi="Wingdings" w:hint="default"/>
      </w:rPr>
    </w:lvl>
    <w:lvl w:ilvl="3" w:tplc="4F1C7684" w:tentative="1">
      <w:start w:val="1"/>
      <w:numFmt w:val="bullet"/>
      <w:lvlText w:val=""/>
      <w:lvlJc w:val="left"/>
      <w:pPr>
        <w:tabs>
          <w:tab w:val="num" w:pos="1800"/>
        </w:tabs>
        <w:ind w:left="1800" w:hanging="360"/>
      </w:pPr>
      <w:rPr>
        <w:rFonts w:ascii="Symbol" w:hAnsi="Symbol" w:hint="default"/>
      </w:rPr>
    </w:lvl>
    <w:lvl w:ilvl="4" w:tplc="3666516A" w:tentative="1">
      <w:start w:val="1"/>
      <w:numFmt w:val="bullet"/>
      <w:lvlText w:val="o"/>
      <w:lvlJc w:val="left"/>
      <w:pPr>
        <w:tabs>
          <w:tab w:val="num" w:pos="2520"/>
        </w:tabs>
        <w:ind w:left="2520" w:hanging="360"/>
      </w:pPr>
      <w:rPr>
        <w:rFonts w:ascii="Courier New" w:hAnsi="Courier New" w:cs="Courier New" w:hint="default"/>
      </w:rPr>
    </w:lvl>
    <w:lvl w:ilvl="5" w:tplc="B7A82F04" w:tentative="1">
      <w:start w:val="1"/>
      <w:numFmt w:val="bullet"/>
      <w:lvlText w:val=""/>
      <w:lvlJc w:val="left"/>
      <w:pPr>
        <w:tabs>
          <w:tab w:val="num" w:pos="3240"/>
        </w:tabs>
        <w:ind w:left="3240" w:hanging="360"/>
      </w:pPr>
      <w:rPr>
        <w:rFonts w:ascii="Wingdings" w:hAnsi="Wingdings" w:hint="default"/>
      </w:rPr>
    </w:lvl>
    <w:lvl w:ilvl="6" w:tplc="047E9512" w:tentative="1">
      <w:start w:val="1"/>
      <w:numFmt w:val="bullet"/>
      <w:lvlText w:val=""/>
      <w:lvlJc w:val="left"/>
      <w:pPr>
        <w:tabs>
          <w:tab w:val="num" w:pos="3960"/>
        </w:tabs>
        <w:ind w:left="3960" w:hanging="360"/>
      </w:pPr>
      <w:rPr>
        <w:rFonts w:ascii="Symbol" w:hAnsi="Symbol" w:hint="default"/>
      </w:rPr>
    </w:lvl>
    <w:lvl w:ilvl="7" w:tplc="47922CCC" w:tentative="1">
      <w:start w:val="1"/>
      <w:numFmt w:val="bullet"/>
      <w:lvlText w:val="o"/>
      <w:lvlJc w:val="left"/>
      <w:pPr>
        <w:tabs>
          <w:tab w:val="num" w:pos="4680"/>
        </w:tabs>
        <w:ind w:left="4680" w:hanging="360"/>
      </w:pPr>
      <w:rPr>
        <w:rFonts w:ascii="Courier New" w:hAnsi="Courier New" w:cs="Courier New" w:hint="default"/>
      </w:rPr>
    </w:lvl>
    <w:lvl w:ilvl="8" w:tplc="0BD0AE98" w:tentative="1">
      <w:start w:val="1"/>
      <w:numFmt w:val="bullet"/>
      <w:lvlText w:val=""/>
      <w:lvlJc w:val="left"/>
      <w:pPr>
        <w:tabs>
          <w:tab w:val="num" w:pos="5400"/>
        </w:tabs>
        <w:ind w:left="5400" w:hanging="360"/>
      </w:pPr>
      <w:rPr>
        <w:rFonts w:ascii="Wingdings" w:hAnsi="Wingdings" w:hint="default"/>
      </w:rPr>
    </w:lvl>
  </w:abstractNum>
  <w:abstractNum w:abstractNumId="68">
    <w:nsid w:val="6E074061"/>
    <w:multiLevelType w:val="hybridMultilevel"/>
    <w:tmpl w:val="D2605838"/>
    <w:lvl w:ilvl="0" w:tplc="EEB64952">
      <w:start w:val="1"/>
      <w:numFmt w:val="lowerLetter"/>
      <w:lvlText w:val="%1)"/>
      <w:lvlJc w:val="left"/>
      <w:pPr>
        <w:ind w:left="108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9">
    <w:nsid w:val="6E5D2806"/>
    <w:multiLevelType w:val="hybridMultilevel"/>
    <w:tmpl w:val="757816F2"/>
    <w:lvl w:ilvl="0" w:tplc="2DA6A296">
      <w:numFmt w:val="bullet"/>
      <w:lvlText w:val="•"/>
      <w:lvlJc w:val="left"/>
      <w:pPr>
        <w:ind w:left="720" w:hanging="360"/>
      </w:pPr>
      <w:rPr>
        <w:rFonts w:ascii="Calibri" w:eastAsia="Times New Roman" w:hAnsi="Calibri" w:cs="Calibri" w:hint="default"/>
      </w:rPr>
    </w:lvl>
    <w:lvl w:ilvl="1" w:tplc="C1044442" w:tentative="1">
      <w:start w:val="1"/>
      <w:numFmt w:val="bullet"/>
      <w:lvlText w:val="o"/>
      <w:lvlJc w:val="left"/>
      <w:pPr>
        <w:ind w:left="1440" w:hanging="360"/>
      </w:pPr>
      <w:rPr>
        <w:rFonts w:ascii="Courier New" w:hAnsi="Courier New" w:cs="Courier New" w:hint="default"/>
      </w:rPr>
    </w:lvl>
    <w:lvl w:ilvl="2" w:tplc="063221B6" w:tentative="1">
      <w:start w:val="1"/>
      <w:numFmt w:val="bullet"/>
      <w:lvlText w:val=""/>
      <w:lvlJc w:val="left"/>
      <w:pPr>
        <w:ind w:left="2160" w:hanging="360"/>
      </w:pPr>
      <w:rPr>
        <w:rFonts w:ascii="Wingdings" w:hAnsi="Wingdings" w:hint="default"/>
      </w:rPr>
    </w:lvl>
    <w:lvl w:ilvl="3" w:tplc="9E84C152" w:tentative="1">
      <w:start w:val="1"/>
      <w:numFmt w:val="bullet"/>
      <w:lvlText w:val=""/>
      <w:lvlJc w:val="left"/>
      <w:pPr>
        <w:ind w:left="2880" w:hanging="360"/>
      </w:pPr>
      <w:rPr>
        <w:rFonts w:ascii="Symbol" w:hAnsi="Symbol" w:hint="default"/>
      </w:rPr>
    </w:lvl>
    <w:lvl w:ilvl="4" w:tplc="15F247B4" w:tentative="1">
      <w:start w:val="1"/>
      <w:numFmt w:val="bullet"/>
      <w:lvlText w:val="o"/>
      <w:lvlJc w:val="left"/>
      <w:pPr>
        <w:ind w:left="3600" w:hanging="360"/>
      </w:pPr>
      <w:rPr>
        <w:rFonts w:ascii="Courier New" w:hAnsi="Courier New" w:cs="Courier New" w:hint="default"/>
      </w:rPr>
    </w:lvl>
    <w:lvl w:ilvl="5" w:tplc="4BD21112" w:tentative="1">
      <w:start w:val="1"/>
      <w:numFmt w:val="bullet"/>
      <w:lvlText w:val=""/>
      <w:lvlJc w:val="left"/>
      <w:pPr>
        <w:ind w:left="4320" w:hanging="360"/>
      </w:pPr>
      <w:rPr>
        <w:rFonts w:ascii="Wingdings" w:hAnsi="Wingdings" w:hint="default"/>
      </w:rPr>
    </w:lvl>
    <w:lvl w:ilvl="6" w:tplc="4B429EF8" w:tentative="1">
      <w:start w:val="1"/>
      <w:numFmt w:val="bullet"/>
      <w:lvlText w:val=""/>
      <w:lvlJc w:val="left"/>
      <w:pPr>
        <w:ind w:left="5040" w:hanging="360"/>
      </w:pPr>
      <w:rPr>
        <w:rFonts w:ascii="Symbol" w:hAnsi="Symbol" w:hint="default"/>
      </w:rPr>
    </w:lvl>
    <w:lvl w:ilvl="7" w:tplc="02665644" w:tentative="1">
      <w:start w:val="1"/>
      <w:numFmt w:val="bullet"/>
      <w:lvlText w:val="o"/>
      <w:lvlJc w:val="left"/>
      <w:pPr>
        <w:ind w:left="5760" w:hanging="360"/>
      </w:pPr>
      <w:rPr>
        <w:rFonts w:ascii="Courier New" w:hAnsi="Courier New" w:cs="Courier New" w:hint="default"/>
      </w:rPr>
    </w:lvl>
    <w:lvl w:ilvl="8" w:tplc="C6682714" w:tentative="1">
      <w:start w:val="1"/>
      <w:numFmt w:val="bullet"/>
      <w:lvlText w:val=""/>
      <w:lvlJc w:val="left"/>
      <w:pPr>
        <w:ind w:left="6480" w:hanging="360"/>
      </w:pPr>
      <w:rPr>
        <w:rFonts w:ascii="Wingdings" w:hAnsi="Wingdings" w:hint="default"/>
      </w:rPr>
    </w:lvl>
  </w:abstractNum>
  <w:abstractNum w:abstractNumId="70">
    <w:nsid w:val="6F1E1B77"/>
    <w:multiLevelType w:val="hybridMultilevel"/>
    <w:tmpl w:val="918650BE"/>
    <w:lvl w:ilvl="0" w:tplc="B0AC6712">
      <w:start w:val="1"/>
      <w:numFmt w:val="bullet"/>
      <w:lvlText w:val=""/>
      <w:lvlJc w:val="left"/>
      <w:pPr>
        <w:tabs>
          <w:tab w:val="num" w:pos="1440"/>
        </w:tabs>
        <w:ind w:left="1440" w:hanging="360"/>
      </w:pPr>
      <w:rPr>
        <w:rFonts w:ascii="Symbol" w:hAnsi="Symbol" w:hint="default"/>
        <w:color w:val="auto"/>
      </w:rPr>
    </w:lvl>
    <w:lvl w:ilvl="1" w:tplc="04090003">
      <w:start w:val="1"/>
      <w:numFmt w:val="bullet"/>
      <w:lvlText w:val="-"/>
      <w:lvlJc w:val="left"/>
      <w:pPr>
        <w:tabs>
          <w:tab w:val="num" w:pos="1440"/>
        </w:tabs>
        <w:ind w:left="1440" w:hanging="360"/>
      </w:pPr>
      <w:rPr>
        <w:rFonts w:ascii="Calibri" w:eastAsia="Times New Roman" w:hAnsi="Calibri" w:cs="Calibri" w:hint="default"/>
      </w:rPr>
    </w:lvl>
    <w:lvl w:ilvl="2" w:tplc="04090005">
      <w:start w:val="1"/>
      <w:numFmt w:val="bullet"/>
      <w:lvlText w:val="-"/>
      <w:lvlJc w:val="left"/>
      <w:pPr>
        <w:ind w:left="2160" w:hanging="360"/>
      </w:pPr>
      <w:rPr>
        <w:rFonts w:ascii="Calibri" w:eastAsia="Times New Roman" w:hAnsi="Calibri" w:cs="Calibri"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6F205CD3"/>
    <w:multiLevelType w:val="hybridMultilevel"/>
    <w:tmpl w:val="9432DF68"/>
    <w:lvl w:ilvl="0" w:tplc="133C59FA">
      <w:start w:val="1"/>
      <w:numFmt w:val="lowerRoman"/>
      <w:lvlText w:val="%1."/>
      <w:lvlJc w:val="right"/>
      <w:pPr>
        <w:ind w:left="1440" w:hanging="360"/>
      </w:pPr>
    </w:lvl>
    <w:lvl w:ilvl="1" w:tplc="04090003" w:tentative="1">
      <w:start w:val="1"/>
      <w:numFmt w:val="lowerLetter"/>
      <w:lvlText w:val="%2."/>
      <w:lvlJc w:val="left"/>
      <w:pPr>
        <w:ind w:left="2160" w:hanging="360"/>
      </w:pPr>
    </w:lvl>
    <w:lvl w:ilvl="2" w:tplc="04090005" w:tentative="1">
      <w:start w:val="1"/>
      <w:numFmt w:val="lowerRoman"/>
      <w:lvlText w:val="%3."/>
      <w:lvlJc w:val="right"/>
      <w:pPr>
        <w:ind w:left="2880" w:hanging="180"/>
      </w:pPr>
    </w:lvl>
    <w:lvl w:ilvl="3" w:tplc="04090001" w:tentative="1">
      <w:start w:val="1"/>
      <w:numFmt w:val="decimal"/>
      <w:lvlText w:val="%4."/>
      <w:lvlJc w:val="left"/>
      <w:pPr>
        <w:ind w:left="3600" w:hanging="360"/>
      </w:pPr>
    </w:lvl>
    <w:lvl w:ilvl="4" w:tplc="04090003" w:tentative="1">
      <w:start w:val="1"/>
      <w:numFmt w:val="lowerLetter"/>
      <w:lvlText w:val="%5."/>
      <w:lvlJc w:val="left"/>
      <w:pPr>
        <w:ind w:left="4320" w:hanging="360"/>
      </w:pPr>
    </w:lvl>
    <w:lvl w:ilvl="5" w:tplc="04090005" w:tentative="1">
      <w:start w:val="1"/>
      <w:numFmt w:val="lowerRoman"/>
      <w:lvlText w:val="%6."/>
      <w:lvlJc w:val="right"/>
      <w:pPr>
        <w:ind w:left="5040" w:hanging="180"/>
      </w:pPr>
    </w:lvl>
    <w:lvl w:ilvl="6" w:tplc="04090001" w:tentative="1">
      <w:start w:val="1"/>
      <w:numFmt w:val="decimal"/>
      <w:lvlText w:val="%7."/>
      <w:lvlJc w:val="left"/>
      <w:pPr>
        <w:ind w:left="5760" w:hanging="360"/>
      </w:pPr>
    </w:lvl>
    <w:lvl w:ilvl="7" w:tplc="04090003" w:tentative="1">
      <w:start w:val="1"/>
      <w:numFmt w:val="lowerLetter"/>
      <w:lvlText w:val="%8."/>
      <w:lvlJc w:val="left"/>
      <w:pPr>
        <w:ind w:left="6480" w:hanging="360"/>
      </w:pPr>
    </w:lvl>
    <w:lvl w:ilvl="8" w:tplc="04090005" w:tentative="1">
      <w:start w:val="1"/>
      <w:numFmt w:val="lowerRoman"/>
      <w:lvlText w:val="%9."/>
      <w:lvlJc w:val="right"/>
      <w:pPr>
        <w:ind w:left="7200" w:hanging="180"/>
      </w:pPr>
    </w:lvl>
  </w:abstractNum>
  <w:abstractNum w:abstractNumId="72">
    <w:nsid w:val="70BE777E"/>
    <w:multiLevelType w:val="hybridMultilevel"/>
    <w:tmpl w:val="F29258B8"/>
    <w:lvl w:ilvl="0" w:tplc="11403DA0">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3">
    <w:nsid w:val="7A50275F"/>
    <w:multiLevelType w:val="hybridMultilevel"/>
    <w:tmpl w:val="07C686A4"/>
    <w:lvl w:ilvl="0" w:tplc="133C59FA">
      <w:start w:val="1"/>
      <w:numFmt w:val="lowerLetter"/>
      <w:lvlText w:val="%1)"/>
      <w:lvlJc w:val="left"/>
      <w:pPr>
        <w:ind w:left="1080" w:hanging="360"/>
      </w:pPr>
      <w:rPr>
        <w:rFonts w:hint="default"/>
      </w:rPr>
    </w:lvl>
    <w:lvl w:ilvl="1" w:tplc="22C6599E" w:tentative="1">
      <w:start w:val="1"/>
      <w:numFmt w:val="bullet"/>
      <w:lvlText w:val="o"/>
      <w:lvlJc w:val="left"/>
      <w:pPr>
        <w:ind w:left="1800" w:hanging="360"/>
      </w:pPr>
      <w:rPr>
        <w:rFonts w:ascii="Courier New" w:hAnsi="Courier New" w:cs="Courier New" w:hint="default"/>
      </w:rPr>
    </w:lvl>
    <w:lvl w:ilvl="2" w:tplc="22C6599E"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nsid w:val="7B362876"/>
    <w:multiLevelType w:val="hybridMultilevel"/>
    <w:tmpl w:val="FA10E358"/>
    <w:lvl w:ilvl="0" w:tplc="0409001B">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nsid w:val="7DB9667B"/>
    <w:multiLevelType w:val="hybridMultilevel"/>
    <w:tmpl w:val="91CE0C8A"/>
    <w:lvl w:ilvl="0" w:tplc="080A0001">
      <w:start w:val="1"/>
      <w:numFmt w:val="bullet"/>
      <w:lvlText w:val=""/>
      <w:lvlJc w:val="left"/>
      <w:pPr>
        <w:ind w:left="786" w:hanging="360"/>
      </w:pPr>
      <w:rPr>
        <w:rFonts w:ascii="Symbol" w:hAnsi="Symbol" w:hint="default"/>
      </w:rPr>
    </w:lvl>
    <w:lvl w:ilvl="1" w:tplc="080A0003">
      <w:start w:val="1"/>
      <w:numFmt w:val="bullet"/>
      <w:lvlText w:val="o"/>
      <w:lvlJc w:val="left"/>
      <w:pPr>
        <w:ind w:left="1506" w:hanging="360"/>
      </w:pPr>
      <w:rPr>
        <w:rFonts w:ascii="Courier New" w:hAnsi="Courier New" w:hint="default"/>
      </w:rPr>
    </w:lvl>
    <w:lvl w:ilvl="2" w:tplc="080A0005">
      <w:start w:val="1"/>
      <w:numFmt w:val="bullet"/>
      <w:lvlText w:val=""/>
      <w:lvlJc w:val="left"/>
      <w:pPr>
        <w:ind w:left="2226" w:hanging="360"/>
      </w:pPr>
      <w:rPr>
        <w:rFonts w:ascii="Wingdings" w:hAnsi="Wingdings" w:hint="default"/>
      </w:rPr>
    </w:lvl>
    <w:lvl w:ilvl="3" w:tplc="080A0001">
      <w:start w:val="1"/>
      <w:numFmt w:val="bullet"/>
      <w:lvlText w:val=""/>
      <w:lvlJc w:val="left"/>
      <w:pPr>
        <w:ind w:left="2946" w:hanging="360"/>
      </w:pPr>
      <w:rPr>
        <w:rFonts w:ascii="Symbol" w:hAnsi="Symbol" w:hint="default"/>
      </w:rPr>
    </w:lvl>
    <w:lvl w:ilvl="4" w:tplc="080A0003">
      <w:start w:val="1"/>
      <w:numFmt w:val="bullet"/>
      <w:lvlText w:val="o"/>
      <w:lvlJc w:val="left"/>
      <w:pPr>
        <w:ind w:left="3666" w:hanging="360"/>
      </w:pPr>
      <w:rPr>
        <w:rFonts w:ascii="Courier New" w:hAnsi="Courier New" w:hint="default"/>
      </w:rPr>
    </w:lvl>
    <w:lvl w:ilvl="5" w:tplc="080A0005">
      <w:start w:val="1"/>
      <w:numFmt w:val="bullet"/>
      <w:lvlText w:val=""/>
      <w:lvlJc w:val="left"/>
      <w:pPr>
        <w:ind w:left="4386" w:hanging="360"/>
      </w:pPr>
      <w:rPr>
        <w:rFonts w:ascii="Wingdings" w:hAnsi="Wingdings" w:hint="default"/>
      </w:rPr>
    </w:lvl>
    <w:lvl w:ilvl="6" w:tplc="080A0001">
      <w:start w:val="1"/>
      <w:numFmt w:val="bullet"/>
      <w:lvlText w:val=""/>
      <w:lvlJc w:val="left"/>
      <w:pPr>
        <w:ind w:left="5106" w:hanging="360"/>
      </w:pPr>
      <w:rPr>
        <w:rFonts w:ascii="Symbol" w:hAnsi="Symbol" w:hint="default"/>
      </w:rPr>
    </w:lvl>
    <w:lvl w:ilvl="7" w:tplc="080A0003">
      <w:start w:val="1"/>
      <w:numFmt w:val="bullet"/>
      <w:lvlText w:val="o"/>
      <w:lvlJc w:val="left"/>
      <w:pPr>
        <w:ind w:left="5826" w:hanging="360"/>
      </w:pPr>
      <w:rPr>
        <w:rFonts w:ascii="Courier New" w:hAnsi="Courier New" w:hint="default"/>
      </w:rPr>
    </w:lvl>
    <w:lvl w:ilvl="8" w:tplc="080A0005">
      <w:start w:val="1"/>
      <w:numFmt w:val="bullet"/>
      <w:lvlText w:val=""/>
      <w:lvlJc w:val="left"/>
      <w:pPr>
        <w:ind w:left="6546" w:hanging="360"/>
      </w:pPr>
      <w:rPr>
        <w:rFonts w:ascii="Wingdings" w:hAnsi="Wingdings" w:hint="default"/>
      </w:rPr>
    </w:lvl>
  </w:abstractNum>
  <w:abstractNum w:abstractNumId="76">
    <w:nsid w:val="7DC7183B"/>
    <w:multiLevelType w:val="hybridMultilevel"/>
    <w:tmpl w:val="A8323926"/>
    <w:lvl w:ilvl="0" w:tplc="100A0017">
      <w:start w:val="1"/>
      <w:numFmt w:val="bullet"/>
      <w:lvlText w:val=""/>
      <w:lvlJc w:val="left"/>
      <w:pPr>
        <w:ind w:left="786" w:hanging="360"/>
      </w:pPr>
      <w:rPr>
        <w:rFonts w:ascii="Symbol" w:hAnsi="Symbol" w:hint="default"/>
      </w:rPr>
    </w:lvl>
    <w:lvl w:ilvl="1" w:tplc="100A0003">
      <w:start w:val="1"/>
      <w:numFmt w:val="bullet"/>
      <w:lvlText w:val="o"/>
      <w:lvlJc w:val="left"/>
      <w:pPr>
        <w:ind w:left="1506" w:hanging="360"/>
      </w:pPr>
      <w:rPr>
        <w:rFonts w:ascii="Courier New" w:hAnsi="Courier New" w:hint="default"/>
      </w:rPr>
    </w:lvl>
    <w:lvl w:ilvl="2" w:tplc="100A0005">
      <w:start w:val="1"/>
      <w:numFmt w:val="bullet"/>
      <w:lvlText w:val=""/>
      <w:lvlJc w:val="left"/>
      <w:pPr>
        <w:ind w:left="2226" w:hanging="360"/>
      </w:pPr>
      <w:rPr>
        <w:rFonts w:ascii="Wingdings" w:hAnsi="Wingdings" w:hint="default"/>
      </w:rPr>
    </w:lvl>
    <w:lvl w:ilvl="3" w:tplc="100A0001">
      <w:start w:val="1"/>
      <w:numFmt w:val="bullet"/>
      <w:lvlText w:val=""/>
      <w:lvlJc w:val="left"/>
      <w:pPr>
        <w:ind w:left="2946" w:hanging="360"/>
      </w:pPr>
      <w:rPr>
        <w:rFonts w:ascii="Symbol" w:hAnsi="Symbol" w:hint="default"/>
      </w:rPr>
    </w:lvl>
    <w:lvl w:ilvl="4" w:tplc="100A0003">
      <w:start w:val="1"/>
      <w:numFmt w:val="bullet"/>
      <w:lvlText w:val="o"/>
      <w:lvlJc w:val="left"/>
      <w:pPr>
        <w:ind w:left="3666" w:hanging="360"/>
      </w:pPr>
      <w:rPr>
        <w:rFonts w:ascii="Courier New" w:hAnsi="Courier New" w:hint="default"/>
      </w:rPr>
    </w:lvl>
    <w:lvl w:ilvl="5" w:tplc="100A0005">
      <w:start w:val="1"/>
      <w:numFmt w:val="bullet"/>
      <w:lvlText w:val=""/>
      <w:lvlJc w:val="left"/>
      <w:pPr>
        <w:ind w:left="4386" w:hanging="360"/>
      </w:pPr>
      <w:rPr>
        <w:rFonts w:ascii="Wingdings" w:hAnsi="Wingdings" w:hint="default"/>
      </w:rPr>
    </w:lvl>
    <w:lvl w:ilvl="6" w:tplc="100A0001">
      <w:start w:val="1"/>
      <w:numFmt w:val="bullet"/>
      <w:lvlText w:val=""/>
      <w:lvlJc w:val="left"/>
      <w:pPr>
        <w:ind w:left="5106" w:hanging="360"/>
      </w:pPr>
      <w:rPr>
        <w:rFonts w:ascii="Symbol" w:hAnsi="Symbol" w:hint="default"/>
      </w:rPr>
    </w:lvl>
    <w:lvl w:ilvl="7" w:tplc="100A0003">
      <w:start w:val="1"/>
      <w:numFmt w:val="bullet"/>
      <w:lvlText w:val="o"/>
      <w:lvlJc w:val="left"/>
      <w:pPr>
        <w:ind w:left="5826" w:hanging="360"/>
      </w:pPr>
      <w:rPr>
        <w:rFonts w:ascii="Courier New" w:hAnsi="Courier New" w:hint="default"/>
      </w:rPr>
    </w:lvl>
    <w:lvl w:ilvl="8" w:tplc="100A0005">
      <w:start w:val="1"/>
      <w:numFmt w:val="bullet"/>
      <w:lvlText w:val=""/>
      <w:lvlJc w:val="left"/>
      <w:pPr>
        <w:ind w:left="6546" w:hanging="360"/>
      </w:pPr>
      <w:rPr>
        <w:rFonts w:ascii="Wingdings" w:hAnsi="Wingdings" w:hint="default"/>
      </w:rPr>
    </w:lvl>
  </w:abstractNum>
  <w:abstractNum w:abstractNumId="77">
    <w:nsid w:val="7E12451E"/>
    <w:multiLevelType w:val="hybridMultilevel"/>
    <w:tmpl w:val="8DDCC89E"/>
    <w:lvl w:ilvl="0" w:tplc="93605CAE">
      <w:start w:val="1"/>
      <w:numFmt w:val="bullet"/>
      <w:lvlText w:val=""/>
      <w:lvlJc w:val="left"/>
      <w:pPr>
        <w:ind w:left="720" w:hanging="360"/>
      </w:pPr>
      <w:rPr>
        <w:rFonts w:ascii="Symbol" w:hAnsi="Symbol" w:hint="default"/>
      </w:rPr>
    </w:lvl>
    <w:lvl w:ilvl="1" w:tplc="100A0019" w:tentative="1">
      <w:start w:val="1"/>
      <w:numFmt w:val="bullet"/>
      <w:lvlText w:val="o"/>
      <w:lvlJc w:val="left"/>
      <w:pPr>
        <w:ind w:left="1440" w:hanging="360"/>
      </w:pPr>
      <w:rPr>
        <w:rFonts w:ascii="Courier New" w:hAnsi="Courier New" w:cs="Courier New" w:hint="default"/>
      </w:rPr>
    </w:lvl>
    <w:lvl w:ilvl="2" w:tplc="100A001B" w:tentative="1">
      <w:start w:val="1"/>
      <w:numFmt w:val="bullet"/>
      <w:lvlText w:val=""/>
      <w:lvlJc w:val="left"/>
      <w:pPr>
        <w:ind w:left="2160" w:hanging="360"/>
      </w:pPr>
      <w:rPr>
        <w:rFonts w:ascii="Wingdings" w:hAnsi="Wingdings" w:hint="default"/>
      </w:rPr>
    </w:lvl>
    <w:lvl w:ilvl="3" w:tplc="100A000F" w:tentative="1">
      <w:start w:val="1"/>
      <w:numFmt w:val="bullet"/>
      <w:lvlText w:val=""/>
      <w:lvlJc w:val="left"/>
      <w:pPr>
        <w:ind w:left="2880" w:hanging="360"/>
      </w:pPr>
      <w:rPr>
        <w:rFonts w:ascii="Symbol" w:hAnsi="Symbol" w:hint="default"/>
      </w:rPr>
    </w:lvl>
    <w:lvl w:ilvl="4" w:tplc="100A0019" w:tentative="1">
      <w:start w:val="1"/>
      <w:numFmt w:val="bullet"/>
      <w:lvlText w:val="o"/>
      <w:lvlJc w:val="left"/>
      <w:pPr>
        <w:ind w:left="3600" w:hanging="360"/>
      </w:pPr>
      <w:rPr>
        <w:rFonts w:ascii="Courier New" w:hAnsi="Courier New" w:cs="Courier New" w:hint="default"/>
      </w:rPr>
    </w:lvl>
    <w:lvl w:ilvl="5" w:tplc="100A001B" w:tentative="1">
      <w:start w:val="1"/>
      <w:numFmt w:val="bullet"/>
      <w:lvlText w:val=""/>
      <w:lvlJc w:val="left"/>
      <w:pPr>
        <w:ind w:left="4320" w:hanging="360"/>
      </w:pPr>
      <w:rPr>
        <w:rFonts w:ascii="Wingdings" w:hAnsi="Wingdings" w:hint="default"/>
      </w:rPr>
    </w:lvl>
    <w:lvl w:ilvl="6" w:tplc="100A000F" w:tentative="1">
      <w:start w:val="1"/>
      <w:numFmt w:val="bullet"/>
      <w:lvlText w:val=""/>
      <w:lvlJc w:val="left"/>
      <w:pPr>
        <w:ind w:left="5040" w:hanging="360"/>
      </w:pPr>
      <w:rPr>
        <w:rFonts w:ascii="Symbol" w:hAnsi="Symbol" w:hint="default"/>
      </w:rPr>
    </w:lvl>
    <w:lvl w:ilvl="7" w:tplc="100A0019" w:tentative="1">
      <w:start w:val="1"/>
      <w:numFmt w:val="bullet"/>
      <w:lvlText w:val="o"/>
      <w:lvlJc w:val="left"/>
      <w:pPr>
        <w:ind w:left="5760" w:hanging="360"/>
      </w:pPr>
      <w:rPr>
        <w:rFonts w:ascii="Courier New" w:hAnsi="Courier New" w:cs="Courier New" w:hint="default"/>
      </w:rPr>
    </w:lvl>
    <w:lvl w:ilvl="8" w:tplc="100A001B" w:tentative="1">
      <w:start w:val="1"/>
      <w:numFmt w:val="bullet"/>
      <w:lvlText w:val=""/>
      <w:lvlJc w:val="left"/>
      <w:pPr>
        <w:ind w:left="6480" w:hanging="360"/>
      </w:pPr>
      <w:rPr>
        <w:rFonts w:ascii="Wingdings" w:hAnsi="Wingdings" w:hint="default"/>
      </w:rPr>
    </w:lvl>
  </w:abstractNum>
  <w:num w:numId="1">
    <w:abstractNumId w:val="57"/>
  </w:num>
  <w:num w:numId="2">
    <w:abstractNumId w:val="25"/>
  </w:num>
  <w:num w:numId="3">
    <w:abstractNumId w:val="37"/>
  </w:num>
  <w:num w:numId="4">
    <w:abstractNumId w:val="67"/>
  </w:num>
  <w:num w:numId="5">
    <w:abstractNumId w:val="47"/>
  </w:num>
  <w:num w:numId="6">
    <w:abstractNumId w:val="22"/>
  </w:num>
  <w:num w:numId="7">
    <w:abstractNumId w:val="29"/>
  </w:num>
  <w:num w:numId="8">
    <w:abstractNumId w:val="45"/>
  </w:num>
  <w:num w:numId="9">
    <w:abstractNumId w:val="27"/>
  </w:num>
  <w:num w:numId="10">
    <w:abstractNumId w:val="3"/>
  </w:num>
  <w:num w:numId="11">
    <w:abstractNumId w:val="42"/>
  </w:num>
  <w:num w:numId="12">
    <w:abstractNumId w:val="34"/>
  </w:num>
  <w:num w:numId="13">
    <w:abstractNumId w:val="12"/>
  </w:num>
  <w:num w:numId="14">
    <w:abstractNumId w:val="43"/>
  </w:num>
  <w:num w:numId="15">
    <w:abstractNumId w:val="41"/>
  </w:num>
  <w:num w:numId="16">
    <w:abstractNumId w:val="1"/>
  </w:num>
  <w:num w:numId="17">
    <w:abstractNumId w:val="40"/>
  </w:num>
  <w:num w:numId="18">
    <w:abstractNumId w:val="0"/>
  </w:num>
  <w:num w:numId="19">
    <w:abstractNumId w:val="38"/>
  </w:num>
  <w:num w:numId="20">
    <w:abstractNumId w:val="14"/>
  </w:num>
  <w:num w:numId="21">
    <w:abstractNumId w:val="8"/>
  </w:num>
  <w:num w:numId="22">
    <w:abstractNumId w:val="65"/>
  </w:num>
  <w:num w:numId="23">
    <w:abstractNumId w:val="4"/>
  </w:num>
  <w:num w:numId="24">
    <w:abstractNumId w:val="77"/>
  </w:num>
  <w:num w:numId="25">
    <w:abstractNumId w:val="6"/>
  </w:num>
  <w:num w:numId="26">
    <w:abstractNumId w:val="70"/>
  </w:num>
  <w:num w:numId="27">
    <w:abstractNumId w:val="66"/>
  </w:num>
  <w:num w:numId="28">
    <w:abstractNumId w:val="62"/>
  </w:num>
  <w:num w:numId="29">
    <w:abstractNumId w:val="60"/>
  </w:num>
  <w:num w:numId="30">
    <w:abstractNumId w:val="5"/>
  </w:num>
  <w:num w:numId="31">
    <w:abstractNumId w:val="52"/>
  </w:num>
  <w:num w:numId="32">
    <w:abstractNumId w:val="61"/>
  </w:num>
  <w:num w:numId="33">
    <w:abstractNumId w:val="7"/>
  </w:num>
  <w:num w:numId="34">
    <w:abstractNumId w:val="9"/>
  </w:num>
  <w:num w:numId="35">
    <w:abstractNumId w:val="35"/>
  </w:num>
  <w:num w:numId="36">
    <w:abstractNumId w:val="71"/>
  </w:num>
  <w:num w:numId="37">
    <w:abstractNumId w:val="32"/>
  </w:num>
  <w:num w:numId="38">
    <w:abstractNumId w:val="30"/>
  </w:num>
  <w:num w:numId="39">
    <w:abstractNumId w:val="63"/>
  </w:num>
  <w:num w:numId="40">
    <w:abstractNumId w:val="20"/>
  </w:num>
  <w:num w:numId="41">
    <w:abstractNumId w:val="36"/>
  </w:num>
  <w:num w:numId="42">
    <w:abstractNumId w:val="69"/>
  </w:num>
  <w:num w:numId="43">
    <w:abstractNumId w:val="59"/>
  </w:num>
  <w:num w:numId="44">
    <w:abstractNumId w:val="26"/>
  </w:num>
  <w:num w:numId="45">
    <w:abstractNumId w:val="72"/>
  </w:num>
  <w:num w:numId="46">
    <w:abstractNumId w:val="49"/>
  </w:num>
  <w:num w:numId="47">
    <w:abstractNumId w:val="44"/>
  </w:num>
  <w:num w:numId="48">
    <w:abstractNumId w:val="74"/>
  </w:num>
  <w:num w:numId="49">
    <w:abstractNumId w:val="46"/>
  </w:num>
  <w:num w:numId="50">
    <w:abstractNumId w:val="17"/>
  </w:num>
  <w:num w:numId="51">
    <w:abstractNumId w:val="56"/>
  </w:num>
  <w:num w:numId="52">
    <w:abstractNumId w:val="24"/>
  </w:num>
  <w:num w:numId="53">
    <w:abstractNumId w:val="73"/>
  </w:num>
  <w:num w:numId="54">
    <w:abstractNumId w:val="51"/>
  </w:num>
  <w:num w:numId="55">
    <w:abstractNumId w:val="15"/>
  </w:num>
  <w:num w:numId="56">
    <w:abstractNumId w:val="39"/>
  </w:num>
  <w:num w:numId="57">
    <w:abstractNumId w:val="11"/>
  </w:num>
  <w:num w:numId="58">
    <w:abstractNumId w:val="19"/>
  </w:num>
  <w:num w:numId="59">
    <w:abstractNumId w:val="76"/>
  </w:num>
  <w:num w:numId="60">
    <w:abstractNumId w:val="13"/>
  </w:num>
  <w:num w:numId="61">
    <w:abstractNumId w:val="10"/>
  </w:num>
  <w:num w:numId="62">
    <w:abstractNumId w:val="75"/>
  </w:num>
  <w:num w:numId="63">
    <w:abstractNumId w:val="48"/>
  </w:num>
  <w:num w:numId="64">
    <w:abstractNumId w:val="64"/>
  </w:num>
  <w:num w:numId="65">
    <w:abstractNumId w:val="55"/>
  </w:num>
  <w:num w:numId="66">
    <w:abstractNumId w:val="50"/>
  </w:num>
  <w:num w:numId="67">
    <w:abstractNumId w:val="16"/>
  </w:num>
  <w:num w:numId="68">
    <w:abstractNumId w:val="21"/>
  </w:num>
  <w:num w:numId="69">
    <w:abstractNumId w:val="23"/>
  </w:num>
  <w:num w:numId="70">
    <w:abstractNumId w:val="58"/>
  </w:num>
  <w:num w:numId="71">
    <w:abstractNumId w:val="28"/>
  </w:num>
  <w:num w:numId="72">
    <w:abstractNumId w:val="54"/>
  </w:num>
  <w:num w:numId="73">
    <w:abstractNumId w:val="53"/>
  </w:num>
  <w:num w:numId="74">
    <w:abstractNumId w:val="33"/>
  </w:num>
  <w:num w:numId="75">
    <w:abstractNumId w:val="68"/>
  </w:num>
  <w:num w:numId="76">
    <w:abstractNumId w:val="18"/>
  </w:num>
  <w:num w:numId="77">
    <w:abstractNumId w:val="31"/>
  </w:num>
  <w:num w:numId="78">
    <w:abstractNumId w:val="2"/>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5FB2"/>
    <w:rsid w:val="00000100"/>
    <w:rsid w:val="0000139A"/>
    <w:rsid w:val="00003CC0"/>
    <w:rsid w:val="00010086"/>
    <w:rsid w:val="00012D54"/>
    <w:rsid w:val="00012F1C"/>
    <w:rsid w:val="000156F9"/>
    <w:rsid w:val="00016E6A"/>
    <w:rsid w:val="00016E8A"/>
    <w:rsid w:val="00020179"/>
    <w:rsid w:val="000213B1"/>
    <w:rsid w:val="000219B4"/>
    <w:rsid w:val="000239F9"/>
    <w:rsid w:val="00024CE6"/>
    <w:rsid w:val="00026D8A"/>
    <w:rsid w:val="00027046"/>
    <w:rsid w:val="00030E4F"/>
    <w:rsid w:val="000323DD"/>
    <w:rsid w:val="00034917"/>
    <w:rsid w:val="00034F77"/>
    <w:rsid w:val="000364C9"/>
    <w:rsid w:val="00036D93"/>
    <w:rsid w:val="00037F5B"/>
    <w:rsid w:val="00051FA8"/>
    <w:rsid w:val="00053CAC"/>
    <w:rsid w:val="000559A2"/>
    <w:rsid w:val="00055D12"/>
    <w:rsid w:val="00057DE6"/>
    <w:rsid w:val="00061AE0"/>
    <w:rsid w:val="00061BE3"/>
    <w:rsid w:val="00062EE1"/>
    <w:rsid w:val="00063B2B"/>
    <w:rsid w:val="0006749C"/>
    <w:rsid w:val="000731FB"/>
    <w:rsid w:val="0007406E"/>
    <w:rsid w:val="00074C2B"/>
    <w:rsid w:val="00077DC5"/>
    <w:rsid w:val="000877CA"/>
    <w:rsid w:val="000905DA"/>
    <w:rsid w:val="000915EE"/>
    <w:rsid w:val="000920B2"/>
    <w:rsid w:val="00092856"/>
    <w:rsid w:val="0009627C"/>
    <w:rsid w:val="000A511E"/>
    <w:rsid w:val="000A628C"/>
    <w:rsid w:val="000A66E6"/>
    <w:rsid w:val="000A732E"/>
    <w:rsid w:val="000B0666"/>
    <w:rsid w:val="000B067C"/>
    <w:rsid w:val="000B1215"/>
    <w:rsid w:val="000B332A"/>
    <w:rsid w:val="000B3F79"/>
    <w:rsid w:val="000B68AD"/>
    <w:rsid w:val="000C11AD"/>
    <w:rsid w:val="000C27D7"/>
    <w:rsid w:val="000C3A11"/>
    <w:rsid w:val="000C624A"/>
    <w:rsid w:val="000C6425"/>
    <w:rsid w:val="000D70BF"/>
    <w:rsid w:val="000D7E14"/>
    <w:rsid w:val="000E17B6"/>
    <w:rsid w:val="000E6260"/>
    <w:rsid w:val="000E7084"/>
    <w:rsid w:val="000F0835"/>
    <w:rsid w:val="000F0FC1"/>
    <w:rsid w:val="000F1A04"/>
    <w:rsid w:val="000F3351"/>
    <w:rsid w:val="000F5D12"/>
    <w:rsid w:val="000F73BE"/>
    <w:rsid w:val="0010201A"/>
    <w:rsid w:val="00103F11"/>
    <w:rsid w:val="00104FCA"/>
    <w:rsid w:val="0010673E"/>
    <w:rsid w:val="00106BAF"/>
    <w:rsid w:val="00106BE9"/>
    <w:rsid w:val="00112FC2"/>
    <w:rsid w:val="0011425B"/>
    <w:rsid w:val="0012158A"/>
    <w:rsid w:val="001222D7"/>
    <w:rsid w:val="00122B2F"/>
    <w:rsid w:val="00125EEC"/>
    <w:rsid w:val="001271C4"/>
    <w:rsid w:val="00127BAF"/>
    <w:rsid w:val="00127EB1"/>
    <w:rsid w:val="001362F3"/>
    <w:rsid w:val="001370E1"/>
    <w:rsid w:val="00141212"/>
    <w:rsid w:val="00141A70"/>
    <w:rsid w:val="00142A6A"/>
    <w:rsid w:val="00145640"/>
    <w:rsid w:val="001477EF"/>
    <w:rsid w:val="00150891"/>
    <w:rsid w:val="001523C0"/>
    <w:rsid w:val="00156FA8"/>
    <w:rsid w:val="001603F2"/>
    <w:rsid w:val="00160E43"/>
    <w:rsid w:val="00165CFF"/>
    <w:rsid w:val="0017059B"/>
    <w:rsid w:val="00170FF9"/>
    <w:rsid w:val="00172475"/>
    <w:rsid w:val="0017736D"/>
    <w:rsid w:val="0018035A"/>
    <w:rsid w:val="0018099B"/>
    <w:rsid w:val="00181C38"/>
    <w:rsid w:val="0018466F"/>
    <w:rsid w:val="0018731B"/>
    <w:rsid w:val="001878DC"/>
    <w:rsid w:val="00187FED"/>
    <w:rsid w:val="00190F37"/>
    <w:rsid w:val="00193177"/>
    <w:rsid w:val="00194FB3"/>
    <w:rsid w:val="001A01AB"/>
    <w:rsid w:val="001A1426"/>
    <w:rsid w:val="001A18D5"/>
    <w:rsid w:val="001A1E6B"/>
    <w:rsid w:val="001A63C8"/>
    <w:rsid w:val="001B0481"/>
    <w:rsid w:val="001B2DC5"/>
    <w:rsid w:val="001B46F8"/>
    <w:rsid w:val="001C0399"/>
    <w:rsid w:val="001C1B1A"/>
    <w:rsid w:val="001C33BB"/>
    <w:rsid w:val="001C49FF"/>
    <w:rsid w:val="001C4AC9"/>
    <w:rsid w:val="001C55C8"/>
    <w:rsid w:val="001C74A3"/>
    <w:rsid w:val="001D22D7"/>
    <w:rsid w:val="001D4D77"/>
    <w:rsid w:val="001D5199"/>
    <w:rsid w:val="001E0161"/>
    <w:rsid w:val="001E08E1"/>
    <w:rsid w:val="001E0F49"/>
    <w:rsid w:val="001E2ADE"/>
    <w:rsid w:val="001E2CDD"/>
    <w:rsid w:val="001E31FA"/>
    <w:rsid w:val="001E73E6"/>
    <w:rsid w:val="001F3DC1"/>
    <w:rsid w:val="001F3E97"/>
    <w:rsid w:val="001F54E1"/>
    <w:rsid w:val="001F68C4"/>
    <w:rsid w:val="001F68E7"/>
    <w:rsid w:val="00200CF1"/>
    <w:rsid w:val="002012C4"/>
    <w:rsid w:val="002019D3"/>
    <w:rsid w:val="0020499D"/>
    <w:rsid w:val="00206FDA"/>
    <w:rsid w:val="00207EC5"/>
    <w:rsid w:val="00212A35"/>
    <w:rsid w:val="00215F87"/>
    <w:rsid w:val="00216872"/>
    <w:rsid w:val="00216CF7"/>
    <w:rsid w:val="002179F8"/>
    <w:rsid w:val="00220D4B"/>
    <w:rsid w:val="00221C8A"/>
    <w:rsid w:val="00224B57"/>
    <w:rsid w:val="00226C10"/>
    <w:rsid w:val="00227FD6"/>
    <w:rsid w:val="00236D9B"/>
    <w:rsid w:val="00242970"/>
    <w:rsid w:val="002434D3"/>
    <w:rsid w:val="0024464A"/>
    <w:rsid w:val="0024530E"/>
    <w:rsid w:val="002502C9"/>
    <w:rsid w:val="00252C8B"/>
    <w:rsid w:val="00253520"/>
    <w:rsid w:val="00253B15"/>
    <w:rsid w:val="00254161"/>
    <w:rsid w:val="00254241"/>
    <w:rsid w:val="0025465A"/>
    <w:rsid w:val="00256289"/>
    <w:rsid w:val="00257AD1"/>
    <w:rsid w:val="00260481"/>
    <w:rsid w:val="00261407"/>
    <w:rsid w:val="00261CA7"/>
    <w:rsid w:val="00261DF4"/>
    <w:rsid w:val="002664F2"/>
    <w:rsid w:val="002669E1"/>
    <w:rsid w:val="00267772"/>
    <w:rsid w:val="00270DF7"/>
    <w:rsid w:val="00270E3F"/>
    <w:rsid w:val="00271F2D"/>
    <w:rsid w:val="002734BC"/>
    <w:rsid w:val="002735B3"/>
    <w:rsid w:val="00273B82"/>
    <w:rsid w:val="002746CB"/>
    <w:rsid w:val="00284548"/>
    <w:rsid w:val="002873DE"/>
    <w:rsid w:val="00287B0A"/>
    <w:rsid w:val="00291ACD"/>
    <w:rsid w:val="00291FC1"/>
    <w:rsid w:val="00292DAC"/>
    <w:rsid w:val="00296FF9"/>
    <w:rsid w:val="002A095D"/>
    <w:rsid w:val="002A2374"/>
    <w:rsid w:val="002A3EBD"/>
    <w:rsid w:val="002A4118"/>
    <w:rsid w:val="002A49BF"/>
    <w:rsid w:val="002A58B8"/>
    <w:rsid w:val="002B0C19"/>
    <w:rsid w:val="002B21B9"/>
    <w:rsid w:val="002B7D86"/>
    <w:rsid w:val="002C1D9B"/>
    <w:rsid w:val="002C20C4"/>
    <w:rsid w:val="002C3284"/>
    <w:rsid w:val="002C348B"/>
    <w:rsid w:val="002C6E19"/>
    <w:rsid w:val="002D14FD"/>
    <w:rsid w:val="002D323D"/>
    <w:rsid w:val="002D7F40"/>
    <w:rsid w:val="002E085A"/>
    <w:rsid w:val="002E3735"/>
    <w:rsid w:val="002E6EB9"/>
    <w:rsid w:val="002F15F1"/>
    <w:rsid w:val="002F210D"/>
    <w:rsid w:val="002F3360"/>
    <w:rsid w:val="002F495A"/>
    <w:rsid w:val="002F60C2"/>
    <w:rsid w:val="002F68BD"/>
    <w:rsid w:val="00301499"/>
    <w:rsid w:val="00302D3E"/>
    <w:rsid w:val="003035EF"/>
    <w:rsid w:val="00306664"/>
    <w:rsid w:val="00306727"/>
    <w:rsid w:val="00313004"/>
    <w:rsid w:val="00314DF6"/>
    <w:rsid w:val="00315A88"/>
    <w:rsid w:val="003173AD"/>
    <w:rsid w:val="003175D6"/>
    <w:rsid w:val="003176F4"/>
    <w:rsid w:val="00320E65"/>
    <w:rsid w:val="003215DE"/>
    <w:rsid w:val="00322A4D"/>
    <w:rsid w:val="00323A81"/>
    <w:rsid w:val="00324FAA"/>
    <w:rsid w:val="0033045E"/>
    <w:rsid w:val="00330D52"/>
    <w:rsid w:val="003355D9"/>
    <w:rsid w:val="0034138F"/>
    <w:rsid w:val="00341532"/>
    <w:rsid w:val="0034374F"/>
    <w:rsid w:val="00344676"/>
    <w:rsid w:val="00346084"/>
    <w:rsid w:val="003510B5"/>
    <w:rsid w:val="00351A80"/>
    <w:rsid w:val="00356204"/>
    <w:rsid w:val="00360C27"/>
    <w:rsid w:val="003638C7"/>
    <w:rsid w:val="0036396B"/>
    <w:rsid w:val="003646D2"/>
    <w:rsid w:val="00365AEF"/>
    <w:rsid w:val="00367EB6"/>
    <w:rsid w:val="003710E2"/>
    <w:rsid w:val="00371E5F"/>
    <w:rsid w:val="00372179"/>
    <w:rsid w:val="00373C15"/>
    <w:rsid w:val="00374112"/>
    <w:rsid w:val="0037653D"/>
    <w:rsid w:val="003847BC"/>
    <w:rsid w:val="003902BC"/>
    <w:rsid w:val="00391CD6"/>
    <w:rsid w:val="00396073"/>
    <w:rsid w:val="003A0ED2"/>
    <w:rsid w:val="003A1F29"/>
    <w:rsid w:val="003A2C0C"/>
    <w:rsid w:val="003B0128"/>
    <w:rsid w:val="003B29AD"/>
    <w:rsid w:val="003B3354"/>
    <w:rsid w:val="003B3A2D"/>
    <w:rsid w:val="003B45C8"/>
    <w:rsid w:val="003C12DB"/>
    <w:rsid w:val="003C4210"/>
    <w:rsid w:val="003C486B"/>
    <w:rsid w:val="003C4B1C"/>
    <w:rsid w:val="003C54A1"/>
    <w:rsid w:val="003C58E3"/>
    <w:rsid w:val="003C5A41"/>
    <w:rsid w:val="003C6768"/>
    <w:rsid w:val="003D0B53"/>
    <w:rsid w:val="003D0E5A"/>
    <w:rsid w:val="003D1943"/>
    <w:rsid w:val="003D51FD"/>
    <w:rsid w:val="003E5298"/>
    <w:rsid w:val="003E56CB"/>
    <w:rsid w:val="003F21CD"/>
    <w:rsid w:val="003F2817"/>
    <w:rsid w:val="003F295A"/>
    <w:rsid w:val="003F314F"/>
    <w:rsid w:val="003F3EED"/>
    <w:rsid w:val="003F501A"/>
    <w:rsid w:val="003F6E61"/>
    <w:rsid w:val="0040052C"/>
    <w:rsid w:val="0040099A"/>
    <w:rsid w:val="0040196A"/>
    <w:rsid w:val="00401AEE"/>
    <w:rsid w:val="00411B1B"/>
    <w:rsid w:val="0041327B"/>
    <w:rsid w:val="00414BFB"/>
    <w:rsid w:val="00416070"/>
    <w:rsid w:val="00416F98"/>
    <w:rsid w:val="0042061A"/>
    <w:rsid w:val="00420C63"/>
    <w:rsid w:val="00422741"/>
    <w:rsid w:val="004234E4"/>
    <w:rsid w:val="00424316"/>
    <w:rsid w:val="004247D4"/>
    <w:rsid w:val="00424E4D"/>
    <w:rsid w:val="00425675"/>
    <w:rsid w:val="004271F1"/>
    <w:rsid w:val="004300B8"/>
    <w:rsid w:val="00433B14"/>
    <w:rsid w:val="00434A51"/>
    <w:rsid w:val="00436502"/>
    <w:rsid w:val="00436A41"/>
    <w:rsid w:val="004405C3"/>
    <w:rsid w:val="00444BA6"/>
    <w:rsid w:val="00455DBB"/>
    <w:rsid w:val="00456DEF"/>
    <w:rsid w:val="00456FE9"/>
    <w:rsid w:val="004616A7"/>
    <w:rsid w:val="004616EE"/>
    <w:rsid w:val="00462654"/>
    <w:rsid w:val="00465449"/>
    <w:rsid w:val="00465D8F"/>
    <w:rsid w:val="00471264"/>
    <w:rsid w:val="00480E65"/>
    <w:rsid w:val="004844E5"/>
    <w:rsid w:val="00484591"/>
    <w:rsid w:val="004846A4"/>
    <w:rsid w:val="004853BC"/>
    <w:rsid w:val="00487319"/>
    <w:rsid w:val="0049326C"/>
    <w:rsid w:val="00494933"/>
    <w:rsid w:val="00496C64"/>
    <w:rsid w:val="0049770F"/>
    <w:rsid w:val="00497F4E"/>
    <w:rsid w:val="004A09E0"/>
    <w:rsid w:val="004A1C27"/>
    <w:rsid w:val="004B0397"/>
    <w:rsid w:val="004B03E3"/>
    <w:rsid w:val="004B3F83"/>
    <w:rsid w:val="004B5A57"/>
    <w:rsid w:val="004B6323"/>
    <w:rsid w:val="004B76E5"/>
    <w:rsid w:val="004C16CC"/>
    <w:rsid w:val="004C21FD"/>
    <w:rsid w:val="004C2C65"/>
    <w:rsid w:val="004C4554"/>
    <w:rsid w:val="004C5376"/>
    <w:rsid w:val="004C77F8"/>
    <w:rsid w:val="004D01FA"/>
    <w:rsid w:val="004D1F6A"/>
    <w:rsid w:val="004D3749"/>
    <w:rsid w:val="004D43A4"/>
    <w:rsid w:val="004D4D08"/>
    <w:rsid w:val="004E09C4"/>
    <w:rsid w:val="004E2482"/>
    <w:rsid w:val="004E2505"/>
    <w:rsid w:val="004E2ECE"/>
    <w:rsid w:val="004E388F"/>
    <w:rsid w:val="004E66D7"/>
    <w:rsid w:val="004E6953"/>
    <w:rsid w:val="004F5579"/>
    <w:rsid w:val="00506D58"/>
    <w:rsid w:val="00506FEB"/>
    <w:rsid w:val="005078B8"/>
    <w:rsid w:val="005079FC"/>
    <w:rsid w:val="00510BC4"/>
    <w:rsid w:val="00513D2C"/>
    <w:rsid w:val="00514738"/>
    <w:rsid w:val="005150EF"/>
    <w:rsid w:val="00517C1B"/>
    <w:rsid w:val="00523AA5"/>
    <w:rsid w:val="00523BC1"/>
    <w:rsid w:val="005265B8"/>
    <w:rsid w:val="0052708E"/>
    <w:rsid w:val="00527931"/>
    <w:rsid w:val="00530C4E"/>
    <w:rsid w:val="00532FA2"/>
    <w:rsid w:val="00535834"/>
    <w:rsid w:val="00544109"/>
    <w:rsid w:val="00544A9F"/>
    <w:rsid w:val="00544D7C"/>
    <w:rsid w:val="00545EB4"/>
    <w:rsid w:val="005462E3"/>
    <w:rsid w:val="00546E6B"/>
    <w:rsid w:val="00551D22"/>
    <w:rsid w:val="00563E8C"/>
    <w:rsid w:val="00565209"/>
    <w:rsid w:val="005657A5"/>
    <w:rsid w:val="0056604C"/>
    <w:rsid w:val="0057293B"/>
    <w:rsid w:val="0057664A"/>
    <w:rsid w:val="00577CC5"/>
    <w:rsid w:val="005806E3"/>
    <w:rsid w:val="00581E8C"/>
    <w:rsid w:val="00594191"/>
    <w:rsid w:val="0059492C"/>
    <w:rsid w:val="005A2D3B"/>
    <w:rsid w:val="005A2FE3"/>
    <w:rsid w:val="005A31BE"/>
    <w:rsid w:val="005A6CF6"/>
    <w:rsid w:val="005B13AB"/>
    <w:rsid w:val="005B23E3"/>
    <w:rsid w:val="005B64A5"/>
    <w:rsid w:val="005B7A54"/>
    <w:rsid w:val="005C6B90"/>
    <w:rsid w:val="005D039B"/>
    <w:rsid w:val="005D1453"/>
    <w:rsid w:val="005D1BB6"/>
    <w:rsid w:val="005D4294"/>
    <w:rsid w:val="005D75A1"/>
    <w:rsid w:val="005D7710"/>
    <w:rsid w:val="005E20F9"/>
    <w:rsid w:val="005E3809"/>
    <w:rsid w:val="005E6C95"/>
    <w:rsid w:val="005F07DD"/>
    <w:rsid w:val="005F0DC3"/>
    <w:rsid w:val="005F3A11"/>
    <w:rsid w:val="005F406B"/>
    <w:rsid w:val="005F44C3"/>
    <w:rsid w:val="005F5BA4"/>
    <w:rsid w:val="005F5C08"/>
    <w:rsid w:val="005F608A"/>
    <w:rsid w:val="005F6B87"/>
    <w:rsid w:val="00601277"/>
    <w:rsid w:val="00604684"/>
    <w:rsid w:val="006049C9"/>
    <w:rsid w:val="00605E41"/>
    <w:rsid w:val="006079D5"/>
    <w:rsid w:val="00614E9E"/>
    <w:rsid w:val="00617B8A"/>
    <w:rsid w:val="006207EC"/>
    <w:rsid w:val="006361C5"/>
    <w:rsid w:val="0063623A"/>
    <w:rsid w:val="00643F0D"/>
    <w:rsid w:val="006515FA"/>
    <w:rsid w:val="00653621"/>
    <w:rsid w:val="00657A80"/>
    <w:rsid w:val="00661EF1"/>
    <w:rsid w:val="00662B87"/>
    <w:rsid w:val="00664B01"/>
    <w:rsid w:val="00665CFE"/>
    <w:rsid w:val="0067044D"/>
    <w:rsid w:val="00670B24"/>
    <w:rsid w:val="0068328C"/>
    <w:rsid w:val="00683DA4"/>
    <w:rsid w:val="0068494B"/>
    <w:rsid w:val="00690556"/>
    <w:rsid w:val="00691329"/>
    <w:rsid w:val="00693A86"/>
    <w:rsid w:val="006A0601"/>
    <w:rsid w:val="006A1183"/>
    <w:rsid w:val="006A2AB6"/>
    <w:rsid w:val="006A30B4"/>
    <w:rsid w:val="006A31E4"/>
    <w:rsid w:val="006A3400"/>
    <w:rsid w:val="006B0A31"/>
    <w:rsid w:val="006B1CC0"/>
    <w:rsid w:val="006B1CE3"/>
    <w:rsid w:val="006B1FFA"/>
    <w:rsid w:val="006B3932"/>
    <w:rsid w:val="006B53B9"/>
    <w:rsid w:val="006B6C95"/>
    <w:rsid w:val="006B7650"/>
    <w:rsid w:val="006C01B3"/>
    <w:rsid w:val="006C566F"/>
    <w:rsid w:val="006C6060"/>
    <w:rsid w:val="006C62B5"/>
    <w:rsid w:val="006D7016"/>
    <w:rsid w:val="006E10BF"/>
    <w:rsid w:val="006E4121"/>
    <w:rsid w:val="006E5879"/>
    <w:rsid w:val="006E590A"/>
    <w:rsid w:val="006E6574"/>
    <w:rsid w:val="006E69BA"/>
    <w:rsid w:val="006E7802"/>
    <w:rsid w:val="006E7DEC"/>
    <w:rsid w:val="006F082A"/>
    <w:rsid w:val="006F3067"/>
    <w:rsid w:val="006F3C9A"/>
    <w:rsid w:val="006F5C83"/>
    <w:rsid w:val="00700144"/>
    <w:rsid w:val="00700210"/>
    <w:rsid w:val="00701EC5"/>
    <w:rsid w:val="007032D9"/>
    <w:rsid w:val="007033AE"/>
    <w:rsid w:val="007041C2"/>
    <w:rsid w:val="007057AF"/>
    <w:rsid w:val="00711638"/>
    <w:rsid w:val="00713EDD"/>
    <w:rsid w:val="0071674E"/>
    <w:rsid w:val="00717B54"/>
    <w:rsid w:val="00722F24"/>
    <w:rsid w:val="00723BFB"/>
    <w:rsid w:val="007254D1"/>
    <w:rsid w:val="00725677"/>
    <w:rsid w:val="00726382"/>
    <w:rsid w:val="00726A05"/>
    <w:rsid w:val="00730A2F"/>
    <w:rsid w:val="007311E3"/>
    <w:rsid w:val="0073260D"/>
    <w:rsid w:val="0073405D"/>
    <w:rsid w:val="0073409A"/>
    <w:rsid w:val="00734922"/>
    <w:rsid w:val="00735511"/>
    <w:rsid w:val="0073679C"/>
    <w:rsid w:val="00742F6A"/>
    <w:rsid w:val="00745026"/>
    <w:rsid w:val="007450B6"/>
    <w:rsid w:val="00752A16"/>
    <w:rsid w:val="00752D29"/>
    <w:rsid w:val="00754E0E"/>
    <w:rsid w:val="00756D3C"/>
    <w:rsid w:val="0075783E"/>
    <w:rsid w:val="00760D64"/>
    <w:rsid w:val="00766EF4"/>
    <w:rsid w:val="0076720D"/>
    <w:rsid w:val="00770CFE"/>
    <w:rsid w:val="00772FAB"/>
    <w:rsid w:val="00775451"/>
    <w:rsid w:val="00775818"/>
    <w:rsid w:val="00780BE5"/>
    <w:rsid w:val="00780D81"/>
    <w:rsid w:val="00781A75"/>
    <w:rsid w:val="00782067"/>
    <w:rsid w:val="00783BC7"/>
    <w:rsid w:val="00784F34"/>
    <w:rsid w:val="00785FB2"/>
    <w:rsid w:val="00786CC4"/>
    <w:rsid w:val="00787363"/>
    <w:rsid w:val="007914E5"/>
    <w:rsid w:val="00793179"/>
    <w:rsid w:val="007937D7"/>
    <w:rsid w:val="00794A99"/>
    <w:rsid w:val="00795E2C"/>
    <w:rsid w:val="00796534"/>
    <w:rsid w:val="007A5355"/>
    <w:rsid w:val="007A58FC"/>
    <w:rsid w:val="007A6739"/>
    <w:rsid w:val="007B037B"/>
    <w:rsid w:val="007B0B54"/>
    <w:rsid w:val="007B0B6F"/>
    <w:rsid w:val="007B2632"/>
    <w:rsid w:val="007B7601"/>
    <w:rsid w:val="007C1574"/>
    <w:rsid w:val="007C17CB"/>
    <w:rsid w:val="007C2F5F"/>
    <w:rsid w:val="007C3972"/>
    <w:rsid w:val="007C3C28"/>
    <w:rsid w:val="007C4162"/>
    <w:rsid w:val="007C476E"/>
    <w:rsid w:val="007C4AAD"/>
    <w:rsid w:val="007C4F20"/>
    <w:rsid w:val="007C5467"/>
    <w:rsid w:val="007D68AB"/>
    <w:rsid w:val="007D68BF"/>
    <w:rsid w:val="007E21D9"/>
    <w:rsid w:val="007E29B2"/>
    <w:rsid w:val="007F031A"/>
    <w:rsid w:val="007F0B83"/>
    <w:rsid w:val="007F1C90"/>
    <w:rsid w:val="007F453C"/>
    <w:rsid w:val="007F600D"/>
    <w:rsid w:val="007F6462"/>
    <w:rsid w:val="007F6E4C"/>
    <w:rsid w:val="00802383"/>
    <w:rsid w:val="00803C6F"/>
    <w:rsid w:val="00804765"/>
    <w:rsid w:val="00804F12"/>
    <w:rsid w:val="00806A1C"/>
    <w:rsid w:val="00806A7C"/>
    <w:rsid w:val="008178BA"/>
    <w:rsid w:val="00817D58"/>
    <w:rsid w:val="00823B91"/>
    <w:rsid w:val="0082414D"/>
    <w:rsid w:val="00825AB6"/>
    <w:rsid w:val="00825FB2"/>
    <w:rsid w:val="008275CC"/>
    <w:rsid w:val="008327B2"/>
    <w:rsid w:val="00832C29"/>
    <w:rsid w:val="00836259"/>
    <w:rsid w:val="008363AB"/>
    <w:rsid w:val="00837B7C"/>
    <w:rsid w:val="00843B0B"/>
    <w:rsid w:val="00843DCA"/>
    <w:rsid w:val="008445D0"/>
    <w:rsid w:val="00844A7E"/>
    <w:rsid w:val="00844C8A"/>
    <w:rsid w:val="0085069E"/>
    <w:rsid w:val="008507C8"/>
    <w:rsid w:val="0085657B"/>
    <w:rsid w:val="00856FFF"/>
    <w:rsid w:val="0086148C"/>
    <w:rsid w:val="00862C36"/>
    <w:rsid w:val="0086302C"/>
    <w:rsid w:val="0086329F"/>
    <w:rsid w:val="00863303"/>
    <w:rsid w:val="008664CC"/>
    <w:rsid w:val="0086664C"/>
    <w:rsid w:val="00867AF0"/>
    <w:rsid w:val="00872AA4"/>
    <w:rsid w:val="008736B9"/>
    <w:rsid w:val="00877A87"/>
    <w:rsid w:val="00882700"/>
    <w:rsid w:val="00883F43"/>
    <w:rsid w:val="00890023"/>
    <w:rsid w:val="008901F3"/>
    <w:rsid w:val="00890B57"/>
    <w:rsid w:val="0089144E"/>
    <w:rsid w:val="00892968"/>
    <w:rsid w:val="008955A0"/>
    <w:rsid w:val="00896CC1"/>
    <w:rsid w:val="008A0EC7"/>
    <w:rsid w:val="008A3A74"/>
    <w:rsid w:val="008B2B19"/>
    <w:rsid w:val="008B4072"/>
    <w:rsid w:val="008B4EC2"/>
    <w:rsid w:val="008B5C4C"/>
    <w:rsid w:val="008C1EE0"/>
    <w:rsid w:val="008D0E4C"/>
    <w:rsid w:val="008D103E"/>
    <w:rsid w:val="008D4206"/>
    <w:rsid w:val="008D5E93"/>
    <w:rsid w:val="008D7895"/>
    <w:rsid w:val="008E0AD5"/>
    <w:rsid w:val="008E0CD5"/>
    <w:rsid w:val="008E4E64"/>
    <w:rsid w:val="008E7800"/>
    <w:rsid w:val="008F030A"/>
    <w:rsid w:val="008F337A"/>
    <w:rsid w:val="008F73AE"/>
    <w:rsid w:val="00901828"/>
    <w:rsid w:val="00901E3B"/>
    <w:rsid w:val="0090231D"/>
    <w:rsid w:val="00910524"/>
    <w:rsid w:val="009116B8"/>
    <w:rsid w:val="00911A7D"/>
    <w:rsid w:val="00924C3B"/>
    <w:rsid w:val="00925157"/>
    <w:rsid w:val="00926C98"/>
    <w:rsid w:val="0093248E"/>
    <w:rsid w:val="00932B6B"/>
    <w:rsid w:val="00933372"/>
    <w:rsid w:val="00933548"/>
    <w:rsid w:val="00937F73"/>
    <w:rsid w:val="00952012"/>
    <w:rsid w:val="00952FE8"/>
    <w:rsid w:val="009542FC"/>
    <w:rsid w:val="009569BB"/>
    <w:rsid w:val="009576AE"/>
    <w:rsid w:val="00964590"/>
    <w:rsid w:val="009720B6"/>
    <w:rsid w:val="00973E93"/>
    <w:rsid w:val="009757CA"/>
    <w:rsid w:val="009759DC"/>
    <w:rsid w:val="00980F1F"/>
    <w:rsid w:val="009810AC"/>
    <w:rsid w:val="00983FEA"/>
    <w:rsid w:val="00986A3C"/>
    <w:rsid w:val="009924FF"/>
    <w:rsid w:val="00992A99"/>
    <w:rsid w:val="009938B9"/>
    <w:rsid w:val="009945E2"/>
    <w:rsid w:val="00994636"/>
    <w:rsid w:val="00994994"/>
    <w:rsid w:val="00994A35"/>
    <w:rsid w:val="00994ADC"/>
    <w:rsid w:val="009961F6"/>
    <w:rsid w:val="009A3F05"/>
    <w:rsid w:val="009B20BF"/>
    <w:rsid w:val="009B2BE9"/>
    <w:rsid w:val="009B31A0"/>
    <w:rsid w:val="009B3213"/>
    <w:rsid w:val="009B4592"/>
    <w:rsid w:val="009B45E5"/>
    <w:rsid w:val="009B6272"/>
    <w:rsid w:val="009B7CFA"/>
    <w:rsid w:val="009C015E"/>
    <w:rsid w:val="009C069D"/>
    <w:rsid w:val="009C124A"/>
    <w:rsid w:val="009C49B6"/>
    <w:rsid w:val="009C5346"/>
    <w:rsid w:val="009C6FBE"/>
    <w:rsid w:val="009D0FA6"/>
    <w:rsid w:val="009D2448"/>
    <w:rsid w:val="009E0B29"/>
    <w:rsid w:val="009E3054"/>
    <w:rsid w:val="009E3212"/>
    <w:rsid w:val="009E424D"/>
    <w:rsid w:val="009E5B66"/>
    <w:rsid w:val="009F0BDF"/>
    <w:rsid w:val="009F1AB9"/>
    <w:rsid w:val="009F5CE8"/>
    <w:rsid w:val="009F70F5"/>
    <w:rsid w:val="00A01381"/>
    <w:rsid w:val="00A04815"/>
    <w:rsid w:val="00A102F5"/>
    <w:rsid w:val="00A10EFB"/>
    <w:rsid w:val="00A13498"/>
    <w:rsid w:val="00A20C0E"/>
    <w:rsid w:val="00A215C0"/>
    <w:rsid w:val="00A221B1"/>
    <w:rsid w:val="00A24C7B"/>
    <w:rsid w:val="00A3015C"/>
    <w:rsid w:val="00A30743"/>
    <w:rsid w:val="00A31B27"/>
    <w:rsid w:val="00A3220B"/>
    <w:rsid w:val="00A33A94"/>
    <w:rsid w:val="00A47F8B"/>
    <w:rsid w:val="00A50E8A"/>
    <w:rsid w:val="00A60FBD"/>
    <w:rsid w:val="00A613B6"/>
    <w:rsid w:val="00A61AA9"/>
    <w:rsid w:val="00A633C1"/>
    <w:rsid w:val="00A64575"/>
    <w:rsid w:val="00A65EFA"/>
    <w:rsid w:val="00A66A11"/>
    <w:rsid w:val="00A726F7"/>
    <w:rsid w:val="00A73511"/>
    <w:rsid w:val="00A74B12"/>
    <w:rsid w:val="00A770B9"/>
    <w:rsid w:val="00A85AB0"/>
    <w:rsid w:val="00A875E2"/>
    <w:rsid w:val="00A9766E"/>
    <w:rsid w:val="00AA02AB"/>
    <w:rsid w:val="00AA2ECD"/>
    <w:rsid w:val="00AB012A"/>
    <w:rsid w:val="00AB2E7C"/>
    <w:rsid w:val="00AB6675"/>
    <w:rsid w:val="00AC1FAC"/>
    <w:rsid w:val="00AC2453"/>
    <w:rsid w:val="00AC2686"/>
    <w:rsid w:val="00AC380A"/>
    <w:rsid w:val="00AC3DDC"/>
    <w:rsid w:val="00AC44F0"/>
    <w:rsid w:val="00AC507E"/>
    <w:rsid w:val="00AC6E92"/>
    <w:rsid w:val="00AD02F2"/>
    <w:rsid w:val="00AD33EA"/>
    <w:rsid w:val="00AD3E83"/>
    <w:rsid w:val="00AD5C55"/>
    <w:rsid w:val="00AE04C8"/>
    <w:rsid w:val="00AE21CD"/>
    <w:rsid w:val="00AE4306"/>
    <w:rsid w:val="00AF1CB2"/>
    <w:rsid w:val="00AF261A"/>
    <w:rsid w:val="00AF3BF9"/>
    <w:rsid w:val="00AF3D9C"/>
    <w:rsid w:val="00AF5F75"/>
    <w:rsid w:val="00B014B3"/>
    <w:rsid w:val="00B03029"/>
    <w:rsid w:val="00B033C8"/>
    <w:rsid w:val="00B0483B"/>
    <w:rsid w:val="00B05314"/>
    <w:rsid w:val="00B05F00"/>
    <w:rsid w:val="00B07D69"/>
    <w:rsid w:val="00B13E46"/>
    <w:rsid w:val="00B150B0"/>
    <w:rsid w:val="00B16F0F"/>
    <w:rsid w:val="00B173C9"/>
    <w:rsid w:val="00B20B93"/>
    <w:rsid w:val="00B21133"/>
    <w:rsid w:val="00B23391"/>
    <w:rsid w:val="00B263D5"/>
    <w:rsid w:val="00B27A5B"/>
    <w:rsid w:val="00B314F6"/>
    <w:rsid w:val="00B32D62"/>
    <w:rsid w:val="00B356A8"/>
    <w:rsid w:val="00B37818"/>
    <w:rsid w:val="00B37BBB"/>
    <w:rsid w:val="00B45CCC"/>
    <w:rsid w:val="00B47FF7"/>
    <w:rsid w:val="00B5028D"/>
    <w:rsid w:val="00B50EDE"/>
    <w:rsid w:val="00B51439"/>
    <w:rsid w:val="00B55425"/>
    <w:rsid w:val="00B556CF"/>
    <w:rsid w:val="00B55DB8"/>
    <w:rsid w:val="00B60B6B"/>
    <w:rsid w:val="00B60F81"/>
    <w:rsid w:val="00B628D9"/>
    <w:rsid w:val="00B65848"/>
    <w:rsid w:val="00B67DF7"/>
    <w:rsid w:val="00B67FE7"/>
    <w:rsid w:val="00B70A4A"/>
    <w:rsid w:val="00B76993"/>
    <w:rsid w:val="00B80620"/>
    <w:rsid w:val="00B813FF"/>
    <w:rsid w:val="00B850BA"/>
    <w:rsid w:val="00B859ED"/>
    <w:rsid w:val="00B86939"/>
    <w:rsid w:val="00B86961"/>
    <w:rsid w:val="00B86BE9"/>
    <w:rsid w:val="00B9175E"/>
    <w:rsid w:val="00B921A1"/>
    <w:rsid w:val="00B92231"/>
    <w:rsid w:val="00B925AD"/>
    <w:rsid w:val="00B92BA1"/>
    <w:rsid w:val="00B9385E"/>
    <w:rsid w:val="00B93911"/>
    <w:rsid w:val="00B94976"/>
    <w:rsid w:val="00B9528E"/>
    <w:rsid w:val="00B95B27"/>
    <w:rsid w:val="00B96727"/>
    <w:rsid w:val="00B97093"/>
    <w:rsid w:val="00BA46F2"/>
    <w:rsid w:val="00BA5F57"/>
    <w:rsid w:val="00BB065A"/>
    <w:rsid w:val="00BB1061"/>
    <w:rsid w:val="00BB51BC"/>
    <w:rsid w:val="00BB6AAC"/>
    <w:rsid w:val="00BC3FE6"/>
    <w:rsid w:val="00BC44FA"/>
    <w:rsid w:val="00BC6134"/>
    <w:rsid w:val="00BD0428"/>
    <w:rsid w:val="00BD0E1C"/>
    <w:rsid w:val="00BD1D8C"/>
    <w:rsid w:val="00BD64E3"/>
    <w:rsid w:val="00BE31CC"/>
    <w:rsid w:val="00BE41C6"/>
    <w:rsid w:val="00BE624A"/>
    <w:rsid w:val="00BF23FC"/>
    <w:rsid w:val="00BF4086"/>
    <w:rsid w:val="00BF4749"/>
    <w:rsid w:val="00BF5651"/>
    <w:rsid w:val="00BF6AA6"/>
    <w:rsid w:val="00C00B26"/>
    <w:rsid w:val="00C03EDE"/>
    <w:rsid w:val="00C04EAB"/>
    <w:rsid w:val="00C06FA6"/>
    <w:rsid w:val="00C07629"/>
    <w:rsid w:val="00C11543"/>
    <w:rsid w:val="00C13D24"/>
    <w:rsid w:val="00C16E1B"/>
    <w:rsid w:val="00C2176A"/>
    <w:rsid w:val="00C226DE"/>
    <w:rsid w:val="00C25A8B"/>
    <w:rsid w:val="00C26543"/>
    <w:rsid w:val="00C30CBD"/>
    <w:rsid w:val="00C349CD"/>
    <w:rsid w:val="00C34A49"/>
    <w:rsid w:val="00C3579B"/>
    <w:rsid w:val="00C40AA9"/>
    <w:rsid w:val="00C40AAD"/>
    <w:rsid w:val="00C41062"/>
    <w:rsid w:val="00C42663"/>
    <w:rsid w:val="00C45589"/>
    <w:rsid w:val="00C470CE"/>
    <w:rsid w:val="00C536E3"/>
    <w:rsid w:val="00C54ACC"/>
    <w:rsid w:val="00C54B82"/>
    <w:rsid w:val="00C56F91"/>
    <w:rsid w:val="00C57F46"/>
    <w:rsid w:val="00C60755"/>
    <w:rsid w:val="00C60777"/>
    <w:rsid w:val="00C6224C"/>
    <w:rsid w:val="00C62F2D"/>
    <w:rsid w:val="00C70457"/>
    <w:rsid w:val="00C727E4"/>
    <w:rsid w:val="00C72B4B"/>
    <w:rsid w:val="00C7447D"/>
    <w:rsid w:val="00C81E1D"/>
    <w:rsid w:val="00C870E7"/>
    <w:rsid w:val="00C9286E"/>
    <w:rsid w:val="00C92DCF"/>
    <w:rsid w:val="00C933DB"/>
    <w:rsid w:val="00C968CD"/>
    <w:rsid w:val="00C97497"/>
    <w:rsid w:val="00CA1498"/>
    <w:rsid w:val="00CA302B"/>
    <w:rsid w:val="00CA4555"/>
    <w:rsid w:val="00CB031E"/>
    <w:rsid w:val="00CB19CB"/>
    <w:rsid w:val="00CB4EA0"/>
    <w:rsid w:val="00CC063A"/>
    <w:rsid w:val="00CC0ACE"/>
    <w:rsid w:val="00CC3310"/>
    <w:rsid w:val="00CC5EC8"/>
    <w:rsid w:val="00CC7F2D"/>
    <w:rsid w:val="00CD16D4"/>
    <w:rsid w:val="00CD3045"/>
    <w:rsid w:val="00CD6918"/>
    <w:rsid w:val="00CD78AB"/>
    <w:rsid w:val="00CD7A00"/>
    <w:rsid w:val="00CD7FA2"/>
    <w:rsid w:val="00CE2BBE"/>
    <w:rsid w:val="00CE32D3"/>
    <w:rsid w:val="00CE5FBB"/>
    <w:rsid w:val="00CE66A1"/>
    <w:rsid w:val="00CE7C28"/>
    <w:rsid w:val="00CF0124"/>
    <w:rsid w:val="00CF723A"/>
    <w:rsid w:val="00D070BD"/>
    <w:rsid w:val="00D07362"/>
    <w:rsid w:val="00D079C3"/>
    <w:rsid w:val="00D11373"/>
    <w:rsid w:val="00D1137E"/>
    <w:rsid w:val="00D20EED"/>
    <w:rsid w:val="00D26B7F"/>
    <w:rsid w:val="00D331B9"/>
    <w:rsid w:val="00D34928"/>
    <w:rsid w:val="00D365D4"/>
    <w:rsid w:val="00D508B4"/>
    <w:rsid w:val="00D516B3"/>
    <w:rsid w:val="00D516E1"/>
    <w:rsid w:val="00D51A84"/>
    <w:rsid w:val="00D532C0"/>
    <w:rsid w:val="00D54528"/>
    <w:rsid w:val="00D55DC4"/>
    <w:rsid w:val="00D60CA8"/>
    <w:rsid w:val="00D63761"/>
    <w:rsid w:val="00D64750"/>
    <w:rsid w:val="00D64A87"/>
    <w:rsid w:val="00D744C6"/>
    <w:rsid w:val="00D76095"/>
    <w:rsid w:val="00D77610"/>
    <w:rsid w:val="00D804FB"/>
    <w:rsid w:val="00D82537"/>
    <w:rsid w:val="00D82B05"/>
    <w:rsid w:val="00D82B82"/>
    <w:rsid w:val="00D8303E"/>
    <w:rsid w:val="00D85C52"/>
    <w:rsid w:val="00D86895"/>
    <w:rsid w:val="00D90804"/>
    <w:rsid w:val="00D91852"/>
    <w:rsid w:val="00D91AC7"/>
    <w:rsid w:val="00D924B2"/>
    <w:rsid w:val="00D94FD6"/>
    <w:rsid w:val="00D95A61"/>
    <w:rsid w:val="00DA0825"/>
    <w:rsid w:val="00DA21F5"/>
    <w:rsid w:val="00DA3973"/>
    <w:rsid w:val="00DB2FBB"/>
    <w:rsid w:val="00DB4A72"/>
    <w:rsid w:val="00DB7E51"/>
    <w:rsid w:val="00DC0770"/>
    <w:rsid w:val="00DC1049"/>
    <w:rsid w:val="00DC4259"/>
    <w:rsid w:val="00DC4598"/>
    <w:rsid w:val="00DC45A5"/>
    <w:rsid w:val="00DC5730"/>
    <w:rsid w:val="00DD0F36"/>
    <w:rsid w:val="00DD5B93"/>
    <w:rsid w:val="00DE07A8"/>
    <w:rsid w:val="00DE23E1"/>
    <w:rsid w:val="00DE2DFF"/>
    <w:rsid w:val="00DE2F68"/>
    <w:rsid w:val="00DE4C17"/>
    <w:rsid w:val="00DE578B"/>
    <w:rsid w:val="00DE62F7"/>
    <w:rsid w:val="00DE7468"/>
    <w:rsid w:val="00DF05F3"/>
    <w:rsid w:val="00DF0B3B"/>
    <w:rsid w:val="00DF13D3"/>
    <w:rsid w:val="00DF2C1C"/>
    <w:rsid w:val="00DF530E"/>
    <w:rsid w:val="00DF65E5"/>
    <w:rsid w:val="00E00918"/>
    <w:rsid w:val="00E0264E"/>
    <w:rsid w:val="00E036CD"/>
    <w:rsid w:val="00E04367"/>
    <w:rsid w:val="00E0496D"/>
    <w:rsid w:val="00E06117"/>
    <w:rsid w:val="00E06A01"/>
    <w:rsid w:val="00E076E6"/>
    <w:rsid w:val="00E11E56"/>
    <w:rsid w:val="00E13FAA"/>
    <w:rsid w:val="00E14229"/>
    <w:rsid w:val="00E14CA2"/>
    <w:rsid w:val="00E15B12"/>
    <w:rsid w:val="00E23ED9"/>
    <w:rsid w:val="00E24B2F"/>
    <w:rsid w:val="00E31B19"/>
    <w:rsid w:val="00E34F92"/>
    <w:rsid w:val="00E40FB0"/>
    <w:rsid w:val="00E415E2"/>
    <w:rsid w:val="00E4487A"/>
    <w:rsid w:val="00E44F97"/>
    <w:rsid w:val="00E45C0E"/>
    <w:rsid w:val="00E47712"/>
    <w:rsid w:val="00E53329"/>
    <w:rsid w:val="00E55C79"/>
    <w:rsid w:val="00E56FC2"/>
    <w:rsid w:val="00E62091"/>
    <w:rsid w:val="00E668F0"/>
    <w:rsid w:val="00E7258A"/>
    <w:rsid w:val="00E77F01"/>
    <w:rsid w:val="00E8031E"/>
    <w:rsid w:val="00E85044"/>
    <w:rsid w:val="00E85191"/>
    <w:rsid w:val="00E85369"/>
    <w:rsid w:val="00EA3E74"/>
    <w:rsid w:val="00EA6BBE"/>
    <w:rsid w:val="00EB3450"/>
    <w:rsid w:val="00EB4999"/>
    <w:rsid w:val="00EB654B"/>
    <w:rsid w:val="00EC05B0"/>
    <w:rsid w:val="00EC1674"/>
    <w:rsid w:val="00EC213F"/>
    <w:rsid w:val="00EC32D0"/>
    <w:rsid w:val="00EC39BF"/>
    <w:rsid w:val="00EC46BC"/>
    <w:rsid w:val="00ED06B0"/>
    <w:rsid w:val="00ED1B72"/>
    <w:rsid w:val="00ED4C2B"/>
    <w:rsid w:val="00ED542B"/>
    <w:rsid w:val="00EE18B4"/>
    <w:rsid w:val="00EE2D7D"/>
    <w:rsid w:val="00EE5D94"/>
    <w:rsid w:val="00EE68C8"/>
    <w:rsid w:val="00EE73B5"/>
    <w:rsid w:val="00EF11ED"/>
    <w:rsid w:val="00EF126F"/>
    <w:rsid w:val="00EF14AB"/>
    <w:rsid w:val="00EF1F5A"/>
    <w:rsid w:val="00EF33A0"/>
    <w:rsid w:val="00EF44B9"/>
    <w:rsid w:val="00EF6044"/>
    <w:rsid w:val="00EF73C5"/>
    <w:rsid w:val="00F0158A"/>
    <w:rsid w:val="00F02048"/>
    <w:rsid w:val="00F05C85"/>
    <w:rsid w:val="00F06718"/>
    <w:rsid w:val="00F10ADE"/>
    <w:rsid w:val="00F13576"/>
    <w:rsid w:val="00F14A3B"/>
    <w:rsid w:val="00F166D9"/>
    <w:rsid w:val="00F175E4"/>
    <w:rsid w:val="00F1768A"/>
    <w:rsid w:val="00F17979"/>
    <w:rsid w:val="00F27AAA"/>
    <w:rsid w:val="00F343D0"/>
    <w:rsid w:val="00F362BF"/>
    <w:rsid w:val="00F36DCF"/>
    <w:rsid w:val="00F4155F"/>
    <w:rsid w:val="00F44183"/>
    <w:rsid w:val="00F47149"/>
    <w:rsid w:val="00F534A7"/>
    <w:rsid w:val="00F552D4"/>
    <w:rsid w:val="00F60963"/>
    <w:rsid w:val="00F620DB"/>
    <w:rsid w:val="00F639BE"/>
    <w:rsid w:val="00F65C22"/>
    <w:rsid w:val="00F666EC"/>
    <w:rsid w:val="00F66ECE"/>
    <w:rsid w:val="00F671CF"/>
    <w:rsid w:val="00F672BF"/>
    <w:rsid w:val="00F7077A"/>
    <w:rsid w:val="00F73A98"/>
    <w:rsid w:val="00F743A0"/>
    <w:rsid w:val="00F76202"/>
    <w:rsid w:val="00F92BC7"/>
    <w:rsid w:val="00F92C0A"/>
    <w:rsid w:val="00F94397"/>
    <w:rsid w:val="00FB295A"/>
    <w:rsid w:val="00FB3E91"/>
    <w:rsid w:val="00FB4072"/>
    <w:rsid w:val="00FB4D60"/>
    <w:rsid w:val="00FB742A"/>
    <w:rsid w:val="00FC14C5"/>
    <w:rsid w:val="00FC6640"/>
    <w:rsid w:val="00FD10BF"/>
    <w:rsid w:val="00FD146D"/>
    <w:rsid w:val="00FD468C"/>
    <w:rsid w:val="00FD64A2"/>
    <w:rsid w:val="00FD7AE2"/>
    <w:rsid w:val="00FE07D8"/>
    <w:rsid w:val="00FE3A0E"/>
    <w:rsid w:val="00FE749B"/>
    <w:rsid w:val="00FF0124"/>
    <w:rsid w:val="00FF3856"/>
    <w:rsid w:val="00FF3E31"/>
    <w:rsid w:val="00FF447B"/>
    <w:rsid w:val="00FF5EF4"/>
    <w:rsid w:val="00FF782D"/>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GT" w:eastAsia="es-GT"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footer" w:uiPriority="99"/>
    <w:lsdException w:name="caption" w:semiHidden="1" w:uiPriority="35" w:unhideWhenUsed="1" w:qFormat="1"/>
    <w:lsdException w:name="table of figures" w:uiPriority="99"/>
    <w:lsdException w:name="footnote reference" w:uiPriority="99"/>
    <w:lsdException w:name="List Number 2" w:uiPriority="99"/>
    <w:lsdException w:name="Title" w:qFormat="1"/>
    <w:lsdException w:name="Subtitle" w:qFormat="1"/>
    <w:lsdException w:name="Hyperlink" w:uiPriority="99"/>
    <w:lsdException w:name="Strong" w:qFormat="1"/>
    <w:lsdException w:name="Emphasis" w:qFormat="1"/>
    <w:lsdException w:name="Plain Text"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E5D94"/>
    <w:rPr>
      <w:sz w:val="24"/>
      <w:szCs w:val="24"/>
      <w:lang w:val="en-US" w:eastAsia="en-US"/>
    </w:rPr>
  </w:style>
  <w:style w:type="paragraph" w:styleId="Ttulo1">
    <w:name w:val="heading 1"/>
    <w:basedOn w:val="Normal"/>
    <w:next w:val="Normal"/>
    <w:link w:val="Ttulo1Car"/>
    <w:uiPriority w:val="9"/>
    <w:qFormat/>
    <w:rsid w:val="00EE18B4"/>
    <w:pPr>
      <w:keepNext/>
      <w:keepLines/>
      <w:numPr>
        <w:numId w:val="21"/>
      </w:numPr>
      <w:spacing w:before="480"/>
      <w:outlineLvl w:val="0"/>
    </w:pPr>
    <w:rPr>
      <w:rFonts w:ascii="Cambria" w:hAnsi="Cambria"/>
      <w:b/>
      <w:bCs/>
      <w:color w:val="365F91"/>
      <w:sz w:val="28"/>
      <w:szCs w:val="28"/>
      <w:lang w:val="x-none"/>
    </w:rPr>
  </w:style>
  <w:style w:type="paragraph" w:styleId="Ttulo2">
    <w:name w:val="heading 2"/>
    <w:basedOn w:val="Normal"/>
    <w:next w:val="Normal"/>
    <w:link w:val="Ttulo2Car"/>
    <w:uiPriority w:val="9"/>
    <w:unhideWhenUsed/>
    <w:qFormat/>
    <w:rsid w:val="00EE18B4"/>
    <w:pPr>
      <w:keepNext/>
      <w:keepLines/>
      <w:numPr>
        <w:ilvl w:val="1"/>
        <w:numId w:val="21"/>
      </w:numPr>
      <w:spacing w:before="200"/>
      <w:outlineLvl w:val="1"/>
    </w:pPr>
    <w:rPr>
      <w:rFonts w:ascii="Cambria" w:hAnsi="Cambria"/>
      <w:b/>
      <w:bCs/>
      <w:color w:val="4F81BD"/>
      <w:sz w:val="26"/>
      <w:szCs w:val="26"/>
      <w:lang w:val="x-none"/>
    </w:rPr>
  </w:style>
  <w:style w:type="paragraph" w:styleId="Ttulo3">
    <w:name w:val="heading 3"/>
    <w:basedOn w:val="Normal"/>
    <w:next w:val="Normal"/>
    <w:link w:val="Ttulo3Car"/>
    <w:semiHidden/>
    <w:unhideWhenUsed/>
    <w:qFormat/>
    <w:rsid w:val="00B93911"/>
    <w:pPr>
      <w:keepNext/>
      <w:keepLines/>
      <w:numPr>
        <w:ilvl w:val="2"/>
        <w:numId w:val="21"/>
      </w:numPr>
      <w:spacing w:before="200"/>
      <w:outlineLvl w:val="2"/>
    </w:pPr>
    <w:rPr>
      <w:rFonts w:ascii="Cambria" w:hAnsi="Cambria"/>
      <w:b/>
      <w:bCs/>
      <w:color w:val="4F81BD"/>
    </w:rPr>
  </w:style>
  <w:style w:type="paragraph" w:styleId="Ttulo4">
    <w:name w:val="heading 4"/>
    <w:basedOn w:val="Normal"/>
    <w:next w:val="Normal"/>
    <w:link w:val="Ttulo4Car"/>
    <w:unhideWhenUsed/>
    <w:qFormat/>
    <w:rsid w:val="00B93911"/>
    <w:pPr>
      <w:keepNext/>
      <w:keepLines/>
      <w:numPr>
        <w:ilvl w:val="3"/>
        <w:numId w:val="21"/>
      </w:numPr>
      <w:spacing w:before="200"/>
      <w:outlineLvl w:val="3"/>
    </w:pPr>
    <w:rPr>
      <w:rFonts w:ascii="Cambria" w:hAnsi="Cambria"/>
      <w:b/>
      <w:bCs/>
      <w:i/>
      <w:iCs/>
      <w:color w:val="4F81BD"/>
    </w:rPr>
  </w:style>
  <w:style w:type="paragraph" w:styleId="Ttulo5">
    <w:name w:val="heading 5"/>
    <w:basedOn w:val="Normal"/>
    <w:next w:val="Normal"/>
    <w:link w:val="Ttulo5Car"/>
    <w:semiHidden/>
    <w:unhideWhenUsed/>
    <w:qFormat/>
    <w:rsid w:val="00B93911"/>
    <w:pPr>
      <w:keepNext/>
      <w:keepLines/>
      <w:numPr>
        <w:ilvl w:val="4"/>
        <w:numId w:val="21"/>
      </w:numPr>
      <w:spacing w:before="200"/>
      <w:outlineLvl w:val="4"/>
    </w:pPr>
    <w:rPr>
      <w:rFonts w:ascii="Cambria" w:hAnsi="Cambria"/>
      <w:color w:val="243F60"/>
    </w:rPr>
  </w:style>
  <w:style w:type="paragraph" w:styleId="Ttulo6">
    <w:name w:val="heading 6"/>
    <w:basedOn w:val="Normal"/>
    <w:next w:val="Normal"/>
    <w:link w:val="Ttulo6Car"/>
    <w:semiHidden/>
    <w:unhideWhenUsed/>
    <w:qFormat/>
    <w:rsid w:val="00B93911"/>
    <w:pPr>
      <w:keepNext/>
      <w:keepLines/>
      <w:numPr>
        <w:ilvl w:val="5"/>
        <w:numId w:val="21"/>
      </w:numPr>
      <w:spacing w:before="200"/>
      <w:outlineLvl w:val="5"/>
    </w:pPr>
    <w:rPr>
      <w:rFonts w:ascii="Cambria" w:hAnsi="Cambria"/>
      <w:i/>
      <w:iCs/>
      <w:color w:val="243F60"/>
    </w:rPr>
  </w:style>
  <w:style w:type="paragraph" w:styleId="Ttulo7">
    <w:name w:val="heading 7"/>
    <w:basedOn w:val="Normal"/>
    <w:next w:val="Normal"/>
    <w:link w:val="Ttulo7Car"/>
    <w:semiHidden/>
    <w:unhideWhenUsed/>
    <w:qFormat/>
    <w:rsid w:val="00B93911"/>
    <w:pPr>
      <w:keepNext/>
      <w:keepLines/>
      <w:numPr>
        <w:ilvl w:val="6"/>
        <w:numId w:val="21"/>
      </w:numPr>
      <w:spacing w:before="200"/>
      <w:outlineLvl w:val="6"/>
    </w:pPr>
    <w:rPr>
      <w:rFonts w:ascii="Cambria" w:hAnsi="Cambria"/>
      <w:i/>
      <w:iCs/>
      <w:color w:val="404040"/>
    </w:rPr>
  </w:style>
  <w:style w:type="paragraph" w:styleId="Ttulo8">
    <w:name w:val="heading 8"/>
    <w:basedOn w:val="Normal"/>
    <w:next w:val="Normal"/>
    <w:link w:val="Ttulo8Car"/>
    <w:semiHidden/>
    <w:unhideWhenUsed/>
    <w:qFormat/>
    <w:rsid w:val="00B93911"/>
    <w:pPr>
      <w:keepNext/>
      <w:keepLines/>
      <w:numPr>
        <w:ilvl w:val="7"/>
        <w:numId w:val="21"/>
      </w:numPr>
      <w:spacing w:before="200"/>
      <w:outlineLvl w:val="7"/>
    </w:pPr>
    <w:rPr>
      <w:rFonts w:ascii="Cambria" w:hAnsi="Cambria"/>
      <w:color w:val="404040"/>
      <w:sz w:val="20"/>
      <w:szCs w:val="20"/>
    </w:rPr>
  </w:style>
  <w:style w:type="paragraph" w:styleId="Ttulo9">
    <w:name w:val="heading 9"/>
    <w:basedOn w:val="Normal"/>
    <w:next w:val="Normal"/>
    <w:link w:val="Ttulo9Car"/>
    <w:semiHidden/>
    <w:unhideWhenUsed/>
    <w:qFormat/>
    <w:rsid w:val="00B93911"/>
    <w:pPr>
      <w:keepNext/>
      <w:keepLines/>
      <w:numPr>
        <w:ilvl w:val="8"/>
        <w:numId w:val="2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qFormat/>
    <w:rsid w:val="00F4155F"/>
    <w:pPr>
      <w:spacing w:after="200" w:line="276" w:lineRule="auto"/>
      <w:ind w:left="720"/>
      <w:contextualSpacing/>
    </w:pPr>
    <w:rPr>
      <w:rFonts w:ascii="Calibri" w:eastAsia="Calibri" w:hAnsi="Calibri"/>
      <w:sz w:val="22"/>
      <w:szCs w:val="22"/>
      <w:lang w:val="es-GT"/>
    </w:rPr>
  </w:style>
  <w:style w:type="paragraph" w:customStyle="1" w:styleId="Default">
    <w:name w:val="Default"/>
    <w:rsid w:val="00F27AAA"/>
    <w:pPr>
      <w:autoSpaceDE w:val="0"/>
      <w:autoSpaceDN w:val="0"/>
      <w:adjustRightInd w:val="0"/>
    </w:pPr>
    <w:rPr>
      <w:rFonts w:ascii="Verdana" w:hAnsi="Verdana" w:cs="Verdana"/>
      <w:color w:val="000000"/>
      <w:sz w:val="24"/>
      <w:szCs w:val="24"/>
      <w:lang w:val="en-US" w:eastAsia="en-US"/>
    </w:rPr>
  </w:style>
  <w:style w:type="paragraph" w:styleId="TDC1">
    <w:name w:val="toc 1"/>
    <w:basedOn w:val="Normal"/>
    <w:next w:val="Normal"/>
    <w:autoRedefine/>
    <w:uiPriority w:val="39"/>
    <w:rsid w:val="00E24B2F"/>
  </w:style>
  <w:style w:type="paragraph" w:styleId="TDC2">
    <w:name w:val="toc 2"/>
    <w:basedOn w:val="Normal"/>
    <w:next w:val="Normal"/>
    <w:autoRedefine/>
    <w:uiPriority w:val="39"/>
    <w:rsid w:val="00E24B2F"/>
    <w:pPr>
      <w:ind w:left="240"/>
    </w:pPr>
  </w:style>
  <w:style w:type="character" w:styleId="Hipervnculo">
    <w:name w:val="Hyperlink"/>
    <w:uiPriority w:val="99"/>
    <w:unhideWhenUsed/>
    <w:rsid w:val="00E24B2F"/>
    <w:rPr>
      <w:color w:val="0000FF"/>
      <w:u w:val="single"/>
    </w:rPr>
  </w:style>
  <w:style w:type="paragraph" w:styleId="Encabezado">
    <w:name w:val="header"/>
    <w:basedOn w:val="Normal"/>
    <w:link w:val="EncabezadoCar"/>
    <w:rsid w:val="00A66A11"/>
    <w:pPr>
      <w:tabs>
        <w:tab w:val="center" w:pos="4680"/>
        <w:tab w:val="right" w:pos="9360"/>
      </w:tabs>
    </w:pPr>
    <w:rPr>
      <w:lang w:val="x-none" w:eastAsia="x-none"/>
    </w:rPr>
  </w:style>
  <w:style w:type="character" w:customStyle="1" w:styleId="EncabezadoCar">
    <w:name w:val="Encabezado Car"/>
    <w:link w:val="Encabezado"/>
    <w:rsid w:val="00A66A11"/>
    <w:rPr>
      <w:sz w:val="24"/>
      <w:szCs w:val="24"/>
    </w:rPr>
  </w:style>
  <w:style w:type="paragraph" w:styleId="Piedepgina">
    <w:name w:val="footer"/>
    <w:basedOn w:val="Normal"/>
    <w:link w:val="PiedepginaCar"/>
    <w:uiPriority w:val="99"/>
    <w:rsid w:val="00A66A11"/>
    <w:pPr>
      <w:tabs>
        <w:tab w:val="center" w:pos="4680"/>
        <w:tab w:val="right" w:pos="9360"/>
      </w:tabs>
    </w:pPr>
    <w:rPr>
      <w:lang w:val="x-none" w:eastAsia="x-none"/>
    </w:rPr>
  </w:style>
  <w:style w:type="character" w:customStyle="1" w:styleId="PiedepginaCar">
    <w:name w:val="Pie de página Car"/>
    <w:link w:val="Piedepgina"/>
    <w:uiPriority w:val="99"/>
    <w:rsid w:val="00A66A11"/>
    <w:rPr>
      <w:sz w:val="24"/>
      <w:szCs w:val="24"/>
    </w:rPr>
  </w:style>
  <w:style w:type="character" w:customStyle="1" w:styleId="googqs-tidbit-0">
    <w:name w:val="goog_qs-tidbit-0"/>
    <w:basedOn w:val="Fuentedeprrafopredeter"/>
    <w:rsid w:val="00770CFE"/>
  </w:style>
  <w:style w:type="table" w:styleId="Tablaconcuadrcula">
    <w:name w:val="Table Grid"/>
    <w:basedOn w:val="Tablanormal"/>
    <w:uiPriority w:val="59"/>
    <w:rsid w:val="00DC45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link w:val="Ttulo1"/>
    <w:uiPriority w:val="9"/>
    <w:rsid w:val="00EE18B4"/>
    <w:rPr>
      <w:rFonts w:ascii="Cambria" w:hAnsi="Cambria"/>
      <w:b/>
      <w:bCs/>
      <w:color w:val="365F91"/>
      <w:sz w:val="28"/>
      <w:szCs w:val="28"/>
      <w:lang w:val="x-none" w:eastAsia="en-US"/>
    </w:rPr>
  </w:style>
  <w:style w:type="character" w:customStyle="1" w:styleId="Ttulo2Car">
    <w:name w:val="Título 2 Car"/>
    <w:link w:val="Ttulo2"/>
    <w:uiPriority w:val="9"/>
    <w:rsid w:val="00EE18B4"/>
    <w:rPr>
      <w:rFonts w:ascii="Cambria" w:hAnsi="Cambria"/>
      <w:b/>
      <w:bCs/>
      <w:color w:val="4F81BD"/>
      <w:sz w:val="26"/>
      <w:szCs w:val="26"/>
      <w:lang w:val="x-none" w:eastAsia="en-US"/>
    </w:rPr>
  </w:style>
  <w:style w:type="paragraph" w:styleId="Textonotapie">
    <w:name w:val="footnote text"/>
    <w:aliases w:val="Texto nota pie Car Car Car Car,Texto nota pie1,Texto nota pie Car Car Car,Texto nota pie Car Car"/>
    <w:basedOn w:val="Normal"/>
    <w:link w:val="TextonotapieCar"/>
    <w:uiPriority w:val="99"/>
    <w:unhideWhenUsed/>
    <w:rsid w:val="00EE18B4"/>
    <w:rPr>
      <w:sz w:val="20"/>
      <w:szCs w:val="20"/>
      <w:lang w:val="es-GT" w:eastAsia="x-none"/>
    </w:rPr>
  </w:style>
  <w:style w:type="character" w:customStyle="1" w:styleId="TextonotapieCar">
    <w:name w:val="Texto nota pie Car"/>
    <w:aliases w:val="Texto nota pie Car Car Car Car Car,Texto nota pie1 Car,Texto nota pie Car Car Car Car1,Texto nota pie Car Car Car1"/>
    <w:link w:val="Textonotapie"/>
    <w:uiPriority w:val="99"/>
    <w:rsid w:val="00EE18B4"/>
    <w:rPr>
      <w:lang w:val="es-GT"/>
    </w:rPr>
  </w:style>
  <w:style w:type="character" w:styleId="Refdenotaalpie">
    <w:name w:val="footnote reference"/>
    <w:uiPriority w:val="99"/>
    <w:unhideWhenUsed/>
    <w:rsid w:val="00EE18B4"/>
    <w:rPr>
      <w:vertAlign w:val="superscript"/>
    </w:rPr>
  </w:style>
  <w:style w:type="paragraph" w:customStyle="1" w:styleId="Pa1">
    <w:name w:val="Pa1"/>
    <w:basedOn w:val="Normal"/>
    <w:next w:val="Normal"/>
    <w:uiPriority w:val="99"/>
    <w:rsid w:val="00EE18B4"/>
    <w:pPr>
      <w:autoSpaceDE w:val="0"/>
      <w:autoSpaceDN w:val="0"/>
      <w:adjustRightInd w:val="0"/>
      <w:spacing w:line="241" w:lineRule="atLeast"/>
    </w:pPr>
    <w:rPr>
      <w:rFonts w:ascii="Arial" w:eastAsia="Calibri" w:hAnsi="Arial" w:cs="Arial"/>
      <w:lang w:val="es-GT"/>
    </w:rPr>
  </w:style>
  <w:style w:type="paragraph" w:styleId="TDC3">
    <w:name w:val="toc 3"/>
    <w:basedOn w:val="Normal"/>
    <w:next w:val="Normal"/>
    <w:autoRedefine/>
    <w:uiPriority w:val="39"/>
    <w:rsid w:val="00433B14"/>
    <w:pPr>
      <w:ind w:left="480"/>
    </w:pPr>
  </w:style>
  <w:style w:type="character" w:styleId="Hipervnculovisitado">
    <w:name w:val="FollowedHyperlink"/>
    <w:rsid w:val="00E85044"/>
    <w:rPr>
      <w:color w:val="800080"/>
      <w:u w:val="single"/>
    </w:rPr>
  </w:style>
  <w:style w:type="paragraph" w:customStyle="1" w:styleId="text">
    <w:name w:val="text"/>
    <w:basedOn w:val="Normal"/>
    <w:rsid w:val="005A6CF6"/>
    <w:pPr>
      <w:spacing w:before="100" w:beforeAutospacing="1" w:after="100" w:afterAutospacing="1" w:line="225" w:lineRule="atLeast"/>
    </w:pPr>
    <w:rPr>
      <w:rFonts w:ascii="Verdana" w:hAnsi="Verdana"/>
      <w:color w:val="000000"/>
      <w:sz w:val="15"/>
      <w:szCs w:val="15"/>
    </w:rPr>
  </w:style>
  <w:style w:type="paragraph" w:styleId="Epgrafe">
    <w:name w:val="caption"/>
    <w:basedOn w:val="Normal"/>
    <w:next w:val="Normal"/>
    <w:uiPriority w:val="35"/>
    <w:unhideWhenUsed/>
    <w:qFormat/>
    <w:rsid w:val="002B7D86"/>
    <w:rPr>
      <w:b/>
      <w:bCs/>
      <w:sz w:val="20"/>
      <w:szCs w:val="20"/>
    </w:rPr>
  </w:style>
  <w:style w:type="paragraph" w:styleId="Tabladeilustraciones">
    <w:name w:val="table of figures"/>
    <w:basedOn w:val="Normal"/>
    <w:next w:val="Normal"/>
    <w:uiPriority w:val="99"/>
    <w:rsid w:val="00C40AAD"/>
  </w:style>
  <w:style w:type="character" w:customStyle="1" w:styleId="ft">
    <w:name w:val="ft"/>
    <w:basedOn w:val="Fuentedeprrafopredeter"/>
    <w:rsid w:val="00806A1C"/>
  </w:style>
  <w:style w:type="paragraph" w:styleId="NormalWeb">
    <w:name w:val="Normal (Web)"/>
    <w:basedOn w:val="Normal"/>
    <w:unhideWhenUsed/>
    <w:rsid w:val="00992A99"/>
    <w:pPr>
      <w:spacing w:before="100" w:beforeAutospacing="1" w:after="100" w:afterAutospacing="1"/>
    </w:pPr>
    <w:rPr>
      <w:lang w:val="es-GT" w:eastAsia="es-GT"/>
    </w:rPr>
  </w:style>
  <w:style w:type="paragraph" w:styleId="Textodeglobo">
    <w:name w:val="Balloon Text"/>
    <w:basedOn w:val="Normal"/>
    <w:link w:val="TextodegloboCar"/>
    <w:rsid w:val="006A0601"/>
    <w:rPr>
      <w:rFonts w:ascii="Tahoma" w:hAnsi="Tahoma"/>
      <w:sz w:val="16"/>
      <w:szCs w:val="16"/>
    </w:rPr>
  </w:style>
  <w:style w:type="character" w:customStyle="1" w:styleId="TextodegloboCar">
    <w:name w:val="Texto de globo Car"/>
    <w:link w:val="Textodeglobo"/>
    <w:rsid w:val="006A0601"/>
    <w:rPr>
      <w:rFonts w:ascii="Tahoma" w:hAnsi="Tahoma" w:cs="Tahoma"/>
      <w:sz w:val="16"/>
      <w:szCs w:val="16"/>
      <w:lang w:val="en-US" w:eastAsia="en-US"/>
    </w:rPr>
  </w:style>
  <w:style w:type="paragraph" w:customStyle="1" w:styleId="Ttulo11">
    <w:name w:val="Título 11"/>
    <w:basedOn w:val="Listaconnmeros2"/>
    <w:next w:val="Normal"/>
    <w:uiPriority w:val="9"/>
    <w:qFormat/>
    <w:rsid w:val="006A0601"/>
    <w:pPr>
      <w:keepNext/>
      <w:keepLines/>
      <w:numPr>
        <w:numId w:val="17"/>
      </w:numPr>
      <w:spacing w:before="480" w:line="276" w:lineRule="auto"/>
      <w:outlineLvl w:val="0"/>
    </w:pPr>
    <w:rPr>
      <w:rFonts w:ascii="Cambria" w:hAnsi="Cambria"/>
      <w:b/>
      <w:bCs/>
      <w:color w:val="365F91"/>
      <w:sz w:val="28"/>
      <w:szCs w:val="28"/>
      <w:lang w:val="es-ES" w:eastAsia="es-ES"/>
    </w:rPr>
  </w:style>
  <w:style w:type="paragraph" w:styleId="Listaconnmeros2">
    <w:name w:val="List Number 2"/>
    <w:basedOn w:val="Normal"/>
    <w:uiPriority w:val="99"/>
    <w:rsid w:val="006A0601"/>
    <w:pPr>
      <w:numPr>
        <w:numId w:val="16"/>
      </w:numPr>
      <w:contextualSpacing/>
    </w:pPr>
  </w:style>
  <w:style w:type="paragraph" w:styleId="Subttulo">
    <w:name w:val="Subtitle"/>
    <w:basedOn w:val="Lista"/>
    <w:next w:val="Normal"/>
    <w:link w:val="SubttuloCar"/>
    <w:qFormat/>
    <w:rsid w:val="005265B8"/>
    <w:pPr>
      <w:numPr>
        <w:ilvl w:val="1"/>
      </w:numPr>
      <w:ind w:left="283" w:hanging="283"/>
    </w:pPr>
    <w:rPr>
      <w:rFonts w:ascii="Calibri" w:hAnsi="Calibri"/>
      <w:iCs/>
      <w:color w:val="4F81BD"/>
      <w:spacing w:val="15"/>
      <w:sz w:val="36"/>
    </w:rPr>
  </w:style>
  <w:style w:type="character" w:customStyle="1" w:styleId="SubttuloCar">
    <w:name w:val="Subtítulo Car"/>
    <w:link w:val="Subttulo"/>
    <w:rsid w:val="005265B8"/>
    <w:rPr>
      <w:rFonts w:ascii="Calibri" w:hAnsi="Calibri"/>
      <w:iCs/>
      <w:color w:val="4F81BD"/>
      <w:spacing w:val="15"/>
      <w:sz w:val="36"/>
      <w:szCs w:val="24"/>
      <w:lang w:val="en-US" w:eastAsia="en-US"/>
    </w:rPr>
  </w:style>
  <w:style w:type="paragraph" w:styleId="Listaconnmeros3">
    <w:name w:val="List Number 3"/>
    <w:basedOn w:val="Normal"/>
    <w:rsid w:val="006A0601"/>
    <w:pPr>
      <w:numPr>
        <w:numId w:val="18"/>
      </w:numPr>
      <w:contextualSpacing/>
    </w:pPr>
  </w:style>
  <w:style w:type="character" w:customStyle="1" w:styleId="Ttulo3Car">
    <w:name w:val="Título 3 Car"/>
    <w:link w:val="Ttulo3"/>
    <w:semiHidden/>
    <w:rsid w:val="00B93911"/>
    <w:rPr>
      <w:rFonts w:ascii="Cambria" w:hAnsi="Cambria"/>
      <w:b/>
      <w:bCs/>
      <w:color w:val="4F81BD"/>
      <w:sz w:val="24"/>
      <w:szCs w:val="24"/>
      <w:lang w:val="en-US" w:eastAsia="en-US"/>
    </w:rPr>
  </w:style>
  <w:style w:type="character" w:customStyle="1" w:styleId="Ttulo4Car">
    <w:name w:val="Título 4 Car"/>
    <w:link w:val="Ttulo4"/>
    <w:rsid w:val="00B93911"/>
    <w:rPr>
      <w:rFonts w:ascii="Cambria" w:hAnsi="Cambria"/>
      <w:b/>
      <w:bCs/>
      <w:i/>
      <w:iCs/>
      <w:color w:val="4F81BD"/>
      <w:sz w:val="24"/>
      <w:szCs w:val="24"/>
      <w:lang w:val="en-US" w:eastAsia="en-US"/>
    </w:rPr>
  </w:style>
  <w:style w:type="character" w:customStyle="1" w:styleId="Ttulo5Car">
    <w:name w:val="Título 5 Car"/>
    <w:link w:val="Ttulo5"/>
    <w:semiHidden/>
    <w:rsid w:val="00B93911"/>
    <w:rPr>
      <w:rFonts w:ascii="Cambria" w:hAnsi="Cambria"/>
      <w:color w:val="243F60"/>
      <w:sz w:val="24"/>
      <w:szCs w:val="24"/>
      <w:lang w:val="en-US" w:eastAsia="en-US"/>
    </w:rPr>
  </w:style>
  <w:style w:type="character" w:customStyle="1" w:styleId="Ttulo6Car">
    <w:name w:val="Título 6 Car"/>
    <w:link w:val="Ttulo6"/>
    <w:semiHidden/>
    <w:rsid w:val="00B93911"/>
    <w:rPr>
      <w:rFonts w:ascii="Cambria" w:hAnsi="Cambria"/>
      <w:i/>
      <w:iCs/>
      <w:color w:val="243F60"/>
      <w:sz w:val="24"/>
      <w:szCs w:val="24"/>
      <w:lang w:val="en-US" w:eastAsia="en-US"/>
    </w:rPr>
  </w:style>
  <w:style w:type="character" w:customStyle="1" w:styleId="Ttulo7Car">
    <w:name w:val="Título 7 Car"/>
    <w:link w:val="Ttulo7"/>
    <w:semiHidden/>
    <w:rsid w:val="00B93911"/>
    <w:rPr>
      <w:rFonts w:ascii="Cambria" w:hAnsi="Cambria"/>
      <w:i/>
      <w:iCs/>
      <w:color w:val="404040"/>
      <w:sz w:val="24"/>
      <w:szCs w:val="24"/>
      <w:lang w:val="en-US" w:eastAsia="en-US"/>
    </w:rPr>
  </w:style>
  <w:style w:type="character" w:customStyle="1" w:styleId="Ttulo8Car">
    <w:name w:val="Título 8 Car"/>
    <w:link w:val="Ttulo8"/>
    <w:semiHidden/>
    <w:rsid w:val="00B93911"/>
    <w:rPr>
      <w:rFonts w:ascii="Cambria" w:hAnsi="Cambria"/>
      <w:color w:val="404040"/>
      <w:lang w:val="en-US" w:eastAsia="en-US"/>
    </w:rPr>
  </w:style>
  <w:style w:type="character" w:customStyle="1" w:styleId="Ttulo9Car">
    <w:name w:val="Título 9 Car"/>
    <w:link w:val="Ttulo9"/>
    <w:semiHidden/>
    <w:rsid w:val="00B93911"/>
    <w:rPr>
      <w:rFonts w:ascii="Cambria" w:hAnsi="Cambria"/>
      <w:i/>
      <w:iCs/>
      <w:color w:val="404040"/>
      <w:lang w:val="en-US" w:eastAsia="en-US"/>
    </w:rPr>
  </w:style>
  <w:style w:type="paragraph" w:customStyle="1" w:styleId="Sinespaciado1">
    <w:name w:val="Sin espaciado1"/>
    <w:rsid w:val="00424E4D"/>
    <w:rPr>
      <w:rFonts w:ascii="Calibri" w:hAnsi="Calibri"/>
      <w:sz w:val="22"/>
      <w:szCs w:val="22"/>
      <w:lang w:eastAsia="en-US"/>
    </w:rPr>
  </w:style>
  <w:style w:type="character" w:customStyle="1" w:styleId="eacep1">
    <w:name w:val="eacep1"/>
    <w:rsid w:val="00424E4D"/>
    <w:rPr>
      <w:rFonts w:cs="Times New Roman"/>
      <w:color w:val="000000"/>
    </w:rPr>
  </w:style>
  <w:style w:type="paragraph" w:customStyle="1" w:styleId="txt">
    <w:name w:val="txt"/>
    <w:basedOn w:val="Normal"/>
    <w:rsid w:val="008327B2"/>
    <w:pPr>
      <w:spacing w:before="100" w:beforeAutospacing="1" w:after="100" w:afterAutospacing="1"/>
      <w:jc w:val="both"/>
    </w:pPr>
    <w:rPr>
      <w:rFonts w:ascii="Verdana" w:hAnsi="Verdana"/>
      <w:sz w:val="20"/>
      <w:szCs w:val="20"/>
      <w:lang w:val="es-GT" w:eastAsia="es-GT"/>
    </w:rPr>
  </w:style>
  <w:style w:type="paragraph" w:styleId="Textosinformato">
    <w:name w:val="Plain Text"/>
    <w:basedOn w:val="Normal"/>
    <w:link w:val="TextosinformatoCar"/>
    <w:uiPriority w:val="99"/>
    <w:unhideWhenUsed/>
    <w:rsid w:val="001C33BB"/>
    <w:rPr>
      <w:rFonts w:ascii="Consolas" w:eastAsia="Calibri" w:hAnsi="Consolas"/>
      <w:sz w:val="21"/>
      <w:szCs w:val="21"/>
      <w:lang w:val="x-none"/>
    </w:rPr>
  </w:style>
  <w:style w:type="character" w:customStyle="1" w:styleId="TextosinformatoCar">
    <w:name w:val="Texto sin formato Car"/>
    <w:link w:val="Textosinformato"/>
    <w:uiPriority w:val="99"/>
    <w:rsid w:val="001C33BB"/>
    <w:rPr>
      <w:rFonts w:ascii="Consolas" w:eastAsia="Calibri" w:hAnsi="Consolas" w:cs="Times New Roman"/>
      <w:sz w:val="21"/>
      <w:szCs w:val="21"/>
      <w:lang w:eastAsia="en-US"/>
    </w:rPr>
  </w:style>
  <w:style w:type="paragraph" w:styleId="Sinespaciado">
    <w:name w:val="No Spacing"/>
    <w:link w:val="SinespaciadoCar"/>
    <w:uiPriority w:val="1"/>
    <w:qFormat/>
    <w:rsid w:val="000F73BE"/>
    <w:rPr>
      <w:rFonts w:ascii="Calibri" w:eastAsia="Calibri" w:hAnsi="Calibri"/>
      <w:sz w:val="22"/>
      <w:szCs w:val="22"/>
      <w:lang w:eastAsia="en-US"/>
    </w:rPr>
  </w:style>
  <w:style w:type="character" w:customStyle="1" w:styleId="SinespaciadoCar">
    <w:name w:val="Sin espaciado Car"/>
    <w:link w:val="Sinespaciado"/>
    <w:uiPriority w:val="1"/>
    <w:rsid w:val="000F73BE"/>
    <w:rPr>
      <w:rFonts w:ascii="Calibri" w:eastAsia="Calibri" w:hAnsi="Calibri"/>
      <w:sz w:val="22"/>
      <w:szCs w:val="22"/>
      <w:lang w:eastAsia="en-US" w:bidi="ar-SA"/>
    </w:rPr>
  </w:style>
  <w:style w:type="paragraph" w:customStyle="1" w:styleId="ListParagraph1">
    <w:name w:val="List Paragraph1"/>
    <w:basedOn w:val="Normal"/>
    <w:rsid w:val="005265B8"/>
    <w:pPr>
      <w:spacing w:after="200" w:line="276" w:lineRule="auto"/>
      <w:ind w:left="720"/>
    </w:pPr>
    <w:rPr>
      <w:rFonts w:ascii="Calibri" w:hAnsi="Calibri"/>
      <w:sz w:val="22"/>
      <w:szCs w:val="22"/>
      <w:lang w:val="es-GT"/>
    </w:rPr>
  </w:style>
  <w:style w:type="paragraph" w:customStyle="1" w:styleId="IFADparagraphnumbering">
    <w:name w:val="IFAD paragraph numbering"/>
    <w:next w:val="TDC1"/>
    <w:rsid w:val="004E2482"/>
    <w:pPr>
      <w:numPr>
        <w:numId w:val="64"/>
      </w:numPr>
    </w:pPr>
  </w:style>
  <w:style w:type="paragraph" w:styleId="Lista">
    <w:name w:val="List"/>
    <w:basedOn w:val="Normal"/>
    <w:rsid w:val="005265B8"/>
    <w:pPr>
      <w:ind w:left="283" w:hanging="283"/>
      <w:contextualSpacing/>
    </w:pPr>
  </w:style>
  <w:style w:type="paragraph" w:customStyle="1" w:styleId="IFADparagraphno2ndlevel">
    <w:name w:val="IFAD paragraph no. 2nd level"/>
    <w:basedOn w:val="IFADparagraphnumbering"/>
    <w:rsid w:val="004E2482"/>
    <w:pPr>
      <w:numPr>
        <w:ilvl w:val="1"/>
      </w:numPr>
      <w:spacing w:after="120"/>
    </w:pPr>
    <w:rPr>
      <w:rFonts w:ascii="Verdana" w:hAnsi="Verdana" w:cs="Arial"/>
      <w:lang w:val="en-CA"/>
    </w:rPr>
  </w:style>
  <w:style w:type="paragraph" w:customStyle="1" w:styleId="IFADparagraphno3rdlevel">
    <w:name w:val="IFAD paragraph no. 3rd level"/>
    <w:basedOn w:val="IFADparagraphnumbering"/>
    <w:rsid w:val="004E2482"/>
    <w:pPr>
      <w:numPr>
        <w:ilvl w:val="2"/>
      </w:numPr>
      <w:spacing w:after="120"/>
    </w:pPr>
    <w:rPr>
      <w:rFonts w:ascii="Verdana" w:hAnsi="Verdana" w:cs="Arial"/>
      <w:lang w:val="en-CA"/>
    </w:rPr>
  </w:style>
  <w:style w:type="paragraph" w:customStyle="1" w:styleId="IFADparagraphno4thlevel">
    <w:name w:val="IFAD paragraph no. 4th level"/>
    <w:basedOn w:val="IFADparagraphnumbering"/>
    <w:rsid w:val="004E2482"/>
    <w:pPr>
      <w:numPr>
        <w:ilvl w:val="3"/>
      </w:numPr>
      <w:ind w:left="1872" w:hanging="284"/>
    </w:pPr>
    <w:rPr>
      <w:rFonts w:ascii="Verdana" w:hAnsi="Verdana" w:cs="Arial"/>
      <w:lang w:val="en-CA"/>
    </w:rPr>
  </w:style>
  <w:style w:type="paragraph" w:styleId="Textoindependiente">
    <w:name w:val="Body Text"/>
    <w:basedOn w:val="Normal"/>
    <w:link w:val="TextoindependienteCar"/>
    <w:rsid w:val="004E2482"/>
    <w:pPr>
      <w:spacing w:after="120"/>
    </w:pPr>
  </w:style>
  <w:style w:type="character" w:customStyle="1" w:styleId="TextoindependienteCar">
    <w:name w:val="Texto independiente Car"/>
    <w:link w:val="Textoindependiente"/>
    <w:rsid w:val="004E2482"/>
    <w:rPr>
      <w:sz w:val="24"/>
      <w:szCs w:val="24"/>
      <w:lang w:val="en-US" w:eastAsia="en-US"/>
    </w:rPr>
  </w:style>
  <w:style w:type="character" w:customStyle="1" w:styleId="highlightedsearchterm">
    <w:name w:val="highlightedsearchterm"/>
    <w:basedOn w:val="Fuentedeprrafopredeter"/>
    <w:rsid w:val="00B9385E"/>
  </w:style>
  <w:style w:type="paragraph" w:customStyle="1" w:styleId="CM4">
    <w:name w:val="CM4"/>
    <w:basedOn w:val="Normal"/>
    <w:next w:val="Normal"/>
    <w:uiPriority w:val="99"/>
    <w:rsid w:val="007B7601"/>
    <w:pPr>
      <w:widowControl w:val="0"/>
      <w:autoSpaceDE w:val="0"/>
      <w:autoSpaceDN w:val="0"/>
      <w:adjustRightInd w:val="0"/>
      <w:spacing w:line="240" w:lineRule="atLeast"/>
    </w:pPr>
    <w:rPr>
      <w:rFonts w:ascii="HelveticaNeueLT Std Cn" w:hAnsi="HelveticaNeueLT Std Cn"/>
      <w:lang w:val="es-GT" w:eastAsia="es-GT"/>
    </w:rPr>
  </w:style>
  <w:style w:type="paragraph" w:customStyle="1" w:styleId="CM5">
    <w:name w:val="CM5"/>
    <w:basedOn w:val="Default"/>
    <w:next w:val="Default"/>
    <w:uiPriority w:val="99"/>
    <w:rsid w:val="007B7601"/>
    <w:pPr>
      <w:widowControl w:val="0"/>
      <w:spacing w:line="240" w:lineRule="atLeast"/>
    </w:pPr>
    <w:rPr>
      <w:rFonts w:ascii="HelveticaNeueLT Std Cn" w:hAnsi="HelveticaNeueLT Std Cn" w:cs="Times New Roman"/>
      <w:color w:val="auto"/>
      <w:lang w:val="es-GT" w:eastAsia="es-GT"/>
    </w:rPr>
  </w:style>
  <w:style w:type="paragraph" w:customStyle="1" w:styleId="CM24">
    <w:name w:val="CM24"/>
    <w:basedOn w:val="Default"/>
    <w:next w:val="Default"/>
    <w:uiPriority w:val="99"/>
    <w:rsid w:val="007B7601"/>
    <w:pPr>
      <w:widowControl w:val="0"/>
    </w:pPr>
    <w:rPr>
      <w:rFonts w:ascii="HelveticaNeueLT Std Cn" w:hAnsi="HelveticaNeueLT Std Cn" w:cs="Times New Roman"/>
      <w:color w:val="auto"/>
      <w:lang w:val="es-GT" w:eastAsia="es-GT"/>
    </w:rPr>
  </w:style>
  <w:style w:type="paragraph" w:customStyle="1" w:styleId="CM20">
    <w:name w:val="CM20"/>
    <w:basedOn w:val="Default"/>
    <w:next w:val="Default"/>
    <w:uiPriority w:val="99"/>
    <w:rsid w:val="007B7601"/>
    <w:pPr>
      <w:widowControl w:val="0"/>
    </w:pPr>
    <w:rPr>
      <w:rFonts w:ascii="HelveticaNeueLT Std Cn" w:hAnsi="HelveticaNeueLT Std Cn" w:cs="Times New Roman"/>
      <w:color w:val="auto"/>
      <w:lang w:val="es-GT" w:eastAsia="es-GT"/>
    </w:rPr>
  </w:style>
  <w:style w:type="paragraph" w:customStyle="1" w:styleId="CM19">
    <w:name w:val="CM19"/>
    <w:basedOn w:val="Default"/>
    <w:next w:val="Default"/>
    <w:uiPriority w:val="99"/>
    <w:rsid w:val="007B7601"/>
    <w:pPr>
      <w:widowControl w:val="0"/>
    </w:pPr>
    <w:rPr>
      <w:rFonts w:ascii="HelveticaNeueLT Std Cn" w:hAnsi="HelveticaNeueLT Std Cn" w:cs="Times New Roman"/>
      <w:color w:val="auto"/>
      <w:lang w:val="es-GT" w:eastAsia="es-GT"/>
    </w:rPr>
  </w:style>
  <w:style w:type="paragraph" w:customStyle="1" w:styleId="CM23">
    <w:name w:val="CM23"/>
    <w:basedOn w:val="Default"/>
    <w:next w:val="Default"/>
    <w:uiPriority w:val="99"/>
    <w:rsid w:val="007B7601"/>
    <w:pPr>
      <w:widowControl w:val="0"/>
    </w:pPr>
    <w:rPr>
      <w:rFonts w:ascii="HelveticaNeueLT Std Cn" w:hAnsi="HelveticaNeueLT Std Cn" w:cs="Times New Roman"/>
      <w:color w:val="auto"/>
      <w:lang w:val="es-GT" w:eastAsia="es-GT"/>
    </w:rPr>
  </w:style>
  <w:style w:type="paragraph" w:customStyle="1" w:styleId="CM18">
    <w:name w:val="CM18"/>
    <w:basedOn w:val="Default"/>
    <w:next w:val="Default"/>
    <w:uiPriority w:val="99"/>
    <w:rsid w:val="007B7601"/>
    <w:pPr>
      <w:widowControl w:val="0"/>
    </w:pPr>
    <w:rPr>
      <w:rFonts w:ascii="HelveticaNeueLT Std Cn" w:hAnsi="HelveticaNeueLT Std Cn" w:cs="Times New Roman"/>
      <w:color w:val="auto"/>
      <w:lang w:val="es-GT" w:eastAsia="es-GT"/>
    </w:rPr>
  </w:style>
  <w:style w:type="paragraph" w:customStyle="1" w:styleId="CM26">
    <w:name w:val="CM26"/>
    <w:basedOn w:val="Default"/>
    <w:next w:val="Default"/>
    <w:uiPriority w:val="99"/>
    <w:rsid w:val="007B7601"/>
    <w:pPr>
      <w:widowControl w:val="0"/>
    </w:pPr>
    <w:rPr>
      <w:rFonts w:ascii="HelveticaNeueLT Std Cn" w:hAnsi="HelveticaNeueLT Std Cn" w:cs="Times New Roman"/>
      <w:color w:val="auto"/>
      <w:lang w:val="es-GT" w:eastAsia="es-GT"/>
    </w:rPr>
  </w:style>
  <w:style w:type="character" w:styleId="Refdecomentario">
    <w:name w:val="annotation reference"/>
    <w:basedOn w:val="Fuentedeprrafopredeter"/>
    <w:rsid w:val="00062EE1"/>
    <w:rPr>
      <w:sz w:val="16"/>
      <w:szCs w:val="16"/>
    </w:rPr>
  </w:style>
  <w:style w:type="paragraph" w:styleId="Textocomentario">
    <w:name w:val="annotation text"/>
    <w:basedOn w:val="Normal"/>
    <w:link w:val="TextocomentarioCar"/>
    <w:rsid w:val="00062EE1"/>
    <w:rPr>
      <w:sz w:val="20"/>
      <w:szCs w:val="20"/>
    </w:rPr>
  </w:style>
  <w:style w:type="character" w:customStyle="1" w:styleId="TextocomentarioCar">
    <w:name w:val="Texto comentario Car"/>
    <w:basedOn w:val="Fuentedeprrafopredeter"/>
    <w:link w:val="Textocomentario"/>
    <w:rsid w:val="00062EE1"/>
    <w:rPr>
      <w:lang w:val="en-US" w:eastAsia="en-US"/>
    </w:rPr>
  </w:style>
  <w:style w:type="paragraph" w:styleId="Asuntodelcomentario">
    <w:name w:val="annotation subject"/>
    <w:basedOn w:val="Textocomentario"/>
    <w:next w:val="Textocomentario"/>
    <w:link w:val="AsuntodelcomentarioCar"/>
    <w:rsid w:val="00062EE1"/>
    <w:rPr>
      <w:b/>
      <w:bCs/>
    </w:rPr>
  </w:style>
  <w:style w:type="character" w:customStyle="1" w:styleId="AsuntodelcomentarioCar">
    <w:name w:val="Asunto del comentario Car"/>
    <w:basedOn w:val="TextocomentarioCar"/>
    <w:link w:val="Asuntodelcomentario"/>
    <w:rsid w:val="00062EE1"/>
    <w:rPr>
      <w:b/>
      <w:bCs/>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GT" w:eastAsia="es-GT"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footer" w:uiPriority="99"/>
    <w:lsdException w:name="caption" w:semiHidden="1" w:uiPriority="35" w:unhideWhenUsed="1" w:qFormat="1"/>
    <w:lsdException w:name="table of figures" w:uiPriority="99"/>
    <w:lsdException w:name="footnote reference" w:uiPriority="99"/>
    <w:lsdException w:name="List Number 2" w:uiPriority="99"/>
    <w:lsdException w:name="Title" w:qFormat="1"/>
    <w:lsdException w:name="Subtitle" w:qFormat="1"/>
    <w:lsdException w:name="Hyperlink" w:uiPriority="99"/>
    <w:lsdException w:name="Strong" w:qFormat="1"/>
    <w:lsdException w:name="Emphasis" w:qFormat="1"/>
    <w:lsdException w:name="Plain Text"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E5D94"/>
    <w:rPr>
      <w:sz w:val="24"/>
      <w:szCs w:val="24"/>
      <w:lang w:val="en-US" w:eastAsia="en-US"/>
    </w:rPr>
  </w:style>
  <w:style w:type="paragraph" w:styleId="Ttulo1">
    <w:name w:val="heading 1"/>
    <w:basedOn w:val="Normal"/>
    <w:next w:val="Normal"/>
    <w:link w:val="Ttulo1Car"/>
    <w:uiPriority w:val="9"/>
    <w:qFormat/>
    <w:rsid w:val="00EE18B4"/>
    <w:pPr>
      <w:keepNext/>
      <w:keepLines/>
      <w:numPr>
        <w:numId w:val="21"/>
      </w:numPr>
      <w:spacing w:before="480"/>
      <w:outlineLvl w:val="0"/>
    </w:pPr>
    <w:rPr>
      <w:rFonts w:ascii="Cambria" w:hAnsi="Cambria"/>
      <w:b/>
      <w:bCs/>
      <w:color w:val="365F91"/>
      <w:sz w:val="28"/>
      <w:szCs w:val="28"/>
      <w:lang w:val="x-none"/>
    </w:rPr>
  </w:style>
  <w:style w:type="paragraph" w:styleId="Ttulo2">
    <w:name w:val="heading 2"/>
    <w:basedOn w:val="Normal"/>
    <w:next w:val="Normal"/>
    <w:link w:val="Ttulo2Car"/>
    <w:uiPriority w:val="9"/>
    <w:unhideWhenUsed/>
    <w:qFormat/>
    <w:rsid w:val="00EE18B4"/>
    <w:pPr>
      <w:keepNext/>
      <w:keepLines/>
      <w:numPr>
        <w:ilvl w:val="1"/>
        <w:numId w:val="21"/>
      </w:numPr>
      <w:spacing w:before="200"/>
      <w:outlineLvl w:val="1"/>
    </w:pPr>
    <w:rPr>
      <w:rFonts w:ascii="Cambria" w:hAnsi="Cambria"/>
      <w:b/>
      <w:bCs/>
      <w:color w:val="4F81BD"/>
      <w:sz w:val="26"/>
      <w:szCs w:val="26"/>
      <w:lang w:val="x-none"/>
    </w:rPr>
  </w:style>
  <w:style w:type="paragraph" w:styleId="Ttulo3">
    <w:name w:val="heading 3"/>
    <w:basedOn w:val="Normal"/>
    <w:next w:val="Normal"/>
    <w:link w:val="Ttulo3Car"/>
    <w:semiHidden/>
    <w:unhideWhenUsed/>
    <w:qFormat/>
    <w:rsid w:val="00B93911"/>
    <w:pPr>
      <w:keepNext/>
      <w:keepLines/>
      <w:numPr>
        <w:ilvl w:val="2"/>
        <w:numId w:val="21"/>
      </w:numPr>
      <w:spacing w:before="200"/>
      <w:outlineLvl w:val="2"/>
    </w:pPr>
    <w:rPr>
      <w:rFonts w:ascii="Cambria" w:hAnsi="Cambria"/>
      <w:b/>
      <w:bCs/>
      <w:color w:val="4F81BD"/>
    </w:rPr>
  </w:style>
  <w:style w:type="paragraph" w:styleId="Ttulo4">
    <w:name w:val="heading 4"/>
    <w:basedOn w:val="Normal"/>
    <w:next w:val="Normal"/>
    <w:link w:val="Ttulo4Car"/>
    <w:unhideWhenUsed/>
    <w:qFormat/>
    <w:rsid w:val="00B93911"/>
    <w:pPr>
      <w:keepNext/>
      <w:keepLines/>
      <w:numPr>
        <w:ilvl w:val="3"/>
        <w:numId w:val="21"/>
      </w:numPr>
      <w:spacing w:before="200"/>
      <w:outlineLvl w:val="3"/>
    </w:pPr>
    <w:rPr>
      <w:rFonts w:ascii="Cambria" w:hAnsi="Cambria"/>
      <w:b/>
      <w:bCs/>
      <w:i/>
      <w:iCs/>
      <w:color w:val="4F81BD"/>
    </w:rPr>
  </w:style>
  <w:style w:type="paragraph" w:styleId="Ttulo5">
    <w:name w:val="heading 5"/>
    <w:basedOn w:val="Normal"/>
    <w:next w:val="Normal"/>
    <w:link w:val="Ttulo5Car"/>
    <w:semiHidden/>
    <w:unhideWhenUsed/>
    <w:qFormat/>
    <w:rsid w:val="00B93911"/>
    <w:pPr>
      <w:keepNext/>
      <w:keepLines/>
      <w:numPr>
        <w:ilvl w:val="4"/>
        <w:numId w:val="21"/>
      </w:numPr>
      <w:spacing w:before="200"/>
      <w:outlineLvl w:val="4"/>
    </w:pPr>
    <w:rPr>
      <w:rFonts w:ascii="Cambria" w:hAnsi="Cambria"/>
      <w:color w:val="243F60"/>
    </w:rPr>
  </w:style>
  <w:style w:type="paragraph" w:styleId="Ttulo6">
    <w:name w:val="heading 6"/>
    <w:basedOn w:val="Normal"/>
    <w:next w:val="Normal"/>
    <w:link w:val="Ttulo6Car"/>
    <w:semiHidden/>
    <w:unhideWhenUsed/>
    <w:qFormat/>
    <w:rsid w:val="00B93911"/>
    <w:pPr>
      <w:keepNext/>
      <w:keepLines/>
      <w:numPr>
        <w:ilvl w:val="5"/>
        <w:numId w:val="21"/>
      </w:numPr>
      <w:spacing w:before="200"/>
      <w:outlineLvl w:val="5"/>
    </w:pPr>
    <w:rPr>
      <w:rFonts w:ascii="Cambria" w:hAnsi="Cambria"/>
      <w:i/>
      <w:iCs/>
      <w:color w:val="243F60"/>
    </w:rPr>
  </w:style>
  <w:style w:type="paragraph" w:styleId="Ttulo7">
    <w:name w:val="heading 7"/>
    <w:basedOn w:val="Normal"/>
    <w:next w:val="Normal"/>
    <w:link w:val="Ttulo7Car"/>
    <w:semiHidden/>
    <w:unhideWhenUsed/>
    <w:qFormat/>
    <w:rsid w:val="00B93911"/>
    <w:pPr>
      <w:keepNext/>
      <w:keepLines/>
      <w:numPr>
        <w:ilvl w:val="6"/>
        <w:numId w:val="21"/>
      </w:numPr>
      <w:spacing w:before="200"/>
      <w:outlineLvl w:val="6"/>
    </w:pPr>
    <w:rPr>
      <w:rFonts w:ascii="Cambria" w:hAnsi="Cambria"/>
      <w:i/>
      <w:iCs/>
      <w:color w:val="404040"/>
    </w:rPr>
  </w:style>
  <w:style w:type="paragraph" w:styleId="Ttulo8">
    <w:name w:val="heading 8"/>
    <w:basedOn w:val="Normal"/>
    <w:next w:val="Normal"/>
    <w:link w:val="Ttulo8Car"/>
    <w:semiHidden/>
    <w:unhideWhenUsed/>
    <w:qFormat/>
    <w:rsid w:val="00B93911"/>
    <w:pPr>
      <w:keepNext/>
      <w:keepLines/>
      <w:numPr>
        <w:ilvl w:val="7"/>
        <w:numId w:val="21"/>
      </w:numPr>
      <w:spacing w:before="200"/>
      <w:outlineLvl w:val="7"/>
    </w:pPr>
    <w:rPr>
      <w:rFonts w:ascii="Cambria" w:hAnsi="Cambria"/>
      <w:color w:val="404040"/>
      <w:sz w:val="20"/>
      <w:szCs w:val="20"/>
    </w:rPr>
  </w:style>
  <w:style w:type="paragraph" w:styleId="Ttulo9">
    <w:name w:val="heading 9"/>
    <w:basedOn w:val="Normal"/>
    <w:next w:val="Normal"/>
    <w:link w:val="Ttulo9Car"/>
    <w:semiHidden/>
    <w:unhideWhenUsed/>
    <w:qFormat/>
    <w:rsid w:val="00B93911"/>
    <w:pPr>
      <w:keepNext/>
      <w:keepLines/>
      <w:numPr>
        <w:ilvl w:val="8"/>
        <w:numId w:val="2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qFormat/>
    <w:rsid w:val="00F4155F"/>
    <w:pPr>
      <w:spacing w:after="200" w:line="276" w:lineRule="auto"/>
      <w:ind w:left="720"/>
      <w:contextualSpacing/>
    </w:pPr>
    <w:rPr>
      <w:rFonts w:ascii="Calibri" w:eastAsia="Calibri" w:hAnsi="Calibri"/>
      <w:sz w:val="22"/>
      <w:szCs w:val="22"/>
      <w:lang w:val="es-GT"/>
    </w:rPr>
  </w:style>
  <w:style w:type="paragraph" w:customStyle="1" w:styleId="Default">
    <w:name w:val="Default"/>
    <w:rsid w:val="00F27AAA"/>
    <w:pPr>
      <w:autoSpaceDE w:val="0"/>
      <w:autoSpaceDN w:val="0"/>
      <w:adjustRightInd w:val="0"/>
    </w:pPr>
    <w:rPr>
      <w:rFonts w:ascii="Verdana" w:hAnsi="Verdana" w:cs="Verdana"/>
      <w:color w:val="000000"/>
      <w:sz w:val="24"/>
      <w:szCs w:val="24"/>
      <w:lang w:val="en-US" w:eastAsia="en-US"/>
    </w:rPr>
  </w:style>
  <w:style w:type="paragraph" w:styleId="TDC1">
    <w:name w:val="toc 1"/>
    <w:basedOn w:val="Normal"/>
    <w:next w:val="Normal"/>
    <w:autoRedefine/>
    <w:uiPriority w:val="39"/>
    <w:rsid w:val="00E24B2F"/>
  </w:style>
  <w:style w:type="paragraph" w:styleId="TDC2">
    <w:name w:val="toc 2"/>
    <w:basedOn w:val="Normal"/>
    <w:next w:val="Normal"/>
    <w:autoRedefine/>
    <w:uiPriority w:val="39"/>
    <w:rsid w:val="00E24B2F"/>
    <w:pPr>
      <w:ind w:left="240"/>
    </w:pPr>
  </w:style>
  <w:style w:type="character" w:styleId="Hipervnculo">
    <w:name w:val="Hyperlink"/>
    <w:uiPriority w:val="99"/>
    <w:unhideWhenUsed/>
    <w:rsid w:val="00E24B2F"/>
    <w:rPr>
      <w:color w:val="0000FF"/>
      <w:u w:val="single"/>
    </w:rPr>
  </w:style>
  <w:style w:type="paragraph" w:styleId="Encabezado">
    <w:name w:val="header"/>
    <w:basedOn w:val="Normal"/>
    <w:link w:val="EncabezadoCar"/>
    <w:rsid w:val="00A66A11"/>
    <w:pPr>
      <w:tabs>
        <w:tab w:val="center" w:pos="4680"/>
        <w:tab w:val="right" w:pos="9360"/>
      </w:tabs>
    </w:pPr>
    <w:rPr>
      <w:lang w:val="x-none" w:eastAsia="x-none"/>
    </w:rPr>
  </w:style>
  <w:style w:type="character" w:customStyle="1" w:styleId="EncabezadoCar">
    <w:name w:val="Encabezado Car"/>
    <w:link w:val="Encabezado"/>
    <w:rsid w:val="00A66A11"/>
    <w:rPr>
      <w:sz w:val="24"/>
      <w:szCs w:val="24"/>
    </w:rPr>
  </w:style>
  <w:style w:type="paragraph" w:styleId="Piedepgina">
    <w:name w:val="footer"/>
    <w:basedOn w:val="Normal"/>
    <w:link w:val="PiedepginaCar"/>
    <w:uiPriority w:val="99"/>
    <w:rsid w:val="00A66A11"/>
    <w:pPr>
      <w:tabs>
        <w:tab w:val="center" w:pos="4680"/>
        <w:tab w:val="right" w:pos="9360"/>
      </w:tabs>
    </w:pPr>
    <w:rPr>
      <w:lang w:val="x-none" w:eastAsia="x-none"/>
    </w:rPr>
  </w:style>
  <w:style w:type="character" w:customStyle="1" w:styleId="PiedepginaCar">
    <w:name w:val="Pie de página Car"/>
    <w:link w:val="Piedepgina"/>
    <w:uiPriority w:val="99"/>
    <w:rsid w:val="00A66A11"/>
    <w:rPr>
      <w:sz w:val="24"/>
      <w:szCs w:val="24"/>
    </w:rPr>
  </w:style>
  <w:style w:type="character" w:customStyle="1" w:styleId="googqs-tidbit-0">
    <w:name w:val="goog_qs-tidbit-0"/>
    <w:basedOn w:val="Fuentedeprrafopredeter"/>
    <w:rsid w:val="00770CFE"/>
  </w:style>
  <w:style w:type="table" w:styleId="Tablaconcuadrcula">
    <w:name w:val="Table Grid"/>
    <w:basedOn w:val="Tablanormal"/>
    <w:uiPriority w:val="59"/>
    <w:rsid w:val="00DC45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link w:val="Ttulo1"/>
    <w:uiPriority w:val="9"/>
    <w:rsid w:val="00EE18B4"/>
    <w:rPr>
      <w:rFonts w:ascii="Cambria" w:hAnsi="Cambria"/>
      <w:b/>
      <w:bCs/>
      <w:color w:val="365F91"/>
      <w:sz w:val="28"/>
      <w:szCs w:val="28"/>
      <w:lang w:val="x-none" w:eastAsia="en-US"/>
    </w:rPr>
  </w:style>
  <w:style w:type="character" w:customStyle="1" w:styleId="Ttulo2Car">
    <w:name w:val="Título 2 Car"/>
    <w:link w:val="Ttulo2"/>
    <w:uiPriority w:val="9"/>
    <w:rsid w:val="00EE18B4"/>
    <w:rPr>
      <w:rFonts w:ascii="Cambria" w:hAnsi="Cambria"/>
      <w:b/>
      <w:bCs/>
      <w:color w:val="4F81BD"/>
      <w:sz w:val="26"/>
      <w:szCs w:val="26"/>
      <w:lang w:val="x-none" w:eastAsia="en-US"/>
    </w:rPr>
  </w:style>
  <w:style w:type="paragraph" w:styleId="Textonotapie">
    <w:name w:val="footnote text"/>
    <w:aliases w:val="Texto nota pie Car Car Car Car,Texto nota pie1,Texto nota pie Car Car Car,Texto nota pie Car Car"/>
    <w:basedOn w:val="Normal"/>
    <w:link w:val="TextonotapieCar"/>
    <w:uiPriority w:val="99"/>
    <w:unhideWhenUsed/>
    <w:rsid w:val="00EE18B4"/>
    <w:rPr>
      <w:sz w:val="20"/>
      <w:szCs w:val="20"/>
      <w:lang w:val="es-GT" w:eastAsia="x-none"/>
    </w:rPr>
  </w:style>
  <w:style w:type="character" w:customStyle="1" w:styleId="TextonotapieCar">
    <w:name w:val="Texto nota pie Car"/>
    <w:aliases w:val="Texto nota pie Car Car Car Car Car,Texto nota pie1 Car,Texto nota pie Car Car Car Car1,Texto nota pie Car Car Car1"/>
    <w:link w:val="Textonotapie"/>
    <w:uiPriority w:val="99"/>
    <w:rsid w:val="00EE18B4"/>
    <w:rPr>
      <w:lang w:val="es-GT"/>
    </w:rPr>
  </w:style>
  <w:style w:type="character" w:styleId="Refdenotaalpie">
    <w:name w:val="footnote reference"/>
    <w:uiPriority w:val="99"/>
    <w:unhideWhenUsed/>
    <w:rsid w:val="00EE18B4"/>
    <w:rPr>
      <w:vertAlign w:val="superscript"/>
    </w:rPr>
  </w:style>
  <w:style w:type="paragraph" w:customStyle="1" w:styleId="Pa1">
    <w:name w:val="Pa1"/>
    <w:basedOn w:val="Normal"/>
    <w:next w:val="Normal"/>
    <w:uiPriority w:val="99"/>
    <w:rsid w:val="00EE18B4"/>
    <w:pPr>
      <w:autoSpaceDE w:val="0"/>
      <w:autoSpaceDN w:val="0"/>
      <w:adjustRightInd w:val="0"/>
      <w:spacing w:line="241" w:lineRule="atLeast"/>
    </w:pPr>
    <w:rPr>
      <w:rFonts w:ascii="Arial" w:eastAsia="Calibri" w:hAnsi="Arial" w:cs="Arial"/>
      <w:lang w:val="es-GT"/>
    </w:rPr>
  </w:style>
  <w:style w:type="paragraph" w:styleId="TDC3">
    <w:name w:val="toc 3"/>
    <w:basedOn w:val="Normal"/>
    <w:next w:val="Normal"/>
    <w:autoRedefine/>
    <w:uiPriority w:val="39"/>
    <w:rsid w:val="00433B14"/>
    <w:pPr>
      <w:ind w:left="480"/>
    </w:pPr>
  </w:style>
  <w:style w:type="character" w:styleId="Hipervnculovisitado">
    <w:name w:val="FollowedHyperlink"/>
    <w:rsid w:val="00E85044"/>
    <w:rPr>
      <w:color w:val="800080"/>
      <w:u w:val="single"/>
    </w:rPr>
  </w:style>
  <w:style w:type="paragraph" w:customStyle="1" w:styleId="text">
    <w:name w:val="text"/>
    <w:basedOn w:val="Normal"/>
    <w:rsid w:val="005A6CF6"/>
    <w:pPr>
      <w:spacing w:before="100" w:beforeAutospacing="1" w:after="100" w:afterAutospacing="1" w:line="225" w:lineRule="atLeast"/>
    </w:pPr>
    <w:rPr>
      <w:rFonts w:ascii="Verdana" w:hAnsi="Verdana"/>
      <w:color w:val="000000"/>
      <w:sz w:val="15"/>
      <w:szCs w:val="15"/>
    </w:rPr>
  </w:style>
  <w:style w:type="paragraph" w:styleId="Epgrafe">
    <w:name w:val="caption"/>
    <w:basedOn w:val="Normal"/>
    <w:next w:val="Normal"/>
    <w:uiPriority w:val="35"/>
    <w:unhideWhenUsed/>
    <w:qFormat/>
    <w:rsid w:val="002B7D86"/>
    <w:rPr>
      <w:b/>
      <w:bCs/>
      <w:sz w:val="20"/>
      <w:szCs w:val="20"/>
    </w:rPr>
  </w:style>
  <w:style w:type="paragraph" w:styleId="Tabladeilustraciones">
    <w:name w:val="table of figures"/>
    <w:basedOn w:val="Normal"/>
    <w:next w:val="Normal"/>
    <w:uiPriority w:val="99"/>
    <w:rsid w:val="00C40AAD"/>
  </w:style>
  <w:style w:type="character" w:customStyle="1" w:styleId="ft">
    <w:name w:val="ft"/>
    <w:basedOn w:val="Fuentedeprrafopredeter"/>
    <w:rsid w:val="00806A1C"/>
  </w:style>
  <w:style w:type="paragraph" w:styleId="NormalWeb">
    <w:name w:val="Normal (Web)"/>
    <w:basedOn w:val="Normal"/>
    <w:unhideWhenUsed/>
    <w:rsid w:val="00992A99"/>
    <w:pPr>
      <w:spacing w:before="100" w:beforeAutospacing="1" w:after="100" w:afterAutospacing="1"/>
    </w:pPr>
    <w:rPr>
      <w:lang w:val="es-GT" w:eastAsia="es-GT"/>
    </w:rPr>
  </w:style>
  <w:style w:type="paragraph" w:styleId="Textodeglobo">
    <w:name w:val="Balloon Text"/>
    <w:basedOn w:val="Normal"/>
    <w:link w:val="TextodegloboCar"/>
    <w:rsid w:val="006A0601"/>
    <w:rPr>
      <w:rFonts w:ascii="Tahoma" w:hAnsi="Tahoma"/>
      <w:sz w:val="16"/>
      <w:szCs w:val="16"/>
    </w:rPr>
  </w:style>
  <w:style w:type="character" w:customStyle="1" w:styleId="TextodegloboCar">
    <w:name w:val="Texto de globo Car"/>
    <w:link w:val="Textodeglobo"/>
    <w:rsid w:val="006A0601"/>
    <w:rPr>
      <w:rFonts w:ascii="Tahoma" w:hAnsi="Tahoma" w:cs="Tahoma"/>
      <w:sz w:val="16"/>
      <w:szCs w:val="16"/>
      <w:lang w:val="en-US" w:eastAsia="en-US"/>
    </w:rPr>
  </w:style>
  <w:style w:type="paragraph" w:customStyle="1" w:styleId="Ttulo11">
    <w:name w:val="Título 11"/>
    <w:basedOn w:val="Listaconnmeros2"/>
    <w:next w:val="Normal"/>
    <w:uiPriority w:val="9"/>
    <w:qFormat/>
    <w:rsid w:val="006A0601"/>
    <w:pPr>
      <w:keepNext/>
      <w:keepLines/>
      <w:numPr>
        <w:numId w:val="17"/>
      </w:numPr>
      <w:spacing w:before="480" w:line="276" w:lineRule="auto"/>
      <w:outlineLvl w:val="0"/>
    </w:pPr>
    <w:rPr>
      <w:rFonts w:ascii="Cambria" w:hAnsi="Cambria"/>
      <w:b/>
      <w:bCs/>
      <w:color w:val="365F91"/>
      <w:sz w:val="28"/>
      <w:szCs w:val="28"/>
      <w:lang w:val="es-ES" w:eastAsia="es-ES"/>
    </w:rPr>
  </w:style>
  <w:style w:type="paragraph" w:styleId="Listaconnmeros2">
    <w:name w:val="List Number 2"/>
    <w:basedOn w:val="Normal"/>
    <w:uiPriority w:val="99"/>
    <w:rsid w:val="006A0601"/>
    <w:pPr>
      <w:numPr>
        <w:numId w:val="16"/>
      </w:numPr>
      <w:contextualSpacing/>
    </w:pPr>
  </w:style>
  <w:style w:type="paragraph" w:styleId="Subttulo">
    <w:name w:val="Subtitle"/>
    <w:basedOn w:val="Lista"/>
    <w:next w:val="Normal"/>
    <w:link w:val="SubttuloCar"/>
    <w:qFormat/>
    <w:rsid w:val="005265B8"/>
    <w:pPr>
      <w:numPr>
        <w:ilvl w:val="1"/>
      </w:numPr>
      <w:ind w:left="283" w:hanging="283"/>
    </w:pPr>
    <w:rPr>
      <w:rFonts w:ascii="Calibri" w:hAnsi="Calibri"/>
      <w:iCs/>
      <w:color w:val="4F81BD"/>
      <w:spacing w:val="15"/>
      <w:sz w:val="36"/>
    </w:rPr>
  </w:style>
  <w:style w:type="character" w:customStyle="1" w:styleId="SubttuloCar">
    <w:name w:val="Subtítulo Car"/>
    <w:link w:val="Subttulo"/>
    <w:rsid w:val="005265B8"/>
    <w:rPr>
      <w:rFonts w:ascii="Calibri" w:hAnsi="Calibri"/>
      <w:iCs/>
      <w:color w:val="4F81BD"/>
      <w:spacing w:val="15"/>
      <w:sz w:val="36"/>
      <w:szCs w:val="24"/>
      <w:lang w:val="en-US" w:eastAsia="en-US"/>
    </w:rPr>
  </w:style>
  <w:style w:type="paragraph" w:styleId="Listaconnmeros3">
    <w:name w:val="List Number 3"/>
    <w:basedOn w:val="Normal"/>
    <w:rsid w:val="006A0601"/>
    <w:pPr>
      <w:numPr>
        <w:numId w:val="18"/>
      </w:numPr>
      <w:contextualSpacing/>
    </w:pPr>
  </w:style>
  <w:style w:type="character" w:customStyle="1" w:styleId="Ttulo3Car">
    <w:name w:val="Título 3 Car"/>
    <w:link w:val="Ttulo3"/>
    <w:semiHidden/>
    <w:rsid w:val="00B93911"/>
    <w:rPr>
      <w:rFonts w:ascii="Cambria" w:hAnsi="Cambria"/>
      <w:b/>
      <w:bCs/>
      <w:color w:val="4F81BD"/>
      <w:sz w:val="24"/>
      <w:szCs w:val="24"/>
      <w:lang w:val="en-US" w:eastAsia="en-US"/>
    </w:rPr>
  </w:style>
  <w:style w:type="character" w:customStyle="1" w:styleId="Ttulo4Car">
    <w:name w:val="Título 4 Car"/>
    <w:link w:val="Ttulo4"/>
    <w:rsid w:val="00B93911"/>
    <w:rPr>
      <w:rFonts w:ascii="Cambria" w:hAnsi="Cambria"/>
      <w:b/>
      <w:bCs/>
      <w:i/>
      <w:iCs/>
      <w:color w:val="4F81BD"/>
      <w:sz w:val="24"/>
      <w:szCs w:val="24"/>
      <w:lang w:val="en-US" w:eastAsia="en-US"/>
    </w:rPr>
  </w:style>
  <w:style w:type="character" w:customStyle="1" w:styleId="Ttulo5Car">
    <w:name w:val="Título 5 Car"/>
    <w:link w:val="Ttulo5"/>
    <w:semiHidden/>
    <w:rsid w:val="00B93911"/>
    <w:rPr>
      <w:rFonts w:ascii="Cambria" w:hAnsi="Cambria"/>
      <w:color w:val="243F60"/>
      <w:sz w:val="24"/>
      <w:szCs w:val="24"/>
      <w:lang w:val="en-US" w:eastAsia="en-US"/>
    </w:rPr>
  </w:style>
  <w:style w:type="character" w:customStyle="1" w:styleId="Ttulo6Car">
    <w:name w:val="Título 6 Car"/>
    <w:link w:val="Ttulo6"/>
    <w:semiHidden/>
    <w:rsid w:val="00B93911"/>
    <w:rPr>
      <w:rFonts w:ascii="Cambria" w:hAnsi="Cambria"/>
      <w:i/>
      <w:iCs/>
      <w:color w:val="243F60"/>
      <w:sz w:val="24"/>
      <w:szCs w:val="24"/>
      <w:lang w:val="en-US" w:eastAsia="en-US"/>
    </w:rPr>
  </w:style>
  <w:style w:type="character" w:customStyle="1" w:styleId="Ttulo7Car">
    <w:name w:val="Título 7 Car"/>
    <w:link w:val="Ttulo7"/>
    <w:semiHidden/>
    <w:rsid w:val="00B93911"/>
    <w:rPr>
      <w:rFonts w:ascii="Cambria" w:hAnsi="Cambria"/>
      <w:i/>
      <w:iCs/>
      <w:color w:val="404040"/>
      <w:sz w:val="24"/>
      <w:szCs w:val="24"/>
      <w:lang w:val="en-US" w:eastAsia="en-US"/>
    </w:rPr>
  </w:style>
  <w:style w:type="character" w:customStyle="1" w:styleId="Ttulo8Car">
    <w:name w:val="Título 8 Car"/>
    <w:link w:val="Ttulo8"/>
    <w:semiHidden/>
    <w:rsid w:val="00B93911"/>
    <w:rPr>
      <w:rFonts w:ascii="Cambria" w:hAnsi="Cambria"/>
      <w:color w:val="404040"/>
      <w:lang w:val="en-US" w:eastAsia="en-US"/>
    </w:rPr>
  </w:style>
  <w:style w:type="character" w:customStyle="1" w:styleId="Ttulo9Car">
    <w:name w:val="Título 9 Car"/>
    <w:link w:val="Ttulo9"/>
    <w:semiHidden/>
    <w:rsid w:val="00B93911"/>
    <w:rPr>
      <w:rFonts w:ascii="Cambria" w:hAnsi="Cambria"/>
      <w:i/>
      <w:iCs/>
      <w:color w:val="404040"/>
      <w:lang w:val="en-US" w:eastAsia="en-US"/>
    </w:rPr>
  </w:style>
  <w:style w:type="paragraph" w:customStyle="1" w:styleId="Sinespaciado1">
    <w:name w:val="Sin espaciado1"/>
    <w:rsid w:val="00424E4D"/>
    <w:rPr>
      <w:rFonts w:ascii="Calibri" w:hAnsi="Calibri"/>
      <w:sz w:val="22"/>
      <w:szCs w:val="22"/>
      <w:lang w:eastAsia="en-US"/>
    </w:rPr>
  </w:style>
  <w:style w:type="character" w:customStyle="1" w:styleId="eacep1">
    <w:name w:val="eacep1"/>
    <w:rsid w:val="00424E4D"/>
    <w:rPr>
      <w:rFonts w:cs="Times New Roman"/>
      <w:color w:val="000000"/>
    </w:rPr>
  </w:style>
  <w:style w:type="paragraph" w:customStyle="1" w:styleId="txt">
    <w:name w:val="txt"/>
    <w:basedOn w:val="Normal"/>
    <w:rsid w:val="008327B2"/>
    <w:pPr>
      <w:spacing w:before="100" w:beforeAutospacing="1" w:after="100" w:afterAutospacing="1"/>
      <w:jc w:val="both"/>
    </w:pPr>
    <w:rPr>
      <w:rFonts w:ascii="Verdana" w:hAnsi="Verdana"/>
      <w:sz w:val="20"/>
      <w:szCs w:val="20"/>
      <w:lang w:val="es-GT" w:eastAsia="es-GT"/>
    </w:rPr>
  </w:style>
  <w:style w:type="paragraph" w:styleId="Textosinformato">
    <w:name w:val="Plain Text"/>
    <w:basedOn w:val="Normal"/>
    <w:link w:val="TextosinformatoCar"/>
    <w:uiPriority w:val="99"/>
    <w:unhideWhenUsed/>
    <w:rsid w:val="001C33BB"/>
    <w:rPr>
      <w:rFonts w:ascii="Consolas" w:eastAsia="Calibri" w:hAnsi="Consolas"/>
      <w:sz w:val="21"/>
      <w:szCs w:val="21"/>
      <w:lang w:val="x-none"/>
    </w:rPr>
  </w:style>
  <w:style w:type="character" w:customStyle="1" w:styleId="TextosinformatoCar">
    <w:name w:val="Texto sin formato Car"/>
    <w:link w:val="Textosinformato"/>
    <w:uiPriority w:val="99"/>
    <w:rsid w:val="001C33BB"/>
    <w:rPr>
      <w:rFonts w:ascii="Consolas" w:eastAsia="Calibri" w:hAnsi="Consolas" w:cs="Times New Roman"/>
      <w:sz w:val="21"/>
      <w:szCs w:val="21"/>
      <w:lang w:eastAsia="en-US"/>
    </w:rPr>
  </w:style>
  <w:style w:type="paragraph" w:styleId="Sinespaciado">
    <w:name w:val="No Spacing"/>
    <w:link w:val="SinespaciadoCar"/>
    <w:uiPriority w:val="1"/>
    <w:qFormat/>
    <w:rsid w:val="000F73BE"/>
    <w:rPr>
      <w:rFonts w:ascii="Calibri" w:eastAsia="Calibri" w:hAnsi="Calibri"/>
      <w:sz w:val="22"/>
      <w:szCs w:val="22"/>
      <w:lang w:eastAsia="en-US"/>
    </w:rPr>
  </w:style>
  <w:style w:type="character" w:customStyle="1" w:styleId="SinespaciadoCar">
    <w:name w:val="Sin espaciado Car"/>
    <w:link w:val="Sinespaciado"/>
    <w:uiPriority w:val="1"/>
    <w:rsid w:val="000F73BE"/>
    <w:rPr>
      <w:rFonts w:ascii="Calibri" w:eastAsia="Calibri" w:hAnsi="Calibri"/>
      <w:sz w:val="22"/>
      <w:szCs w:val="22"/>
      <w:lang w:eastAsia="en-US" w:bidi="ar-SA"/>
    </w:rPr>
  </w:style>
  <w:style w:type="paragraph" w:customStyle="1" w:styleId="ListParagraph1">
    <w:name w:val="List Paragraph1"/>
    <w:basedOn w:val="Normal"/>
    <w:rsid w:val="005265B8"/>
    <w:pPr>
      <w:spacing w:after="200" w:line="276" w:lineRule="auto"/>
      <w:ind w:left="720"/>
    </w:pPr>
    <w:rPr>
      <w:rFonts w:ascii="Calibri" w:hAnsi="Calibri"/>
      <w:sz w:val="22"/>
      <w:szCs w:val="22"/>
      <w:lang w:val="es-GT"/>
    </w:rPr>
  </w:style>
  <w:style w:type="paragraph" w:customStyle="1" w:styleId="IFADparagraphnumbering">
    <w:name w:val="IFAD paragraph numbering"/>
    <w:next w:val="TDC1"/>
    <w:rsid w:val="004E2482"/>
    <w:pPr>
      <w:numPr>
        <w:numId w:val="64"/>
      </w:numPr>
    </w:pPr>
  </w:style>
  <w:style w:type="paragraph" w:styleId="Lista">
    <w:name w:val="List"/>
    <w:basedOn w:val="Normal"/>
    <w:rsid w:val="005265B8"/>
    <w:pPr>
      <w:ind w:left="283" w:hanging="283"/>
      <w:contextualSpacing/>
    </w:pPr>
  </w:style>
  <w:style w:type="paragraph" w:customStyle="1" w:styleId="IFADparagraphno2ndlevel">
    <w:name w:val="IFAD paragraph no. 2nd level"/>
    <w:basedOn w:val="IFADparagraphnumbering"/>
    <w:rsid w:val="004E2482"/>
    <w:pPr>
      <w:numPr>
        <w:ilvl w:val="1"/>
      </w:numPr>
      <w:spacing w:after="120"/>
    </w:pPr>
    <w:rPr>
      <w:rFonts w:ascii="Verdana" w:hAnsi="Verdana" w:cs="Arial"/>
      <w:lang w:val="en-CA"/>
    </w:rPr>
  </w:style>
  <w:style w:type="paragraph" w:customStyle="1" w:styleId="IFADparagraphno3rdlevel">
    <w:name w:val="IFAD paragraph no. 3rd level"/>
    <w:basedOn w:val="IFADparagraphnumbering"/>
    <w:rsid w:val="004E2482"/>
    <w:pPr>
      <w:numPr>
        <w:ilvl w:val="2"/>
      </w:numPr>
      <w:spacing w:after="120"/>
    </w:pPr>
    <w:rPr>
      <w:rFonts w:ascii="Verdana" w:hAnsi="Verdana" w:cs="Arial"/>
      <w:lang w:val="en-CA"/>
    </w:rPr>
  </w:style>
  <w:style w:type="paragraph" w:customStyle="1" w:styleId="IFADparagraphno4thlevel">
    <w:name w:val="IFAD paragraph no. 4th level"/>
    <w:basedOn w:val="IFADparagraphnumbering"/>
    <w:rsid w:val="004E2482"/>
    <w:pPr>
      <w:numPr>
        <w:ilvl w:val="3"/>
      </w:numPr>
      <w:ind w:left="1872" w:hanging="284"/>
    </w:pPr>
    <w:rPr>
      <w:rFonts w:ascii="Verdana" w:hAnsi="Verdana" w:cs="Arial"/>
      <w:lang w:val="en-CA"/>
    </w:rPr>
  </w:style>
  <w:style w:type="paragraph" w:styleId="Textoindependiente">
    <w:name w:val="Body Text"/>
    <w:basedOn w:val="Normal"/>
    <w:link w:val="TextoindependienteCar"/>
    <w:rsid w:val="004E2482"/>
    <w:pPr>
      <w:spacing w:after="120"/>
    </w:pPr>
  </w:style>
  <w:style w:type="character" w:customStyle="1" w:styleId="TextoindependienteCar">
    <w:name w:val="Texto independiente Car"/>
    <w:link w:val="Textoindependiente"/>
    <w:rsid w:val="004E2482"/>
    <w:rPr>
      <w:sz w:val="24"/>
      <w:szCs w:val="24"/>
      <w:lang w:val="en-US" w:eastAsia="en-US"/>
    </w:rPr>
  </w:style>
  <w:style w:type="character" w:customStyle="1" w:styleId="highlightedsearchterm">
    <w:name w:val="highlightedsearchterm"/>
    <w:basedOn w:val="Fuentedeprrafopredeter"/>
    <w:rsid w:val="00B9385E"/>
  </w:style>
  <w:style w:type="paragraph" w:customStyle="1" w:styleId="CM4">
    <w:name w:val="CM4"/>
    <w:basedOn w:val="Normal"/>
    <w:next w:val="Normal"/>
    <w:uiPriority w:val="99"/>
    <w:rsid w:val="007B7601"/>
    <w:pPr>
      <w:widowControl w:val="0"/>
      <w:autoSpaceDE w:val="0"/>
      <w:autoSpaceDN w:val="0"/>
      <w:adjustRightInd w:val="0"/>
      <w:spacing w:line="240" w:lineRule="atLeast"/>
    </w:pPr>
    <w:rPr>
      <w:rFonts w:ascii="HelveticaNeueLT Std Cn" w:hAnsi="HelveticaNeueLT Std Cn"/>
      <w:lang w:val="es-GT" w:eastAsia="es-GT"/>
    </w:rPr>
  </w:style>
  <w:style w:type="paragraph" w:customStyle="1" w:styleId="CM5">
    <w:name w:val="CM5"/>
    <w:basedOn w:val="Default"/>
    <w:next w:val="Default"/>
    <w:uiPriority w:val="99"/>
    <w:rsid w:val="007B7601"/>
    <w:pPr>
      <w:widowControl w:val="0"/>
      <w:spacing w:line="240" w:lineRule="atLeast"/>
    </w:pPr>
    <w:rPr>
      <w:rFonts w:ascii="HelveticaNeueLT Std Cn" w:hAnsi="HelveticaNeueLT Std Cn" w:cs="Times New Roman"/>
      <w:color w:val="auto"/>
      <w:lang w:val="es-GT" w:eastAsia="es-GT"/>
    </w:rPr>
  </w:style>
  <w:style w:type="paragraph" w:customStyle="1" w:styleId="CM24">
    <w:name w:val="CM24"/>
    <w:basedOn w:val="Default"/>
    <w:next w:val="Default"/>
    <w:uiPriority w:val="99"/>
    <w:rsid w:val="007B7601"/>
    <w:pPr>
      <w:widowControl w:val="0"/>
    </w:pPr>
    <w:rPr>
      <w:rFonts w:ascii="HelveticaNeueLT Std Cn" w:hAnsi="HelveticaNeueLT Std Cn" w:cs="Times New Roman"/>
      <w:color w:val="auto"/>
      <w:lang w:val="es-GT" w:eastAsia="es-GT"/>
    </w:rPr>
  </w:style>
  <w:style w:type="paragraph" w:customStyle="1" w:styleId="CM20">
    <w:name w:val="CM20"/>
    <w:basedOn w:val="Default"/>
    <w:next w:val="Default"/>
    <w:uiPriority w:val="99"/>
    <w:rsid w:val="007B7601"/>
    <w:pPr>
      <w:widowControl w:val="0"/>
    </w:pPr>
    <w:rPr>
      <w:rFonts w:ascii="HelveticaNeueLT Std Cn" w:hAnsi="HelveticaNeueLT Std Cn" w:cs="Times New Roman"/>
      <w:color w:val="auto"/>
      <w:lang w:val="es-GT" w:eastAsia="es-GT"/>
    </w:rPr>
  </w:style>
  <w:style w:type="paragraph" w:customStyle="1" w:styleId="CM19">
    <w:name w:val="CM19"/>
    <w:basedOn w:val="Default"/>
    <w:next w:val="Default"/>
    <w:uiPriority w:val="99"/>
    <w:rsid w:val="007B7601"/>
    <w:pPr>
      <w:widowControl w:val="0"/>
    </w:pPr>
    <w:rPr>
      <w:rFonts w:ascii="HelveticaNeueLT Std Cn" w:hAnsi="HelveticaNeueLT Std Cn" w:cs="Times New Roman"/>
      <w:color w:val="auto"/>
      <w:lang w:val="es-GT" w:eastAsia="es-GT"/>
    </w:rPr>
  </w:style>
  <w:style w:type="paragraph" w:customStyle="1" w:styleId="CM23">
    <w:name w:val="CM23"/>
    <w:basedOn w:val="Default"/>
    <w:next w:val="Default"/>
    <w:uiPriority w:val="99"/>
    <w:rsid w:val="007B7601"/>
    <w:pPr>
      <w:widowControl w:val="0"/>
    </w:pPr>
    <w:rPr>
      <w:rFonts w:ascii="HelveticaNeueLT Std Cn" w:hAnsi="HelveticaNeueLT Std Cn" w:cs="Times New Roman"/>
      <w:color w:val="auto"/>
      <w:lang w:val="es-GT" w:eastAsia="es-GT"/>
    </w:rPr>
  </w:style>
  <w:style w:type="paragraph" w:customStyle="1" w:styleId="CM18">
    <w:name w:val="CM18"/>
    <w:basedOn w:val="Default"/>
    <w:next w:val="Default"/>
    <w:uiPriority w:val="99"/>
    <w:rsid w:val="007B7601"/>
    <w:pPr>
      <w:widowControl w:val="0"/>
    </w:pPr>
    <w:rPr>
      <w:rFonts w:ascii="HelveticaNeueLT Std Cn" w:hAnsi="HelveticaNeueLT Std Cn" w:cs="Times New Roman"/>
      <w:color w:val="auto"/>
      <w:lang w:val="es-GT" w:eastAsia="es-GT"/>
    </w:rPr>
  </w:style>
  <w:style w:type="paragraph" w:customStyle="1" w:styleId="CM26">
    <w:name w:val="CM26"/>
    <w:basedOn w:val="Default"/>
    <w:next w:val="Default"/>
    <w:uiPriority w:val="99"/>
    <w:rsid w:val="007B7601"/>
    <w:pPr>
      <w:widowControl w:val="0"/>
    </w:pPr>
    <w:rPr>
      <w:rFonts w:ascii="HelveticaNeueLT Std Cn" w:hAnsi="HelveticaNeueLT Std Cn" w:cs="Times New Roman"/>
      <w:color w:val="auto"/>
      <w:lang w:val="es-GT" w:eastAsia="es-GT"/>
    </w:rPr>
  </w:style>
  <w:style w:type="character" w:styleId="Refdecomentario">
    <w:name w:val="annotation reference"/>
    <w:basedOn w:val="Fuentedeprrafopredeter"/>
    <w:rsid w:val="00062EE1"/>
    <w:rPr>
      <w:sz w:val="16"/>
      <w:szCs w:val="16"/>
    </w:rPr>
  </w:style>
  <w:style w:type="paragraph" w:styleId="Textocomentario">
    <w:name w:val="annotation text"/>
    <w:basedOn w:val="Normal"/>
    <w:link w:val="TextocomentarioCar"/>
    <w:rsid w:val="00062EE1"/>
    <w:rPr>
      <w:sz w:val="20"/>
      <w:szCs w:val="20"/>
    </w:rPr>
  </w:style>
  <w:style w:type="character" w:customStyle="1" w:styleId="TextocomentarioCar">
    <w:name w:val="Texto comentario Car"/>
    <w:basedOn w:val="Fuentedeprrafopredeter"/>
    <w:link w:val="Textocomentario"/>
    <w:rsid w:val="00062EE1"/>
    <w:rPr>
      <w:lang w:val="en-US" w:eastAsia="en-US"/>
    </w:rPr>
  </w:style>
  <w:style w:type="paragraph" w:styleId="Asuntodelcomentario">
    <w:name w:val="annotation subject"/>
    <w:basedOn w:val="Textocomentario"/>
    <w:next w:val="Textocomentario"/>
    <w:link w:val="AsuntodelcomentarioCar"/>
    <w:rsid w:val="00062EE1"/>
    <w:rPr>
      <w:b/>
      <w:bCs/>
    </w:rPr>
  </w:style>
  <w:style w:type="character" w:customStyle="1" w:styleId="AsuntodelcomentarioCar">
    <w:name w:val="Asunto del comentario Car"/>
    <w:basedOn w:val="TextocomentarioCar"/>
    <w:link w:val="Asuntodelcomentario"/>
    <w:rsid w:val="00062EE1"/>
    <w:rPr>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5379">
      <w:bodyDiv w:val="1"/>
      <w:marLeft w:val="0"/>
      <w:marRight w:val="0"/>
      <w:marTop w:val="0"/>
      <w:marBottom w:val="0"/>
      <w:divBdr>
        <w:top w:val="none" w:sz="0" w:space="0" w:color="auto"/>
        <w:left w:val="none" w:sz="0" w:space="0" w:color="auto"/>
        <w:bottom w:val="none" w:sz="0" w:space="0" w:color="auto"/>
        <w:right w:val="none" w:sz="0" w:space="0" w:color="auto"/>
      </w:divBdr>
    </w:div>
    <w:div w:id="126559013">
      <w:bodyDiv w:val="1"/>
      <w:marLeft w:val="0"/>
      <w:marRight w:val="0"/>
      <w:marTop w:val="0"/>
      <w:marBottom w:val="0"/>
      <w:divBdr>
        <w:top w:val="none" w:sz="0" w:space="0" w:color="auto"/>
        <w:left w:val="none" w:sz="0" w:space="0" w:color="auto"/>
        <w:bottom w:val="none" w:sz="0" w:space="0" w:color="auto"/>
        <w:right w:val="none" w:sz="0" w:space="0" w:color="auto"/>
      </w:divBdr>
      <w:divsChild>
        <w:div w:id="1590776905">
          <w:marLeft w:val="0"/>
          <w:marRight w:val="0"/>
          <w:marTop w:val="0"/>
          <w:marBottom w:val="0"/>
          <w:divBdr>
            <w:top w:val="none" w:sz="0" w:space="0" w:color="auto"/>
            <w:left w:val="none" w:sz="0" w:space="0" w:color="auto"/>
            <w:bottom w:val="none" w:sz="0" w:space="0" w:color="auto"/>
            <w:right w:val="none" w:sz="0" w:space="0" w:color="auto"/>
          </w:divBdr>
          <w:divsChild>
            <w:div w:id="1712418276">
              <w:marLeft w:val="0"/>
              <w:marRight w:val="0"/>
              <w:marTop w:val="0"/>
              <w:marBottom w:val="0"/>
              <w:divBdr>
                <w:top w:val="none" w:sz="0" w:space="0" w:color="auto"/>
                <w:left w:val="none" w:sz="0" w:space="0" w:color="auto"/>
                <w:bottom w:val="none" w:sz="0" w:space="0" w:color="auto"/>
                <w:right w:val="none" w:sz="0" w:space="0" w:color="auto"/>
              </w:divBdr>
              <w:divsChild>
                <w:div w:id="1126507682">
                  <w:marLeft w:val="0"/>
                  <w:marRight w:val="0"/>
                  <w:marTop w:val="0"/>
                  <w:marBottom w:val="0"/>
                  <w:divBdr>
                    <w:top w:val="none" w:sz="0" w:space="0" w:color="auto"/>
                    <w:left w:val="none" w:sz="0" w:space="0" w:color="auto"/>
                    <w:bottom w:val="none" w:sz="0" w:space="0" w:color="auto"/>
                    <w:right w:val="none" w:sz="0" w:space="0" w:color="auto"/>
                  </w:divBdr>
                  <w:divsChild>
                    <w:div w:id="1825857468">
                      <w:marLeft w:val="0"/>
                      <w:marRight w:val="0"/>
                      <w:marTop w:val="0"/>
                      <w:marBottom w:val="0"/>
                      <w:divBdr>
                        <w:top w:val="none" w:sz="0" w:space="0" w:color="auto"/>
                        <w:left w:val="none" w:sz="0" w:space="0" w:color="auto"/>
                        <w:bottom w:val="none" w:sz="0" w:space="0" w:color="auto"/>
                        <w:right w:val="none" w:sz="0" w:space="0" w:color="auto"/>
                      </w:divBdr>
                      <w:divsChild>
                        <w:div w:id="53577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3825758">
      <w:bodyDiv w:val="1"/>
      <w:marLeft w:val="0"/>
      <w:marRight w:val="0"/>
      <w:marTop w:val="0"/>
      <w:marBottom w:val="0"/>
      <w:divBdr>
        <w:top w:val="none" w:sz="0" w:space="0" w:color="auto"/>
        <w:left w:val="none" w:sz="0" w:space="0" w:color="auto"/>
        <w:bottom w:val="none" w:sz="0" w:space="0" w:color="auto"/>
        <w:right w:val="none" w:sz="0" w:space="0" w:color="auto"/>
      </w:divBdr>
    </w:div>
    <w:div w:id="800222372">
      <w:bodyDiv w:val="1"/>
      <w:marLeft w:val="0"/>
      <w:marRight w:val="0"/>
      <w:marTop w:val="0"/>
      <w:marBottom w:val="0"/>
      <w:divBdr>
        <w:top w:val="none" w:sz="0" w:space="0" w:color="auto"/>
        <w:left w:val="none" w:sz="0" w:space="0" w:color="auto"/>
        <w:bottom w:val="none" w:sz="0" w:space="0" w:color="auto"/>
        <w:right w:val="none" w:sz="0" w:space="0" w:color="auto"/>
      </w:divBdr>
    </w:div>
    <w:div w:id="1104770333">
      <w:bodyDiv w:val="1"/>
      <w:marLeft w:val="0"/>
      <w:marRight w:val="0"/>
      <w:marTop w:val="0"/>
      <w:marBottom w:val="0"/>
      <w:divBdr>
        <w:top w:val="none" w:sz="0" w:space="0" w:color="auto"/>
        <w:left w:val="none" w:sz="0" w:space="0" w:color="auto"/>
        <w:bottom w:val="none" w:sz="0" w:space="0" w:color="auto"/>
        <w:right w:val="none" w:sz="0" w:space="0" w:color="auto"/>
      </w:divBdr>
      <w:divsChild>
        <w:div w:id="14309263">
          <w:marLeft w:val="547"/>
          <w:marRight w:val="0"/>
          <w:marTop w:val="0"/>
          <w:marBottom w:val="0"/>
          <w:divBdr>
            <w:top w:val="none" w:sz="0" w:space="0" w:color="auto"/>
            <w:left w:val="none" w:sz="0" w:space="0" w:color="auto"/>
            <w:bottom w:val="none" w:sz="0" w:space="0" w:color="auto"/>
            <w:right w:val="none" w:sz="0" w:space="0" w:color="auto"/>
          </w:divBdr>
        </w:div>
        <w:div w:id="331837209">
          <w:marLeft w:val="547"/>
          <w:marRight w:val="0"/>
          <w:marTop w:val="0"/>
          <w:marBottom w:val="0"/>
          <w:divBdr>
            <w:top w:val="none" w:sz="0" w:space="0" w:color="auto"/>
            <w:left w:val="none" w:sz="0" w:space="0" w:color="auto"/>
            <w:bottom w:val="none" w:sz="0" w:space="0" w:color="auto"/>
            <w:right w:val="none" w:sz="0" w:space="0" w:color="auto"/>
          </w:divBdr>
        </w:div>
        <w:div w:id="470055888">
          <w:marLeft w:val="547"/>
          <w:marRight w:val="0"/>
          <w:marTop w:val="0"/>
          <w:marBottom w:val="0"/>
          <w:divBdr>
            <w:top w:val="none" w:sz="0" w:space="0" w:color="auto"/>
            <w:left w:val="none" w:sz="0" w:space="0" w:color="auto"/>
            <w:bottom w:val="none" w:sz="0" w:space="0" w:color="auto"/>
            <w:right w:val="none" w:sz="0" w:space="0" w:color="auto"/>
          </w:divBdr>
        </w:div>
        <w:div w:id="933249535">
          <w:marLeft w:val="547"/>
          <w:marRight w:val="0"/>
          <w:marTop w:val="0"/>
          <w:marBottom w:val="0"/>
          <w:divBdr>
            <w:top w:val="none" w:sz="0" w:space="0" w:color="auto"/>
            <w:left w:val="none" w:sz="0" w:space="0" w:color="auto"/>
            <w:bottom w:val="none" w:sz="0" w:space="0" w:color="auto"/>
            <w:right w:val="none" w:sz="0" w:space="0" w:color="auto"/>
          </w:divBdr>
        </w:div>
        <w:div w:id="977684283">
          <w:marLeft w:val="547"/>
          <w:marRight w:val="0"/>
          <w:marTop w:val="0"/>
          <w:marBottom w:val="0"/>
          <w:divBdr>
            <w:top w:val="none" w:sz="0" w:space="0" w:color="auto"/>
            <w:left w:val="none" w:sz="0" w:space="0" w:color="auto"/>
            <w:bottom w:val="none" w:sz="0" w:space="0" w:color="auto"/>
            <w:right w:val="none" w:sz="0" w:space="0" w:color="auto"/>
          </w:divBdr>
        </w:div>
      </w:divsChild>
    </w:div>
    <w:div w:id="1393694257">
      <w:bodyDiv w:val="1"/>
      <w:marLeft w:val="0"/>
      <w:marRight w:val="0"/>
      <w:marTop w:val="0"/>
      <w:marBottom w:val="0"/>
      <w:divBdr>
        <w:top w:val="none" w:sz="0" w:space="0" w:color="auto"/>
        <w:left w:val="none" w:sz="0" w:space="0" w:color="auto"/>
        <w:bottom w:val="none" w:sz="0" w:space="0" w:color="auto"/>
        <w:right w:val="none" w:sz="0" w:space="0" w:color="auto"/>
      </w:divBdr>
      <w:divsChild>
        <w:div w:id="101192158">
          <w:marLeft w:val="547"/>
          <w:marRight w:val="0"/>
          <w:marTop w:val="40"/>
          <w:marBottom w:val="40"/>
          <w:divBdr>
            <w:top w:val="none" w:sz="0" w:space="0" w:color="auto"/>
            <w:left w:val="none" w:sz="0" w:space="0" w:color="auto"/>
            <w:bottom w:val="none" w:sz="0" w:space="0" w:color="auto"/>
            <w:right w:val="none" w:sz="0" w:space="0" w:color="auto"/>
          </w:divBdr>
        </w:div>
        <w:div w:id="114300514">
          <w:marLeft w:val="547"/>
          <w:marRight w:val="0"/>
          <w:marTop w:val="40"/>
          <w:marBottom w:val="40"/>
          <w:divBdr>
            <w:top w:val="none" w:sz="0" w:space="0" w:color="auto"/>
            <w:left w:val="none" w:sz="0" w:space="0" w:color="auto"/>
            <w:bottom w:val="none" w:sz="0" w:space="0" w:color="auto"/>
            <w:right w:val="none" w:sz="0" w:space="0" w:color="auto"/>
          </w:divBdr>
        </w:div>
        <w:div w:id="119881027">
          <w:marLeft w:val="547"/>
          <w:marRight w:val="0"/>
          <w:marTop w:val="40"/>
          <w:marBottom w:val="40"/>
          <w:divBdr>
            <w:top w:val="none" w:sz="0" w:space="0" w:color="auto"/>
            <w:left w:val="none" w:sz="0" w:space="0" w:color="auto"/>
            <w:bottom w:val="none" w:sz="0" w:space="0" w:color="auto"/>
            <w:right w:val="none" w:sz="0" w:space="0" w:color="auto"/>
          </w:divBdr>
        </w:div>
        <w:div w:id="330642348">
          <w:marLeft w:val="547"/>
          <w:marRight w:val="0"/>
          <w:marTop w:val="40"/>
          <w:marBottom w:val="40"/>
          <w:divBdr>
            <w:top w:val="none" w:sz="0" w:space="0" w:color="auto"/>
            <w:left w:val="none" w:sz="0" w:space="0" w:color="auto"/>
            <w:bottom w:val="none" w:sz="0" w:space="0" w:color="auto"/>
            <w:right w:val="none" w:sz="0" w:space="0" w:color="auto"/>
          </w:divBdr>
        </w:div>
        <w:div w:id="559487806">
          <w:marLeft w:val="547"/>
          <w:marRight w:val="0"/>
          <w:marTop w:val="40"/>
          <w:marBottom w:val="40"/>
          <w:divBdr>
            <w:top w:val="none" w:sz="0" w:space="0" w:color="auto"/>
            <w:left w:val="none" w:sz="0" w:space="0" w:color="auto"/>
            <w:bottom w:val="none" w:sz="0" w:space="0" w:color="auto"/>
            <w:right w:val="none" w:sz="0" w:space="0" w:color="auto"/>
          </w:divBdr>
        </w:div>
        <w:div w:id="1007445458">
          <w:marLeft w:val="547"/>
          <w:marRight w:val="0"/>
          <w:marTop w:val="40"/>
          <w:marBottom w:val="40"/>
          <w:divBdr>
            <w:top w:val="none" w:sz="0" w:space="0" w:color="auto"/>
            <w:left w:val="none" w:sz="0" w:space="0" w:color="auto"/>
            <w:bottom w:val="none" w:sz="0" w:space="0" w:color="auto"/>
            <w:right w:val="none" w:sz="0" w:space="0" w:color="auto"/>
          </w:divBdr>
        </w:div>
        <w:div w:id="1141381283">
          <w:marLeft w:val="547"/>
          <w:marRight w:val="0"/>
          <w:marTop w:val="40"/>
          <w:marBottom w:val="40"/>
          <w:divBdr>
            <w:top w:val="none" w:sz="0" w:space="0" w:color="auto"/>
            <w:left w:val="none" w:sz="0" w:space="0" w:color="auto"/>
            <w:bottom w:val="none" w:sz="0" w:space="0" w:color="auto"/>
            <w:right w:val="none" w:sz="0" w:space="0" w:color="auto"/>
          </w:divBdr>
        </w:div>
        <w:div w:id="1444378579">
          <w:marLeft w:val="547"/>
          <w:marRight w:val="0"/>
          <w:marTop w:val="40"/>
          <w:marBottom w:val="40"/>
          <w:divBdr>
            <w:top w:val="none" w:sz="0" w:space="0" w:color="auto"/>
            <w:left w:val="none" w:sz="0" w:space="0" w:color="auto"/>
            <w:bottom w:val="none" w:sz="0" w:space="0" w:color="auto"/>
            <w:right w:val="none" w:sz="0" w:space="0" w:color="auto"/>
          </w:divBdr>
        </w:div>
        <w:div w:id="1464271285">
          <w:marLeft w:val="547"/>
          <w:marRight w:val="0"/>
          <w:marTop w:val="40"/>
          <w:marBottom w:val="40"/>
          <w:divBdr>
            <w:top w:val="none" w:sz="0" w:space="0" w:color="auto"/>
            <w:left w:val="none" w:sz="0" w:space="0" w:color="auto"/>
            <w:bottom w:val="none" w:sz="0" w:space="0" w:color="auto"/>
            <w:right w:val="none" w:sz="0" w:space="0" w:color="auto"/>
          </w:divBdr>
        </w:div>
        <w:div w:id="1565487169">
          <w:marLeft w:val="547"/>
          <w:marRight w:val="0"/>
          <w:marTop w:val="40"/>
          <w:marBottom w:val="40"/>
          <w:divBdr>
            <w:top w:val="none" w:sz="0" w:space="0" w:color="auto"/>
            <w:left w:val="none" w:sz="0" w:space="0" w:color="auto"/>
            <w:bottom w:val="none" w:sz="0" w:space="0" w:color="auto"/>
            <w:right w:val="none" w:sz="0" w:space="0" w:color="auto"/>
          </w:divBdr>
        </w:div>
        <w:div w:id="1748574604">
          <w:marLeft w:val="547"/>
          <w:marRight w:val="0"/>
          <w:marTop w:val="40"/>
          <w:marBottom w:val="40"/>
          <w:divBdr>
            <w:top w:val="none" w:sz="0" w:space="0" w:color="auto"/>
            <w:left w:val="none" w:sz="0" w:space="0" w:color="auto"/>
            <w:bottom w:val="none" w:sz="0" w:space="0" w:color="auto"/>
            <w:right w:val="none" w:sz="0" w:space="0" w:color="auto"/>
          </w:divBdr>
        </w:div>
        <w:div w:id="1863401358">
          <w:marLeft w:val="547"/>
          <w:marRight w:val="0"/>
          <w:marTop w:val="40"/>
          <w:marBottom w:val="40"/>
          <w:divBdr>
            <w:top w:val="none" w:sz="0" w:space="0" w:color="auto"/>
            <w:left w:val="none" w:sz="0" w:space="0" w:color="auto"/>
            <w:bottom w:val="none" w:sz="0" w:space="0" w:color="auto"/>
            <w:right w:val="none" w:sz="0" w:space="0" w:color="auto"/>
          </w:divBdr>
        </w:div>
        <w:div w:id="1938710963">
          <w:marLeft w:val="547"/>
          <w:marRight w:val="0"/>
          <w:marTop w:val="40"/>
          <w:marBottom w:val="40"/>
          <w:divBdr>
            <w:top w:val="none" w:sz="0" w:space="0" w:color="auto"/>
            <w:left w:val="none" w:sz="0" w:space="0" w:color="auto"/>
            <w:bottom w:val="none" w:sz="0" w:space="0" w:color="auto"/>
            <w:right w:val="none" w:sz="0" w:space="0" w:color="auto"/>
          </w:divBdr>
        </w:div>
        <w:div w:id="2090614133">
          <w:marLeft w:val="547"/>
          <w:marRight w:val="0"/>
          <w:marTop w:val="40"/>
          <w:marBottom w:val="40"/>
          <w:divBdr>
            <w:top w:val="none" w:sz="0" w:space="0" w:color="auto"/>
            <w:left w:val="none" w:sz="0" w:space="0" w:color="auto"/>
            <w:bottom w:val="none" w:sz="0" w:space="0" w:color="auto"/>
            <w:right w:val="none" w:sz="0" w:space="0" w:color="auto"/>
          </w:divBdr>
        </w:div>
        <w:div w:id="2137866938">
          <w:marLeft w:val="547"/>
          <w:marRight w:val="0"/>
          <w:marTop w:val="40"/>
          <w:marBottom w:val="40"/>
          <w:divBdr>
            <w:top w:val="none" w:sz="0" w:space="0" w:color="auto"/>
            <w:left w:val="none" w:sz="0" w:space="0" w:color="auto"/>
            <w:bottom w:val="none" w:sz="0" w:space="0" w:color="auto"/>
            <w:right w:val="none" w:sz="0" w:space="0" w:color="auto"/>
          </w:divBdr>
        </w:div>
      </w:divsChild>
    </w:div>
    <w:div w:id="1446997058">
      <w:bodyDiv w:val="1"/>
      <w:marLeft w:val="0"/>
      <w:marRight w:val="0"/>
      <w:marTop w:val="0"/>
      <w:marBottom w:val="0"/>
      <w:divBdr>
        <w:top w:val="none" w:sz="0" w:space="0" w:color="auto"/>
        <w:left w:val="none" w:sz="0" w:space="0" w:color="auto"/>
        <w:bottom w:val="none" w:sz="0" w:space="0" w:color="auto"/>
        <w:right w:val="none" w:sz="0" w:space="0" w:color="auto"/>
      </w:divBdr>
    </w:div>
    <w:div w:id="1572959411">
      <w:bodyDiv w:val="1"/>
      <w:marLeft w:val="0"/>
      <w:marRight w:val="0"/>
      <w:marTop w:val="0"/>
      <w:marBottom w:val="0"/>
      <w:divBdr>
        <w:top w:val="none" w:sz="0" w:space="0" w:color="auto"/>
        <w:left w:val="none" w:sz="0" w:space="0" w:color="auto"/>
        <w:bottom w:val="none" w:sz="0" w:space="0" w:color="auto"/>
        <w:right w:val="none" w:sz="0" w:space="0" w:color="auto"/>
      </w:divBdr>
    </w:div>
    <w:div w:id="1697847999">
      <w:bodyDiv w:val="1"/>
      <w:marLeft w:val="0"/>
      <w:marRight w:val="0"/>
      <w:marTop w:val="0"/>
      <w:marBottom w:val="0"/>
      <w:divBdr>
        <w:top w:val="none" w:sz="0" w:space="0" w:color="auto"/>
        <w:left w:val="none" w:sz="0" w:space="0" w:color="auto"/>
        <w:bottom w:val="none" w:sz="0" w:space="0" w:color="auto"/>
        <w:right w:val="none" w:sz="0" w:space="0" w:color="auto"/>
      </w:divBdr>
      <w:divsChild>
        <w:div w:id="186526874">
          <w:marLeft w:val="547"/>
          <w:marRight w:val="0"/>
          <w:marTop w:val="120"/>
          <w:marBottom w:val="120"/>
          <w:divBdr>
            <w:top w:val="none" w:sz="0" w:space="0" w:color="auto"/>
            <w:left w:val="none" w:sz="0" w:space="0" w:color="auto"/>
            <w:bottom w:val="none" w:sz="0" w:space="0" w:color="auto"/>
            <w:right w:val="none" w:sz="0" w:space="0" w:color="auto"/>
          </w:divBdr>
        </w:div>
        <w:div w:id="348871601">
          <w:marLeft w:val="547"/>
          <w:marRight w:val="0"/>
          <w:marTop w:val="120"/>
          <w:marBottom w:val="120"/>
          <w:divBdr>
            <w:top w:val="none" w:sz="0" w:space="0" w:color="auto"/>
            <w:left w:val="none" w:sz="0" w:space="0" w:color="auto"/>
            <w:bottom w:val="none" w:sz="0" w:space="0" w:color="auto"/>
            <w:right w:val="none" w:sz="0" w:space="0" w:color="auto"/>
          </w:divBdr>
        </w:div>
        <w:div w:id="469830209">
          <w:marLeft w:val="547"/>
          <w:marRight w:val="0"/>
          <w:marTop w:val="120"/>
          <w:marBottom w:val="120"/>
          <w:divBdr>
            <w:top w:val="none" w:sz="0" w:space="0" w:color="auto"/>
            <w:left w:val="none" w:sz="0" w:space="0" w:color="auto"/>
            <w:bottom w:val="none" w:sz="0" w:space="0" w:color="auto"/>
            <w:right w:val="none" w:sz="0" w:space="0" w:color="auto"/>
          </w:divBdr>
        </w:div>
        <w:div w:id="632058056">
          <w:marLeft w:val="547"/>
          <w:marRight w:val="0"/>
          <w:marTop w:val="120"/>
          <w:marBottom w:val="120"/>
          <w:divBdr>
            <w:top w:val="none" w:sz="0" w:space="0" w:color="auto"/>
            <w:left w:val="none" w:sz="0" w:space="0" w:color="auto"/>
            <w:bottom w:val="none" w:sz="0" w:space="0" w:color="auto"/>
            <w:right w:val="none" w:sz="0" w:space="0" w:color="auto"/>
          </w:divBdr>
        </w:div>
        <w:div w:id="794834548">
          <w:marLeft w:val="547"/>
          <w:marRight w:val="0"/>
          <w:marTop w:val="120"/>
          <w:marBottom w:val="120"/>
          <w:divBdr>
            <w:top w:val="none" w:sz="0" w:space="0" w:color="auto"/>
            <w:left w:val="none" w:sz="0" w:space="0" w:color="auto"/>
            <w:bottom w:val="none" w:sz="0" w:space="0" w:color="auto"/>
            <w:right w:val="none" w:sz="0" w:space="0" w:color="auto"/>
          </w:divBdr>
        </w:div>
        <w:div w:id="878706832">
          <w:marLeft w:val="547"/>
          <w:marRight w:val="0"/>
          <w:marTop w:val="120"/>
          <w:marBottom w:val="120"/>
          <w:divBdr>
            <w:top w:val="none" w:sz="0" w:space="0" w:color="auto"/>
            <w:left w:val="none" w:sz="0" w:space="0" w:color="auto"/>
            <w:bottom w:val="none" w:sz="0" w:space="0" w:color="auto"/>
            <w:right w:val="none" w:sz="0" w:space="0" w:color="auto"/>
          </w:divBdr>
        </w:div>
        <w:div w:id="926429150">
          <w:marLeft w:val="547"/>
          <w:marRight w:val="0"/>
          <w:marTop w:val="120"/>
          <w:marBottom w:val="120"/>
          <w:divBdr>
            <w:top w:val="none" w:sz="0" w:space="0" w:color="auto"/>
            <w:left w:val="none" w:sz="0" w:space="0" w:color="auto"/>
            <w:bottom w:val="none" w:sz="0" w:space="0" w:color="auto"/>
            <w:right w:val="none" w:sz="0" w:space="0" w:color="auto"/>
          </w:divBdr>
        </w:div>
        <w:div w:id="1101493000">
          <w:marLeft w:val="547"/>
          <w:marRight w:val="0"/>
          <w:marTop w:val="120"/>
          <w:marBottom w:val="120"/>
          <w:divBdr>
            <w:top w:val="none" w:sz="0" w:space="0" w:color="auto"/>
            <w:left w:val="none" w:sz="0" w:space="0" w:color="auto"/>
            <w:bottom w:val="none" w:sz="0" w:space="0" w:color="auto"/>
            <w:right w:val="none" w:sz="0" w:space="0" w:color="auto"/>
          </w:divBdr>
        </w:div>
        <w:div w:id="1733382935">
          <w:marLeft w:val="547"/>
          <w:marRight w:val="0"/>
          <w:marTop w:val="120"/>
          <w:marBottom w:val="120"/>
          <w:divBdr>
            <w:top w:val="none" w:sz="0" w:space="0" w:color="auto"/>
            <w:left w:val="none" w:sz="0" w:space="0" w:color="auto"/>
            <w:bottom w:val="none" w:sz="0" w:space="0" w:color="auto"/>
            <w:right w:val="none" w:sz="0" w:space="0" w:color="auto"/>
          </w:divBdr>
        </w:div>
        <w:div w:id="2141342990">
          <w:marLeft w:val="547"/>
          <w:marRight w:val="0"/>
          <w:marTop w:val="120"/>
          <w:marBottom w:val="120"/>
          <w:divBdr>
            <w:top w:val="none" w:sz="0" w:space="0" w:color="auto"/>
            <w:left w:val="none" w:sz="0" w:space="0" w:color="auto"/>
            <w:bottom w:val="none" w:sz="0" w:space="0" w:color="auto"/>
            <w:right w:val="none" w:sz="0" w:space="0" w:color="auto"/>
          </w:divBdr>
        </w:div>
      </w:divsChild>
    </w:div>
    <w:div w:id="1722510417">
      <w:bodyDiv w:val="1"/>
      <w:marLeft w:val="0"/>
      <w:marRight w:val="0"/>
      <w:marTop w:val="0"/>
      <w:marBottom w:val="0"/>
      <w:divBdr>
        <w:top w:val="none" w:sz="0" w:space="0" w:color="auto"/>
        <w:left w:val="none" w:sz="0" w:space="0" w:color="auto"/>
        <w:bottom w:val="none" w:sz="0" w:space="0" w:color="auto"/>
        <w:right w:val="none" w:sz="0" w:space="0" w:color="auto"/>
      </w:divBdr>
      <w:divsChild>
        <w:div w:id="1910530911">
          <w:marLeft w:val="547"/>
          <w:marRight w:val="0"/>
          <w:marTop w:val="0"/>
          <w:marBottom w:val="0"/>
          <w:divBdr>
            <w:top w:val="none" w:sz="0" w:space="0" w:color="auto"/>
            <w:left w:val="none" w:sz="0" w:space="0" w:color="auto"/>
            <w:bottom w:val="none" w:sz="0" w:space="0" w:color="auto"/>
            <w:right w:val="none" w:sz="0" w:space="0" w:color="auto"/>
          </w:divBdr>
        </w:div>
      </w:divsChild>
    </w:div>
    <w:div w:id="2108959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mailto:jorge.medina@fidaoccidente.org" TargetMode="External"/><Relationship Id="rId21" Type="http://schemas.openxmlformats.org/officeDocument/2006/relationships/image" Target="media/image12.jpeg"/><Relationship Id="rId42" Type="http://schemas.openxmlformats.org/officeDocument/2006/relationships/image" Target="media/image32.png"/><Relationship Id="rId47" Type="http://schemas.openxmlformats.org/officeDocument/2006/relationships/diagramQuickStyle" Target="diagrams/quickStyle1.xml"/><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emf"/><Relationship Id="rId89" Type="http://schemas.openxmlformats.org/officeDocument/2006/relationships/image" Target="media/image66.emf"/><Relationship Id="rId112" Type="http://schemas.openxmlformats.org/officeDocument/2006/relationships/image" Target="media/image88.emf"/><Relationship Id="rId133"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83.emf"/><Relationship Id="rId11" Type="http://schemas.openxmlformats.org/officeDocument/2006/relationships/image" Target="media/image2.png"/><Relationship Id="rId32" Type="http://schemas.openxmlformats.org/officeDocument/2006/relationships/image" Target="media/image22.emf"/><Relationship Id="rId37" Type="http://schemas.openxmlformats.org/officeDocument/2006/relationships/image" Target="media/image27.jpeg"/><Relationship Id="rId53" Type="http://schemas.openxmlformats.org/officeDocument/2006/relationships/hyperlink" Target="http://www.conap.gob.gt/biodiversidad/guatemala-pais-megadiverso/la-megadiversidad-de-guatemala" TargetMode="External"/><Relationship Id="rId58" Type="http://schemas.openxmlformats.org/officeDocument/2006/relationships/hyperlink" Target="http://www.segeplan.gob.gt/2.0/index.php?option=com_content&amp;view=article&amp;id=406:politicas-publicas&amp;catid=14:politicas-publicas&amp;Itemid=49" TargetMode="External"/><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8.png"/><Relationship Id="rId123" Type="http://schemas.openxmlformats.org/officeDocument/2006/relationships/hyperlink" Target="mailto:danilocarba@gmail.com" TargetMode="External"/><Relationship Id="rId128" Type="http://schemas.openxmlformats.org/officeDocument/2006/relationships/hyperlink" Target="mailto:jcmendez@gmail.com" TargetMode="External"/><Relationship Id="rId5" Type="http://schemas.openxmlformats.org/officeDocument/2006/relationships/settings" Target="settings.xml"/><Relationship Id="rId90" Type="http://schemas.openxmlformats.org/officeDocument/2006/relationships/image" Target="media/image67.emf"/><Relationship Id="rId95" Type="http://schemas.openxmlformats.org/officeDocument/2006/relationships/image" Target="media/image71.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chart" Target="charts/chart1.xml"/><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3.jpeg"/><Relationship Id="rId48" Type="http://schemas.openxmlformats.org/officeDocument/2006/relationships/diagramColors" Target="diagrams/colors1.xml"/><Relationship Id="rId56" Type="http://schemas.openxmlformats.org/officeDocument/2006/relationships/hyperlink" Target="http://www.indexmundi.com/es/guatemala/poblacion_perfil.html" TargetMode="External"/><Relationship Id="rId64" Type="http://schemas.openxmlformats.org/officeDocument/2006/relationships/image" Target="media/image41.emf"/><Relationship Id="rId69" Type="http://schemas.openxmlformats.org/officeDocument/2006/relationships/image" Target="media/image46.png"/><Relationship Id="rId77" Type="http://schemas.openxmlformats.org/officeDocument/2006/relationships/image" Target="media/image54.emf"/><Relationship Id="rId100" Type="http://schemas.openxmlformats.org/officeDocument/2006/relationships/image" Target="media/image76.png"/><Relationship Id="rId105" Type="http://schemas.openxmlformats.org/officeDocument/2006/relationships/image" Target="media/image81.emf"/><Relationship Id="rId113" Type="http://schemas.openxmlformats.org/officeDocument/2006/relationships/image" Target="media/image89.emf"/><Relationship Id="rId118" Type="http://schemas.openxmlformats.org/officeDocument/2006/relationships/hyperlink" Target="mailto:orlando.queme@fidaoccidente.org" TargetMode="External"/><Relationship Id="rId126" Type="http://schemas.openxmlformats.org/officeDocument/2006/relationships/hyperlink" Target="mailto:orgden.rodas@pfnguate.org" TargetMode="External"/><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emf"/><Relationship Id="rId93" Type="http://schemas.openxmlformats.org/officeDocument/2006/relationships/image" Target="media/image69.emf"/><Relationship Id="rId98" Type="http://schemas.openxmlformats.org/officeDocument/2006/relationships/image" Target="media/image74.emf"/><Relationship Id="rId121" Type="http://schemas.openxmlformats.org/officeDocument/2006/relationships/hyperlink" Target="mailto:mynor.dmm@funcafe.or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emf"/><Relationship Id="rId46" Type="http://schemas.openxmlformats.org/officeDocument/2006/relationships/diagramLayout" Target="diagrams/layout1.xml"/><Relationship Id="rId59" Type="http://schemas.openxmlformats.org/officeDocument/2006/relationships/image" Target="media/image36.png"/><Relationship Id="rId67" Type="http://schemas.openxmlformats.org/officeDocument/2006/relationships/image" Target="media/image44.emf"/><Relationship Id="rId103" Type="http://schemas.openxmlformats.org/officeDocument/2006/relationships/image" Target="media/image79.png"/><Relationship Id="rId108" Type="http://schemas.openxmlformats.org/officeDocument/2006/relationships/image" Target="media/image84.emf"/><Relationship Id="rId116" Type="http://schemas.openxmlformats.org/officeDocument/2006/relationships/hyperlink" Target="mailto:v.cardona.fida@gmail.com" TargetMode="External"/><Relationship Id="rId124" Type="http://schemas.openxmlformats.org/officeDocument/2006/relationships/hyperlink" Target="mailto:german.gonzalez@sesan.gob.gt" TargetMode="External"/><Relationship Id="rId129" Type="http://schemas.openxmlformats.org/officeDocument/2006/relationships/hyperlink" Target="mailto:carlos.urizar@agexport.org" TargetMode="Externa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hyperlink" Target="http://www.fao.org/fi/fcp/es/GTM/" TargetMode="External"/><Relationship Id="rId62" Type="http://schemas.openxmlformats.org/officeDocument/2006/relationships/image" Target="media/image39.emf"/><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jpeg"/><Relationship Id="rId88" Type="http://schemas.openxmlformats.org/officeDocument/2006/relationships/image" Target="media/image65.emf"/><Relationship Id="rId91" Type="http://schemas.openxmlformats.org/officeDocument/2006/relationships/image" Target="media/image68.emf"/><Relationship Id="rId96" Type="http://schemas.openxmlformats.org/officeDocument/2006/relationships/image" Target="media/image72.png"/><Relationship Id="rId111" Type="http://schemas.openxmlformats.org/officeDocument/2006/relationships/image" Target="media/image87.emf"/><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6.jpeg"/><Relationship Id="rId49" Type="http://schemas.microsoft.com/office/2007/relationships/diagramDrawing" Target="diagrams/drawing1.xml"/><Relationship Id="rId57" Type="http://schemas.openxmlformats.org/officeDocument/2006/relationships/hyperlink" Target="http://www.foodfirst.org/files/bookstore/pdf/promisedland/1.pdf" TargetMode="External"/><Relationship Id="rId106" Type="http://schemas.openxmlformats.org/officeDocument/2006/relationships/image" Target="media/image82.emf"/><Relationship Id="rId114" Type="http://schemas.openxmlformats.org/officeDocument/2006/relationships/image" Target="media/image90.emf"/><Relationship Id="rId119" Type="http://schemas.openxmlformats.org/officeDocument/2006/relationships/hyperlink" Target="mailto:jlopez@catie.ac.cr" TargetMode="External"/><Relationship Id="rId127" Type="http://schemas.openxmlformats.org/officeDocument/2006/relationships/hyperlink" Target="mailto:wmendez@hotmail.com" TargetMode="External"/><Relationship Id="rId10" Type="http://schemas.openxmlformats.org/officeDocument/2006/relationships/image" Target="media/image1.em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amsa.gob.gt/blog/?p=1633" TargetMode="External"/><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hyperlink" Target="mailto:arana.heber@yahoo.com" TargetMode="External"/><Relationship Id="rId130" Type="http://schemas.openxmlformats.org/officeDocument/2006/relationships/hyperlink" Target="mailto:selvinsantizo@gmail.com" TargetMode="Externa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85.png"/><Relationship Id="rId34" Type="http://schemas.openxmlformats.org/officeDocument/2006/relationships/image" Target="media/image24.emf"/><Relationship Id="rId50" Type="http://schemas.openxmlformats.org/officeDocument/2006/relationships/comments" Target="comments.xml"/><Relationship Id="rId55" Type="http://schemas.openxmlformats.org/officeDocument/2006/relationships/hyperlink" Target="http://plazapublica.com.gt/plazapublica/index.php?option=com_content&amp;view=article&amp;id=447:deforestacion-incontenible&amp;catid=35:segunda&amp;ltemid=72" TargetMode="External"/><Relationship Id="rId76" Type="http://schemas.openxmlformats.org/officeDocument/2006/relationships/image" Target="media/image53.png"/><Relationship Id="rId97" Type="http://schemas.openxmlformats.org/officeDocument/2006/relationships/image" Target="media/image73.emf"/><Relationship Id="rId104" Type="http://schemas.openxmlformats.org/officeDocument/2006/relationships/image" Target="media/image80.emf"/><Relationship Id="rId120" Type="http://schemas.openxmlformats.org/officeDocument/2006/relationships/hyperlink" Target="mailto:arnoldo.mc@anacaf&#233;.org" TargetMode="External"/><Relationship Id="rId125" Type="http://schemas.openxmlformats.org/officeDocument/2006/relationships/hyperlink" Target="mailto:arevolorio@inab.gob.gt" TargetMode="External"/><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hyperlink" Target="http:///www.sica.int/sirsan"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diagramData" Target="diagrams/data1.xml"/><Relationship Id="rId66" Type="http://schemas.openxmlformats.org/officeDocument/2006/relationships/image" Target="media/image43.png"/><Relationship Id="rId87" Type="http://schemas.openxmlformats.org/officeDocument/2006/relationships/image" Target="media/image64.emf"/><Relationship Id="rId110" Type="http://schemas.openxmlformats.org/officeDocument/2006/relationships/image" Target="media/image86.emf"/><Relationship Id="rId115" Type="http://schemas.openxmlformats.org/officeDocument/2006/relationships/hyperlink" Target="mailto:rlemus.fida@gmail.com" TargetMode="External"/><Relationship Id="rId131" Type="http://schemas.openxmlformats.org/officeDocument/2006/relationships/hyperlink" Target="mailto:j.leivaperez@global-mechanism.org" TargetMode="External"/><Relationship Id="rId61" Type="http://schemas.openxmlformats.org/officeDocument/2006/relationships/image" Target="media/image38.emf"/><Relationship Id="rId82" Type="http://schemas.openxmlformats.org/officeDocument/2006/relationships/image" Target="media/image59.emf"/><Relationship Id="rId19" Type="http://schemas.openxmlformats.org/officeDocument/2006/relationships/image" Target="media/image10.jpeg"/></Relationships>
</file>

<file path=word/charts/_rels/chart1.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Si</c:v>
          </c:tx>
          <c:spPr>
            <a:solidFill>
              <a:schemeClr val="tx2">
                <a:lumMod val="75000"/>
              </a:schemeClr>
            </a:solidFill>
            <a:ln>
              <a:solidFill>
                <a:srgbClr val="4F81BD"/>
              </a:solidFill>
            </a:ln>
          </c:spPr>
          <c:invertIfNegative val="0"/>
          <c:cat>
            <c:strRef>
              <c:f>Sheet2!$C$22:$C$26</c:f>
              <c:strCache>
                <c:ptCount val="5"/>
                <c:pt idx="0">
                  <c:v>Sequia</c:v>
                </c:pt>
                <c:pt idx="1">
                  <c:v>Heladas</c:v>
                </c:pt>
                <c:pt idx="2">
                  <c:v>Vientos</c:v>
                </c:pt>
                <c:pt idx="3">
                  <c:v>Granizo</c:v>
                </c:pt>
                <c:pt idx="4">
                  <c:v>Deslaves</c:v>
                </c:pt>
              </c:strCache>
            </c:strRef>
          </c:cat>
          <c:val>
            <c:numRef>
              <c:f>Sheet2!$D$22:$D$26</c:f>
              <c:numCache>
                <c:formatCode>General</c:formatCode>
                <c:ptCount val="5"/>
                <c:pt idx="0">
                  <c:v>41</c:v>
                </c:pt>
                <c:pt idx="1">
                  <c:v>88</c:v>
                </c:pt>
                <c:pt idx="2">
                  <c:v>80</c:v>
                </c:pt>
                <c:pt idx="3">
                  <c:v>60</c:v>
                </c:pt>
                <c:pt idx="4">
                  <c:v>8</c:v>
                </c:pt>
              </c:numCache>
            </c:numRef>
          </c:val>
        </c:ser>
        <c:ser>
          <c:idx val="1"/>
          <c:order val="1"/>
          <c:tx>
            <c:v>No</c:v>
          </c:tx>
          <c:spPr>
            <a:solidFill>
              <a:schemeClr val="tx2">
                <a:lumMod val="40000"/>
                <a:lumOff val="60000"/>
              </a:schemeClr>
            </a:solidFill>
            <a:ln>
              <a:solidFill>
                <a:schemeClr val="tx2">
                  <a:lumMod val="60000"/>
                  <a:lumOff val="40000"/>
                </a:schemeClr>
              </a:solidFill>
            </a:ln>
          </c:spPr>
          <c:invertIfNegative val="0"/>
          <c:cat>
            <c:strRef>
              <c:f>Sheet2!$C$22:$C$26</c:f>
              <c:strCache>
                <c:ptCount val="5"/>
                <c:pt idx="0">
                  <c:v>Sequia</c:v>
                </c:pt>
                <c:pt idx="1">
                  <c:v>Heladas</c:v>
                </c:pt>
                <c:pt idx="2">
                  <c:v>Vientos</c:v>
                </c:pt>
                <c:pt idx="3">
                  <c:v>Granizo</c:v>
                </c:pt>
                <c:pt idx="4">
                  <c:v>Deslaves</c:v>
                </c:pt>
              </c:strCache>
            </c:strRef>
          </c:cat>
          <c:val>
            <c:numRef>
              <c:f>Sheet2!$E$22:$E$26</c:f>
              <c:numCache>
                <c:formatCode>General</c:formatCode>
                <c:ptCount val="5"/>
                <c:pt idx="0">
                  <c:v>59</c:v>
                </c:pt>
                <c:pt idx="1">
                  <c:v>12</c:v>
                </c:pt>
                <c:pt idx="2">
                  <c:v>20</c:v>
                </c:pt>
                <c:pt idx="3">
                  <c:v>40</c:v>
                </c:pt>
                <c:pt idx="4">
                  <c:v>92</c:v>
                </c:pt>
              </c:numCache>
            </c:numRef>
          </c:val>
        </c:ser>
        <c:dLbls>
          <c:showLegendKey val="0"/>
          <c:showVal val="0"/>
          <c:showCatName val="0"/>
          <c:showSerName val="0"/>
          <c:showPercent val="0"/>
          <c:showBubbleSize val="0"/>
        </c:dLbls>
        <c:gapWidth val="150"/>
        <c:axId val="184105600"/>
        <c:axId val="184183040"/>
      </c:barChart>
      <c:catAx>
        <c:axId val="184105600"/>
        <c:scaling>
          <c:orientation val="minMax"/>
        </c:scaling>
        <c:delete val="0"/>
        <c:axPos val="b"/>
        <c:majorTickMark val="none"/>
        <c:minorTickMark val="none"/>
        <c:tickLblPos val="nextTo"/>
        <c:txPr>
          <a:bodyPr/>
          <a:lstStyle/>
          <a:p>
            <a:pPr>
              <a:defRPr b="1">
                <a:solidFill>
                  <a:schemeClr val="tx2">
                    <a:lumMod val="75000"/>
                  </a:schemeClr>
                </a:solidFill>
              </a:defRPr>
            </a:pPr>
            <a:endParaRPr lang="es-GT"/>
          </a:p>
        </c:txPr>
        <c:crossAx val="184183040"/>
        <c:crosses val="autoZero"/>
        <c:auto val="1"/>
        <c:lblAlgn val="ctr"/>
        <c:lblOffset val="100"/>
        <c:noMultiLvlLbl val="0"/>
      </c:catAx>
      <c:valAx>
        <c:axId val="184183040"/>
        <c:scaling>
          <c:orientation val="minMax"/>
        </c:scaling>
        <c:delete val="0"/>
        <c:axPos val="l"/>
        <c:majorGridlines>
          <c:spPr>
            <a:ln>
              <a:solidFill>
                <a:schemeClr val="bg1">
                  <a:lumMod val="65000"/>
                </a:schemeClr>
              </a:solidFill>
            </a:ln>
          </c:spPr>
        </c:majorGridlines>
        <c:title>
          <c:tx>
            <c:rich>
              <a:bodyPr/>
              <a:lstStyle/>
              <a:p>
                <a:pPr>
                  <a:defRPr b="0"/>
                </a:pPr>
                <a:r>
                  <a:rPr lang="es-GT" b="1">
                    <a:solidFill>
                      <a:schemeClr val="tx2">
                        <a:lumMod val="75000"/>
                      </a:schemeClr>
                    </a:solidFill>
                  </a:rPr>
                  <a:t>Porcentaje (%)</a:t>
                </a:r>
              </a:p>
            </c:rich>
          </c:tx>
          <c:overlay val="0"/>
        </c:title>
        <c:numFmt formatCode="General" sourceLinked="1"/>
        <c:majorTickMark val="out"/>
        <c:minorTickMark val="none"/>
        <c:tickLblPos val="nextTo"/>
        <c:txPr>
          <a:bodyPr/>
          <a:lstStyle/>
          <a:p>
            <a:pPr>
              <a:defRPr sz="900"/>
            </a:pPr>
            <a:endParaRPr lang="es-GT"/>
          </a:p>
        </c:txPr>
        <c:crossAx val="184105600"/>
        <c:crosses val="autoZero"/>
        <c:crossBetween val="between"/>
      </c:valAx>
      <c:spPr>
        <a:solidFill>
          <a:schemeClr val="accent1">
            <a:lumMod val="20000"/>
            <a:lumOff val="80000"/>
          </a:schemeClr>
        </a:solidFill>
      </c:spPr>
    </c:plotArea>
    <c:legend>
      <c:legendPos val="r"/>
      <c:overlay val="0"/>
    </c:legend>
    <c:plotVisOnly val="1"/>
    <c:dispBlanksAs val="gap"/>
    <c:showDLblsOverMax val="0"/>
  </c:chart>
  <c:spPr>
    <a:ln>
      <a:no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B5DFDE4-D57A-4F10-AC50-AC90F60999AE}"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GT"/>
        </a:p>
      </dgm:t>
    </dgm:pt>
    <dgm:pt modelId="{83F54728-7E2E-49E4-96F4-FB670F6C7E1D}">
      <dgm:prSet phldrT="[Texto]" custT="1"/>
      <dgm:spPr>
        <a:xfrm>
          <a:off x="0" y="45444"/>
          <a:ext cx="2078959" cy="89021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GT" sz="1200" b="1">
              <a:solidFill>
                <a:sysClr val="window" lastClr="FFFFFF"/>
              </a:solidFill>
              <a:latin typeface="Calibri"/>
              <a:ea typeface="+mn-ea"/>
              <a:cs typeface="+mn-cs"/>
            </a:rPr>
            <a:t>Pacto Hambre Cero </a:t>
          </a:r>
        </a:p>
        <a:p>
          <a:r>
            <a:rPr lang="es-GT" sz="1200" b="1">
              <a:solidFill>
                <a:sysClr val="window" lastClr="FFFFFF"/>
              </a:solidFill>
              <a:latin typeface="Calibri"/>
              <a:ea typeface="+mn-ea"/>
              <a:cs typeface="+mn-cs"/>
            </a:rPr>
            <a:t>(eje de inclusión social)</a:t>
          </a:r>
        </a:p>
      </dgm:t>
    </dgm:pt>
    <dgm:pt modelId="{40B8DA4F-DC5A-4A75-8AE8-B9FA0F17C2B7}" type="parTrans" cxnId="{081ACF9E-E9CD-4D03-88CB-6AC09A875022}">
      <dgm:prSet/>
      <dgm:spPr/>
      <dgm:t>
        <a:bodyPr/>
        <a:lstStyle/>
        <a:p>
          <a:endParaRPr lang="es-GT" sz="1200"/>
        </a:p>
      </dgm:t>
    </dgm:pt>
    <dgm:pt modelId="{80BF661F-AE28-47AB-AC60-A9B68B805279}" type="sibTrans" cxnId="{081ACF9E-E9CD-4D03-88CB-6AC09A875022}">
      <dgm:prSet/>
      <dgm:spPr/>
      <dgm:t>
        <a:bodyPr/>
        <a:lstStyle/>
        <a:p>
          <a:endParaRPr lang="es-GT" sz="1200"/>
        </a:p>
      </dgm:t>
    </dgm:pt>
    <dgm:pt modelId="{41A7803E-B199-43B7-9004-2DC7BED4B03E}">
      <dgm:prSet phldrT="[Texto]" custT="1"/>
      <dgm:spPr>
        <a:xfrm rot="5400000">
          <a:off x="3436578" y="-1279884"/>
          <a:ext cx="980689"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Cero hambre</a:t>
          </a:r>
        </a:p>
      </dgm:t>
    </dgm:pt>
    <dgm:pt modelId="{D73F5EE9-CDD9-4AE5-AF6B-10CF309B670D}" type="parTrans" cxnId="{4E88445E-BBB3-41DE-8A9C-21F0034F0F21}">
      <dgm:prSet/>
      <dgm:spPr/>
      <dgm:t>
        <a:bodyPr/>
        <a:lstStyle/>
        <a:p>
          <a:endParaRPr lang="es-GT" sz="1200"/>
        </a:p>
      </dgm:t>
    </dgm:pt>
    <dgm:pt modelId="{C7584625-4FC7-4711-AFC0-5311ED9DAFEA}" type="sibTrans" cxnId="{4E88445E-BBB3-41DE-8A9C-21F0034F0F21}">
      <dgm:prSet/>
      <dgm:spPr/>
      <dgm:t>
        <a:bodyPr/>
        <a:lstStyle/>
        <a:p>
          <a:endParaRPr lang="es-GT" sz="1200"/>
        </a:p>
      </dgm:t>
    </dgm:pt>
    <dgm:pt modelId="{5400852F-792E-462B-9643-67CFD95C4279}">
      <dgm:prSet phldrT="[Texto]" custT="1"/>
      <dgm:spPr>
        <a:xfrm rot="5400000">
          <a:off x="3436578" y="-1279884"/>
          <a:ext cx="980689"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Jóvenes protagonistas</a:t>
          </a:r>
        </a:p>
      </dgm:t>
    </dgm:pt>
    <dgm:pt modelId="{1CD27E6A-A632-488F-90A6-59EFBB2657A0}" type="parTrans" cxnId="{A0462271-DF12-415C-912E-7B89DAA3E767}">
      <dgm:prSet/>
      <dgm:spPr/>
      <dgm:t>
        <a:bodyPr/>
        <a:lstStyle/>
        <a:p>
          <a:endParaRPr lang="es-GT" sz="1200"/>
        </a:p>
      </dgm:t>
    </dgm:pt>
    <dgm:pt modelId="{773367CA-3F29-4CA3-9997-0CEB8C788AF1}" type="sibTrans" cxnId="{A0462271-DF12-415C-912E-7B89DAA3E767}">
      <dgm:prSet/>
      <dgm:spPr/>
      <dgm:t>
        <a:bodyPr/>
        <a:lstStyle/>
        <a:p>
          <a:endParaRPr lang="es-GT" sz="1200"/>
        </a:p>
      </dgm:t>
    </dgm:pt>
    <dgm:pt modelId="{42D734C7-5F31-45E2-87D2-AE4A59B9FEA4}">
      <dgm:prSet phldrT="[Texto]" custT="1"/>
      <dgm:spPr>
        <a:xfrm>
          <a:off x="0" y="1049130"/>
          <a:ext cx="2078959" cy="89021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GT" sz="1200" b="1">
              <a:solidFill>
                <a:sysClr val="window" lastClr="FFFFFF"/>
              </a:solidFill>
              <a:latin typeface="Calibri"/>
              <a:ea typeface="+mn-ea"/>
              <a:cs typeface="+mn-cs"/>
            </a:rPr>
            <a:t>Pacto Fiscal y de Competitividad </a:t>
          </a:r>
        </a:p>
        <a:p>
          <a:r>
            <a:rPr lang="es-GT" sz="1200" b="1">
              <a:solidFill>
                <a:sysClr val="window" lastClr="FFFFFF"/>
              </a:solidFill>
              <a:latin typeface="Calibri"/>
              <a:ea typeface="+mn-ea"/>
              <a:cs typeface="+mn-cs"/>
            </a:rPr>
            <a:t>(Eje de Desarrollo Económico Competitivo)</a:t>
          </a:r>
        </a:p>
      </dgm:t>
    </dgm:pt>
    <dgm:pt modelId="{94CE1FDC-4622-46A7-A4E4-D3EC81746BAE}" type="parTrans" cxnId="{2AB41448-214F-4771-8283-9D962B101E4F}">
      <dgm:prSet/>
      <dgm:spPr/>
      <dgm:t>
        <a:bodyPr/>
        <a:lstStyle/>
        <a:p>
          <a:endParaRPr lang="es-GT" sz="1200"/>
        </a:p>
      </dgm:t>
    </dgm:pt>
    <dgm:pt modelId="{C3C086EC-52A4-47EE-94A2-5B56FB7CA104}" type="sibTrans" cxnId="{2AB41448-214F-4771-8283-9D962B101E4F}">
      <dgm:prSet/>
      <dgm:spPr/>
      <dgm:t>
        <a:bodyPr/>
        <a:lstStyle/>
        <a:p>
          <a:endParaRPr lang="es-GT" sz="1200"/>
        </a:p>
      </dgm:t>
    </dgm:pt>
    <dgm:pt modelId="{51C34976-9328-49EA-8D76-3CA4AF386289}">
      <dgm:prSet phldrT="[Texto]" custT="1"/>
      <dgm:spPr>
        <a:xfrm rot="5400000">
          <a:off x="3458093" y="-276697"/>
          <a:ext cx="937660"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Un país competitivo</a:t>
          </a:r>
        </a:p>
      </dgm:t>
    </dgm:pt>
    <dgm:pt modelId="{6226137A-705F-4924-83A6-BD26E1138F6D}" type="parTrans" cxnId="{274F915A-F40F-4991-8BD3-29765598CBFC}">
      <dgm:prSet/>
      <dgm:spPr/>
      <dgm:t>
        <a:bodyPr/>
        <a:lstStyle/>
        <a:p>
          <a:endParaRPr lang="es-GT" sz="1200"/>
        </a:p>
      </dgm:t>
    </dgm:pt>
    <dgm:pt modelId="{3AD1CEB9-B5DC-45CC-A7BA-873757D8E5E3}" type="sibTrans" cxnId="{274F915A-F40F-4991-8BD3-29765598CBFC}">
      <dgm:prSet/>
      <dgm:spPr/>
      <dgm:t>
        <a:bodyPr/>
        <a:lstStyle/>
        <a:p>
          <a:endParaRPr lang="es-GT" sz="1200"/>
        </a:p>
      </dgm:t>
    </dgm:pt>
    <dgm:pt modelId="{3F2B0CB2-5FE0-4D3E-9C1F-C5D62323EB69}">
      <dgm:prSet phldrT="[Texto]" custT="1"/>
      <dgm:spPr>
        <a:xfrm rot="5400000">
          <a:off x="3458093" y="-276697"/>
          <a:ext cx="937660"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Ambiente y desarrollo </a:t>
          </a:r>
        </a:p>
      </dgm:t>
    </dgm:pt>
    <dgm:pt modelId="{B69ED117-9F30-4120-AFA4-97882F053219}" type="parTrans" cxnId="{3339A6AE-983A-4076-AF47-13B31EE455A7}">
      <dgm:prSet/>
      <dgm:spPr/>
      <dgm:t>
        <a:bodyPr/>
        <a:lstStyle/>
        <a:p>
          <a:endParaRPr lang="es-GT" sz="1200"/>
        </a:p>
      </dgm:t>
    </dgm:pt>
    <dgm:pt modelId="{D6AC04FA-D60C-4596-BE45-F24CA4A9E41F}" type="sibTrans" cxnId="{3339A6AE-983A-4076-AF47-13B31EE455A7}">
      <dgm:prSet/>
      <dgm:spPr/>
      <dgm:t>
        <a:bodyPr/>
        <a:lstStyle/>
        <a:p>
          <a:endParaRPr lang="es-GT" sz="1200"/>
        </a:p>
      </dgm:t>
    </dgm:pt>
    <dgm:pt modelId="{6357E0A6-AAF4-4BD9-A615-AD85F24693A9}">
      <dgm:prSet phldrT="[Texto]" custT="1"/>
      <dgm:spPr>
        <a:xfrm>
          <a:off x="0" y="2007578"/>
          <a:ext cx="2080991" cy="89021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GT" sz="1200" b="1" dirty="0" smtClean="0">
              <a:solidFill>
                <a:sysClr val="window" lastClr="FFFFFF"/>
              </a:solidFill>
              <a:latin typeface="Calibri"/>
              <a:ea typeface="+mn-ea"/>
              <a:cs typeface="+mn-cs"/>
            </a:rPr>
            <a:t>Eje de Infraestructura Productiva y Social para el Desarrollo</a:t>
          </a:r>
          <a:endParaRPr lang="es-GT" sz="1200">
            <a:solidFill>
              <a:sysClr val="window" lastClr="FFFFFF"/>
            </a:solidFill>
            <a:latin typeface="Calibri"/>
            <a:ea typeface="+mn-ea"/>
            <a:cs typeface="+mn-cs"/>
          </a:endParaRPr>
        </a:p>
      </dgm:t>
    </dgm:pt>
    <dgm:pt modelId="{F68255B5-A4DF-4AAA-9EAF-6C394AEA96FB}" type="parTrans" cxnId="{2DE1908B-A9B9-45FD-B69D-8B9BF73E3599}">
      <dgm:prSet/>
      <dgm:spPr/>
      <dgm:t>
        <a:bodyPr/>
        <a:lstStyle/>
        <a:p>
          <a:endParaRPr lang="es-GT" sz="1200"/>
        </a:p>
      </dgm:t>
    </dgm:pt>
    <dgm:pt modelId="{4AE98EE2-A075-4F7E-9C33-A3834226D3E8}" type="sibTrans" cxnId="{2DE1908B-A9B9-45FD-B69D-8B9BF73E3599}">
      <dgm:prSet/>
      <dgm:spPr/>
      <dgm:t>
        <a:bodyPr/>
        <a:lstStyle/>
        <a:p>
          <a:endParaRPr lang="es-GT" sz="1200"/>
        </a:p>
      </dgm:t>
    </dgm:pt>
    <dgm:pt modelId="{C94C40EB-A361-430C-8FF0-9B8597F2C482}">
      <dgm:prSet phldrT="[Texto]" custT="1"/>
      <dgm:spPr>
        <a:xfrm rot="5400000">
          <a:off x="3555941" y="679944"/>
          <a:ext cx="749639" cy="3699540"/>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Infraestructura social para una mejor calidad de vida</a:t>
          </a:r>
        </a:p>
      </dgm:t>
    </dgm:pt>
    <dgm:pt modelId="{C1827052-60E1-471A-823B-FC0D400972CC}" type="parTrans" cxnId="{0899BA00-2E51-495F-9F1E-84A8E196BB86}">
      <dgm:prSet/>
      <dgm:spPr/>
      <dgm:t>
        <a:bodyPr/>
        <a:lstStyle/>
        <a:p>
          <a:endParaRPr lang="es-GT" sz="1200"/>
        </a:p>
      </dgm:t>
    </dgm:pt>
    <dgm:pt modelId="{40751000-6EE5-49F7-9B74-90C07B420A92}" type="sibTrans" cxnId="{0899BA00-2E51-495F-9F1E-84A8E196BB86}">
      <dgm:prSet/>
      <dgm:spPr/>
      <dgm:t>
        <a:bodyPr/>
        <a:lstStyle/>
        <a:p>
          <a:endParaRPr lang="es-GT" sz="1200"/>
        </a:p>
      </dgm:t>
    </dgm:pt>
    <dgm:pt modelId="{860AF774-7C4C-45F9-8AE5-D34BECA94B23}">
      <dgm:prSet phldrT="[Texto]" custT="1"/>
      <dgm:spPr>
        <a:xfrm rot="5400000">
          <a:off x="3555941" y="679944"/>
          <a:ext cx="749639" cy="3699540"/>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Electricidad para todos</a:t>
          </a:r>
        </a:p>
      </dgm:t>
    </dgm:pt>
    <dgm:pt modelId="{5AA51653-CCBD-4706-85D9-7A650D8944E3}" type="parTrans" cxnId="{E207A964-114D-4CC8-B8F7-FCE06E511FD1}">
      <dgm:prSet/>
      <dgm:spPr/>
      <dgm:t>
        <a:bodyPr/>
        <a:lstStyle/>
        <a:p>
          <a:endParaRPr lang="es-GT" sz="1200"/>
        </a:p>
      </dgm:t>
    </dgm:pt>
    <dgm:pt modelId="{A57DF8A3-D723-468F-8B0F-6FD19829D41F}" type="sibTrans" cxnId="{E207A964-114D-4CC8-B8F7-FCE06E511FD1}">
      <dgm:prSet/>
      <dgm:spPr/>
      <dgm:t>
        <a:bodyPr/>
        <a:lstStyle/>
        <a:p>
          <a:endParaRPr lang="es-GT" sz="1200"/>
        </a:p>
      </dgm:t>
    </dgm:pt>
    <dgm:pt modelId="{92B6AA03-3AE3-4265-BCDD-7675EE1954BD}">
      <dgm:prSet phldrT="[Texto]" custT="1"/>
      <dgm:spPr>
        <a:xfrm>
          <a:off x="0" y="2982121"/>
          <a:ext cx="2078959" cy="89021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GT" sz="1200" b="1" dirty="0" smtClean="0">
              <a:solidFill>
                <a:sysClr val="window" lastClr="FFFFFF"/>
              </a:solidFill>
              <a:latin typeface="Calibri"/>
              <a:ea typeface="+mn-ea"/>
              <a:cs typeface="+mn-cs"/>
            </a:rPr>
            <a:t>Eje de Desarrollo Rural Sostenible</a:t>
          </a:r>
          <a:endParaRPr lang="es-GT" sz="1200">
            <a:solidFill>
              <a:sysClr val="window" lastClr="FFFFFF"/>
            </a:solidFill>
            <a:latin typeface="Calibri"/>
            <a:ea typeface="+mn-ea"/>
            <a:cs typeface="+mn-cs"/>
          </a:endParaRPr>
        </a:p>
      </dgm:t>
    </dgm:pt>
    <dgm:pt modelId="{CCF158F1-78C3-4107-9742-2F041C18DFAC}" type="parTrans" cxnId="{3028BEA9-D90D-4F46-99E0-8499793D1B19}">
      <dgm:prSet/>
      <dgm:spPr/>
      <dgm:t>
        <a:bodyPr/>
        <a:lstStyle/>
        <a:p>
          <a:endParaRPr lang="es-GT" sz="1200"/>
        </a:p>
      </dgm:t>
    </dgm:pt>
    <dgm:pt modelId="{81D792E4-4A09-4A5F-8BFD-0B172AA77550}" type="sibTrans" cxnId="{3028BEA9-D90D-4F46-99E0-8499793D1B19}">
      <dgm:prSet/>
      <dgm:spPr/>
      <dgm:t>
        <a:bodyPr/>
        <a:lstStyle/>
        <a:p>
          <a:endParaRPr lang="es-GT" sz="1200"/>
        </a:p>
      </dgm:t>
    </dgm:pt>
    <dgm:pt modelId="{F7C29C61-E56D-4B6D-8BE9-7D20B3629926}">
      <dgm:prSet phldrT="[Texto]" custT="1"/>
      <dgm:spPr>
        <a:xfrm rot="5400000">
          <a:off x="3441997" y="1579265"/>
          <a:ext cx="969850"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Ingreso rural, subsistencia y encadenamientos productivos</a:t>
          </a:r>
        </a:p>
      </dgm:t>
    </dgm:pt>
    <dgm:pt modelId="{0D117C78-B531-4AEF-9A8D-B3BFB1BD9540}" type="parTrans" cxnId="{72CA8514-EEF3-462E-AA48-D6CAE7BC189B}">
      <dgm:prSet/>
      <dgm:spPr/>
      <dgm:t>
        <a:bodyPr/>
        <a:lstStyle/>
        <a:p>
          <a:endParaRPr lang="es-GT" sz="1200"/>
        </a:p>
      </dgm:t>
    </dgm:pt>
    <dgm:pt modelId="{A16C55A0-7DF9-4437-B97C-8E135C78B2FF}" type="sibTrans" cxnId="{72CA8514-EEF3-462E-AA48-D6CAE7BC189B}">
      <dgm:prSet/>
      <dgm:spPr/>
      <dgm:t>
        <a:bodyPr/>
        <a:lstStyle/>
        <a:p>
          <a:endParaRPr lang="es-GT" sz="1200"/>
        </a:p>
      </dgm:t>
    </dgm:pt>
    <dgm:pt modelId="{B86ADC7A-FC66-408E-9C77-BF86080B734F}">
      <dgm:prSet phldrT="[Texto]" custT="1"/>
      <dgm:spPr>
        <a:xfrm rot="5400000">
          <a:off x="3436578" y="-1279884"/>
          <a:ext cx="980689"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Hogares saludables</a:t>
          </a:r>
        </a:p>
      </dgm:t>
    </dgm:pt>
    <dgm:pt modelId="{F0E952C4-5E40-404F-8C48-365F9CFD0085}" type="parTrans" cxnId="{9AAF4876-92D2-4F15-80CF-78B56132036D}">
      <dgm:prSet/>
      <dgm:spPr/>
      <dgm:t>
        <a:bodyPr/>
        <a:lstStyle/>
        <a:p>
          <a:endParaRPr lang="es-GT" sz="1200"/>
        </a:p>
      </dgm:t>
    </dgm:pt>
    <dgm:pt modelId="{66148221-D470-4F0E-BC1D-AA961C5869CD}" type="sibTrans" cxnId="{9AAF4876-92D2-4F15-80CF-78B56132036D}">
      <dgm:prSet/>
      <dgm:spPr/>
      <dgm:t>
        <a:bodyPr/>
        <a:lstStyle/>
        <a:p>
          <a:endParaRPr lang="es-GT" sz="1200"/>
        </a:p>
      </dgm:t>
    </dgm:pt>
    <dgm:pt modelId="{BEADF9DD-85CF-4B16-905B-BD5176013528}">
      <dgm:prSet phldrT="[Texto]" custT="1"/>
      <dgm:spPr>
        <a:xfrm rot="5400000">
          <a:off x="3436578" y="-1279884"/>
          <a:ext cx="980689"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Niñez preparada</a:t>
          </a:r>
        </a:p>
      </dgm:t>
    </dgm:pt>
    <dgm:pt modelId="{1DD73246-8CA5-4324-B941-034BD1E5528D}" type="parTrans" cxnId="{3C48748F-1D00-47DB-A134-EC6DA5C2AD18}">
      <dgm:prSet/>
      <dgm:spPr/>
      <dgm:t>
        <a:bodyPr/>
        <a:lstStyle/>
        <a:p>
          <a:endParaRPr lang="es-GT" sz="1200"/>
        </a:p>
      </dgm:t>
    </dgm:pt>
    <dgm:pt modelId="{984B9703-50DD-4874-8E9A-9F3561004938}" type="sibTrans" cxnId="{3C48748F-1D00-47DB-A134-EC6DA5C2AD18}">
      <dgm:prSet/>
      <dgm:spPr/>
      <dgm:t>
        <a:bodyPr/>
        <a:lstStyle/>
        <a:p>
          <a:endParaRPr lang="es-GT" sz="1200"/>
        </a:p>
      </dgm:t>
    </dgm:pt>
    <dgm:pt modelId="{9A6D329A-90E3-41E8-AA27-B12B6A7F30C0}">
      <dgm:prSet phldrT="[Texto]" custT="1"/>
      <dgm:spPr>
        <a:xfrm rot="5400000">
          <a:off x="3436578" y="-1279884"/>
          <a:ext cx="980689"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Familias seguras</a:t>
          </a:r>
        </a:p>
      </dgm:t>
    </dgm:pt>
    <dgm:pt modelId="{3D810921-2883-4CB2-B4C8-DC85140DB67F}" type="parTrans" cxnId="{3B8C4505-C44E-4A26-8B5F-3A5502F7EF40}">
      <dgm:prSet/>
      <dgm:spPr/>
      <dgm:t>
        <a:bodyPr/>
        <a:lstStyle/>
        <a:p>
          <a:endParaRPr lang="es-GT" sz="1200"/>
        </a:p>
      </dgm:t>
    </dgm:pt>
    <dgm:pt modelId="{5A80A848-F3D7-4506-B48F-20BD3085DDDF}" type="sibTrans" cxnId="{3B8C4505-C44E-4A26-8B5F-3A5502F7EF40}">
      <dgm:prSet/>
      <dgm:spPr/>
      <dgm:t>
        <a:bodyPr/>
        <a:lstStyle/>
        <a:p>
          <a:endParaRPr lang="es-GT" sz="1200"/>
        </a:p>
      </dgm:t>
    </dgm:pt>
    <dgm:pt modelId="{C040FB9E-B77F-4B4C-9674-A476AAFD50C7}">
      <dgm:prSet phldrT="[Texto]" custT="1"/>
      <dgm:spPr>
        <a:xfrm rot="5400000">
          <a:off x="3458093" y="-276697"/>
          <a:ext cx="937660"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Gestión macroeconómica estable y coherente que promueva el crecimiento</a:t>
          </a:r>
        </a:p>
      </dgm:t>
    </dgm:pt>
    <dgm:pt modelId="{3CFE9B09-809B-43AF-918E-8993B9CB65DB}" type="parTrans" cxnId="{962670DA-0611-4DE6-8516-5FB652B9A1E9}">
      <dgm:prSet/>
      <dgm:spPr/>
      <dgm:t>
        <a:bodyPr/>
        <a:lstStyle/>
        <a:p>
          <a:endParaRPr lang="es-GT"/>
        </a:p>
      </dgm:t>
    </dgm:pt>
    <dgm:pt modelId="{542B31EC-A100-460B-A46E-2C3524448B26}" type="sibTrans" cxnId="{962670DA-0611-4DE6-8516-5FB652B9A1E9}">
      <dgm:prSet/>
      <dgm:spPr/>
      <dgm:t>
        <a:bodyPr/>
        <a:lstStyle/>
        <a:p>
          <a:endParaRPr lang="es-GT"/>
        </a:p>
      </dgm:t>
    </dgm:pt>
    <dgm:pt modelId="{CC4C7C03-7A55-43B1-B33B-8F197955B0F6}">
      <dgm:prSet phldrT="[Texto]" custT="1"/>
      <dgm:spPr>
        <a:xfrm rot="5400000">
          <a:off x="3458093" y="-276697"/>
          <a:ext cx="937660"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El rescate del liderazgo  de Guatemala en el contexto centroamericano  y global</a:t>
          </a:r>
        </a:p>
      </dgm:t>
    </dgm:pt>
    <dgm:pt modelId="{769D4BB4-736B-4121-AF5F-68FF87BEFD11}" type="parTrans" cxnId="{567565ED-AD6E-44CF-A065-1967E93C0578}">
      <dgm:prSet/>
      <dgm:spPr/>
      <dgm:t>
        <a:bodyPr/>
        <a:lstStyle/>
        <a:p>
          <a:endParaRPr lang="es-GT"/>
        </a:p>
      </dgm:t>
    </dgm:pt>
    <dgm:pt modelId="{CD35E906-0009-4FB4-8A45-F1C91DC57033}" type="sibTrans" cxnId="{567565ED-AD6E-44CF-A065-1967E93C0578}">
      <dgm:prSet/>
      <dgm:spPr/>
      <dgm:t>
        <a:bodyPr/>
        <a:lstStyle/>
        <a:p>
          <a:endParaRPr lang="es-GT"/>
        </a:p>
      </dgm:t>
    </dgm:pt>
    <dgm:pt modelId="{29D82C50-1D11-41B5-8945-A4B1D3BC7424}">
      <dgm:prSet phldrT="[Texto]" custT="1"/>
      <dgm:spPr>
        <a:xfrm rot="5400000">
          <a:off x="3555941" y="679944"/>
          <a:ext cx="749639" cy="3699540"/>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Infraestructura productiva para el desarrollo local</a:t>
          </a:r>
        </a:p>
      </dgm:t>
    </dgm:pt>
    <dgm:pt modelId="{A08444C9-DDCA-43A2-A8FF-3F8C52D7C078}" type="parTrans" cxnId="{776BC885-119A-4BBB-9096-CF7FF4A8CAE6}">
      <dgm:prSet/>
      <dgm:spPr/>
      <dgm:t>
        <a:bodyPr/>
        <a:lstStyle/>
        <a:p>
          <a:endParaRPr lang="es-GT"/>
        </a:p>
      </dgm:t>
    </dgm:pt>
    <dgm:pt modelId="{FD6093BC-D7A8-4FFA-9BB3-E2BFFBB6F7C7}" type="sibTrans" cxnId="{776BC885-119A-4BBB-9096-CF7FF4A8CAE6}">
      <dgm:prSet/>
      <dgm:spPr/>
      <dgm:t>
        <a:bodyPr/>
        <a:lstStyle/>
        <a:p>
          <a:endParaRPr lang="es-GT"/>
        </a:p>
      </dgm:t>
    </dgm:pt>
    <dgm:pt modelId="{B6A41577-193F-470B-9E10-75D72EE5076C}">
      <dgm:prSet phldrT="[Texto]" custT="1"/>
      <dgm:spPr>
        <a:xfrm rot="5400000">
          <a:off x="3555941" y="679944"/>
          <a:ext cx="749639" cy="3699540"/>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Infraestructura productiva para un país competitivo</a:t>
          </a:r>
        </a:p>
      </dgm:t>
    </dgm:pt>
    <dgm:pt modelId="{6A230FED-5588-4529-9B1D-0A006BE5E3E6}" type="parTrans" cxnId="{880FC6C2-C6AE-45B3-AC83-F63609F9F3C4}">
      <dgm:prSet/>
      <dgm:spPr/>
      <dgm:t>
        <a:bodyPr/>
        <a:lstStyle/>
        <a:p>
          <a:endParaRPr lang="es-GT"/>
        </a:p>
      </dgm:t>
    </dgm:pt>
    <dgm:pt modelId="{111DA4BF-83EF-4E1C-9496-3AE9D9A30E03}" type="sibTrans" cxnId="{880FC6C2-C6AE-45B3-AC83-F63609F9F3C4}">
      <dgm:prSet/>
      <dgm:spPr/>
      <dgm:t>
        <a:bodyPr/>
        <a:lstStyle/>
        <a:p>
          <a:endParaRPr lang="es-GT"/>
        </a:p>
      </dgm:t>
    </dgm:pt>
    <dgm:pt modelId="{55C9CB98-3AF5-4042-8774-552CA73822BA}">
      <dgm:prSet phldrT="[Texto]" custT="1"/>
      <dgm:spPr>
        <a:xfrm rot="5400000">
          <a:off x="3441997" y="1579265"/>
          <a:ext cx="969850"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Recuperación de agua, suelo y bosque</a:t>
          </a:r>
        </a:p>
      </dgm:t>
    </dgm:pt>
    <dgm:pt modelId="{D80689AE-7401-4734-8DE9-4EB00A1EAD1C}" type="parTrans" cxnId="{CEDC29AF-6E92-4A6C-945D-8775E9F0B2A4}">
      <dgm:prSet/>
      <dgm:spPr/>
      <dgm:t>
        <a:bodyPr/>
        <a:lstStyle/>
        <a:p>
          <a:endParaRPr lang="es-GT"/>
        </a:p>
      </dgm:t>
    </dgm:pt>
    <dgm:pt modelId="{D2F3FA1E-C5DA-4888-9F3F-9166152187FA}" type="sibTrans" cxnId="{CEDC29AF-6E92-4A6C-945D-8775E9F0B2A4}">
      <dgm:prSet/>
      <dgm:spPr/>
      <dgm:t>
        <a:bodyPr/>
        <a:lstStyle/>
        <a:p>
          <a:endParaRPr lang="es-GT"/>
        </a:p>
      </dgm:t>
    </dgm:pt>
    <dgm:pt modelId="{A80DB0A6-EDFD-4314-8A2A-F572A1415174}">
      <dgm:prSet phldrT="[Texto]" custT="1"/>
      <dgm:spPr>
        <a:xfrm rot="5400000">
          <a:off x="3441997" y="1579265"/>
          <a:ext cx="969850"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Aprovechamiento de recursos naturales, para hoy y mañana</a:t>
          </a:r>
        </a:p>
      </dgm:t>
    </dgm:pt>
    <dgm:pt modelId="{BF9CBD64-AAC2-4577-AEC6-468B6AF454C3}" type="parTrans" cxnId="{30A7D7EE-E3FB-4312-9985-898060EEE418}">
      <dgm:prSet/>
      <dgm:spPr/>
      <dgm:t>
        <a:bodyPr/>
        <a:lstStyle/>
        <a:p>
          <a:endParaRPr lang="es-GT"/>
        </a:p>
      </dgm:t>
    </dgm:pt>
    <dgm:pt modelId="{8547143A-66CC-49ED-972C-05CD60826E8E}" type="sibTrans" cxnId="{30A7D7EE-E3FB-4312-9985-898060EEE418}">
      <dgm:prSet/>
      <dgm:spPr/>
      <dgm:t>
        <a:bodyPr/>
        <a:lstStyle/>
        <a:p>
          <a:endParaRPr lang="es-GT"/>
        </a:p>
      </dgm:t>
    </dgm:pt>
    <dgm:pt modelId="{068C6516-C43F-4A60-8409-701F7E39BE89}">
      <dgm:prSet phldrT="[Texto]" custT="1"/>
      <dgm:spPr>
        <a:xfrm rot="5400000">
          <a:off x="3441997" y="1579265"/>
          <a:ext cx="969850"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Ordenamiento territorial</a:t>
          </a:r>
        </a:p>
      </dgm:t>
    </dgm:pt>
    <dgm:pt modelId="{6072C301-A19A-404C-9D73-2F4A0F6BCC4A}" type="parTrans" cxnId="{3D05D476-31A4-4E50-91E6-22E211A1439A}">
      <dgm:prSet/>
      <dgm:spPr/>
      <dgm:t>
        <a:bodyPr/>
        <a:lstStyle/>
        <a:p>
          <a:endParaRPr lang="es-GT"/>
        </a:p>
      </dgm:t>
    </dgm:pt>
    <dgm:pt modelId="{C9EFF5C3-AA58-4D81-A4BF-6D69C4F5CDB6}" type="sibTrans" cxnId="{3D05D476-31A4-4E50-91E6-22E211A1439A}">
      <dgm:prSet/>
      <dgm:spPr/>
      <dgm:t>
        <a:bodyPr/>
        <a:lstStyle/>
        <a:p>
          <a:endParaRPr lang="es-GT"/>
        </a:p>
      </dgm:t>
    </dgm:pt>
    <dgm:pt modelId="{15C9AAAF-3A26-4C6E-BBC7-A8FEE2980B3F}">
      <dgm:prSet phldrT="[Texto]" custT="1"/>
      <dgm:spPr>
        <a:xfrm rot="5400000">
          <a:off x="3441997" y="1579265"/>
          <a:ext cx="969850"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Certeza jurídica</a:t>
          </a:r>
        </a:p>
      </dgm:t>
    </dgm:pt>
    <dgm:pt modelId="{DEBBF1DC-D5CE-4733-A03F-A9F33BFBA073}" type="parTrans" cxnId="{D6339C19-2FA1-4B26-A6BB-D63E4292369F}">
      <dgm:prSet/>
      <dgm:spPr/>
      <dgm:t>
        <a:bodyPr/>
        <a:lstStyle/>
        <a:p>
          <a:endParaRPr lang="es-GT"/>
        </a:p>
      </dgm:t>
    </dgm:pt>
    <dgm:pt modelId="{12601B91-C83E-4CDA-8F51-2097BC536AE2}" type="sibTrans" cxnId="{D6339C19-2FA1-4B26-A6BB-D63E4292369F}">
      <dgm:prSet/>
      <dgm:spPr/>
      <dgm:t>
        <a:bodyPr/>
        <a:lstStyle/>
        <a:p>
          <a:endParaRPr lang="es-GT"/>
        </a:p>
      </dgm:t>
    </dgm:pt>
    <dgm:pt modelId="{F67E4B3F-6025-4A0D-9106-BBD600D86DA1}">
      <dgm:prSet phldrT="[Texto]" custT="1"/>
      <dgm:spPr>
        <a:xfrm rot="5400000">
          <a:off x="3436578" y="-1279884"/>
          <a:ext cx="980689" cy="3695927"/>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GT" sz="1000">
              <a:solidFill>
                <a:sysClr val="windowText" lastClr="000000">
                  <a:hueOff val="0"/>
                  <a:satOff val="0"/>
                  <a:lumOff val="0"/>
                  <a:alphaOff val="0"/>
                </a:sysClr>
              </a:solidFill>
              <a:latin typeface="Calibri"/>
              <a:ea typeface="+mn-ea"/>
              <a:cs typeface="+mn-cs"/>
            </a:rPr>
            <a:t>Empleo seguro</a:t>
          </a:r>
        </a:p>
      </dgm:t>
    </dgm:pt>
    <dgm:pt modelId="{8A90FE5C-1B16-497E-92E4-597AC55AD97B}" type="parTrans" cxnId="{6A6208BA-332A-42C2-AEE6-29F7FF5B2D0E}">
      <dgm:prSet/>
      <dgm:spPr/>
      <dgm:t>
        <a:bodyPr/>
        <a:lstStyle/>
        <a:p>
          <a:endParaRPr lang="es-GT"/>
        </a:p>
      </dgm:t>
    </dgm:pt>
    <dgm:pt modelId="{2DE8D98A-33B1-4046-B38A-99CD81D7D08D}" type="sibTrans" cxnId="{6A6208BA-332A-42C2-AEE6-29F7FF5B2D0E}">
      <dgm:prSet/>
      <dgm:spPr/>
      <dgm:t>
        <a:bodyPr/>
        <a:lstStyle/>
        <a:p>
          <a:endParaRPr lang="es-GT"/>
        </a:p>
      </dgm:t>
    </dgm:pt>
    <dgm:pt modelId="{D7E28DF7-607C-48A1-ACA3-0A93C9E2542C}" type="pres">
      <dgm:prSet presAssocID="{7B5DFDE4-D57A-4F10-AC50-AC90F60999AE}" presName="Name0" presStyleCnt="0">
        <dgm:presLayoutVars>
          <dgm:dir/>
          <dgm:animLvl val="lvl"/>
          <dgm:resizeHandles val="exact"/>
        </dgm:presLayoutVars>
      </dgm:prSet>
      <dgm:spPr/>
      <dgm:t>
        <a:bodyPr/>
        <a:lstStyle/>
        <a:p>
          <a:endParaRPr lang="es-GT"/>
        </a:p>
      </dgm:t>
    </dgm:pt>
    <dgm:pt modelId="{D15A1638-E09F-4A6C-8B6F-62F3B19562C3}" type="pres">
      <dgm:prSet presAssocID="{83F54728-7E2E-49E4-96F4-FB670F6C7E1D}" presName="linNode" presStyleCnt="0"/>
      <dgm:spPr/>
    </dgm:pt>
    <dgm:pt modelId="{D738E136-5181-4288-BE60-8C860B504913}" type="pres">
      <dgm:prSet presAssocID="{83F54728-7E2E-49E4-96F4-FB670F6C7E1D}" presName="parentText" presStyleLbl="node1" presStyleIdx="0" presStyleCnt="4">
        <dgm:presLayoutVars>
          <dgm:chMax val="1"/>
          <dgm:bulletEnabled val="1"/>
        </dgm:presLayoutVars>
      </dgm:prSet>
      <dgm:spPr>
        <a:prstGeom prst="roundRect">
          <a:avLst/>
        </a:prstGeom>
      </dgm:spPr>
      <dgm:t>
        <a:bodyPr/>
        <a:lstStyle/>
        <a:p>
          <a:endParaRPr lang="es-GT"/>
        </a:p>
      </dgm:t>
    </dgm:pt>
    <dgm:pt modelId="{2F467F36-2C4D-497F-8FB0-E6CCCD384B03}" type="pres">
      <dgm:prSet presAssocID="{83F54728-7E2E-49E4-96F4-FB670F6C7E1D}" presName="descendantText" presStyleLbl="alignAccFollowNode1" presStyleIdx="0" presStyleCnt="4" custScaleY="137704" custLinFactNeighborY="10886">
        <dgm:presLayoutVars>
          <dgm:bulletEnabled val="1"/>
        </dgm:presLayoutVars>
      </dgm:prSet>
      <dgm:spPr>
        <a:prstGeom prst="round2SameRect">
          <a:avLst/>
        </a:prstGeom>
      </dgm:spPr>
      <dgm:t>
        <a:bodyPr/>
        <a:lstStyle/>
        <a:p>
          <a:endParaRPr lang="es-GT"/>
        </a:p>
      </dgm:t>
    </dgm:pt>
    <dgm:pt modelId="{D11543AC-76A4-46F8-9906-C36CB9DA8EF5}" type="pres">
      <dgm:prSet presAssocID="{80BF661F-AE28-47AB-AC60-A9B68B805279}" presName="sp" presStyleCnt="0"/>
      <dgm:spPr/>
    </dgm:pt>
    <dgm:pt modelId="{102CA208-7E07-4E87-8180-0340BA3EDC1D}" type="pres">
      <dgm:prSet presAssocID="{42D734C7-5F31-45E2-87D2-AE4A59B9FEA4}" presName="linNode" presStyleCnt="0"/>
      <dgm:spPr/>
    </dgm:pt>
    <dgm:pt modelId="{DE8FFB5D-B988-4045-AD10-7C02A8E6C703}" type="pres">
      <dgm:prSet presAssocID="{42D734C7-5F31-45E2-87D2-AE4A59B9FEA4}" presName="parentText" presStyleLbl="node1" presStyleIdx="1" presStyleCnt="4">
        <dgm:presLayoutVars>
          <dgm:chMax val="1"/>
          <dgm:bulletEnabled val="1"/>
        </dgm:presLayoutVars>
      </dgm:prSet>
      <dgm:spPr>
        <a:prstGeom prst="roundRect">
          <a:avLst/>
        </a:prstGeom>
      </dgm:spPr>
      <dgm:t>
        <a:bodyPr/>
        <a:lstStyle/>
        <a:p>
          <a:endParaRPr lang="es-GT"/>
        </a:p>
      </dgm:t>
    </dgm:pt>
    <dgm:pt modelId="{5F36F87C-B26A-4208-804A-5777A1F399E3}" type="pres">
      <dgm:prSet presAssocID="{42D734C7-5F31-45E2-87D2-AE4A59B9FEA4}" presName="descendantText" presStyleLbl="alignAccFollowNode1" presStyleIdx="1" presStyleCnt="4" custScaleY="131662" custLinFactNeighborY="10816">
        <dgm:presLayoutVars>
          <dgm:bulletEnabled val="1"/>
        </dgm:presLayoutVars>
      </dgm:prSet>
      <dgm:spPr>
        <a:prstGeom prst="round2SameRect">
          <a:avLst/>
        </a:prstGeom>
      </dgm:spPr>
      <dgm:t>
        <a:bodyPr/>
        <a:lstStyle/>
        <a:p>
          <a:endParaRPr lang="es-GT"/>
        </a:p>
      </dgm:t>
    </dgm:pt>
    <dgm:pt modelId="{1FFDDCF3-F35F-4CB3-A513-9CE1B7810A1B}" type="pres">
      <dgm:prSet presAssocID="{C3C086EC-52A4-47EE-94A2-5B56FB7CA104}" presName="sp" presStyleCnt="0"/>
      <dgm:spPr/>
    </dgm:pt>
    <dgm:pt modelId="{C50A2A7C-E922-4E7D-AF8F-2E61E94811FA}" type="pres">
      <dgm:prSet presAssocID="{6357E0A6-AAF4-4BD9-A615-AD85F24693A9}" presName="linNode" presStyleCnt="0"/>
      <dgm:spPr/>
    </dgm:pt>
    <dgm:pt modelId="{260CF3B4-C653-4F45-8B89-E5387019E4DA}" type="pres">
      <dgm:prSet presAssocID="{6357E0A6-AAF4-4BD9-A615-AD85F24693A9}" presName="parentText" presStyleLbl="node1" presStyleIdx="2" presStyleCnt="4">
        <dgm:presLayoutVars>
          <dgm:chMax val="1"/>
          <dgm:bulletEnabled val="1"/>
        </dgm:presLayoutVars>
      </dgm:prSet>
      <dgm:spPr>
        <a:prstGeom prst="roundRect">
          <a:avLst/>
        </a:prstGeom>
      </dgm:spPr>
      <dgm:t>
        <a:bodyPr/>
        <a:lstStyle/>
        <a:p>
          <a:endParaRPr lang="es-GT"/>
        </a:p>
      </dgm:t>
    </dgm:pt>
    <dgm:pt modelId="{6AD1E363-31E3-4F50-9912-F513D3669C10}" type="pres">
      <dgm:prSet presAssocID="{6357E0A6-AAF4-4BD9-A615-AD85F24693A9}" presName="descendantText" presStyleLbl="alignAccFollowNode1" presStyleIdx="2" presStyleCnt="4" custScaleY="105261" custLinFactNeighborY="10816">
        <dgm:presLayoutVars>
          <dgm:bulletEnabled val="1"/>
        </dgm:presLayoutVars>
      </dgm:prSet>
      <dgm:spPr>
        <a:prstGeom prst="round2SameRect">
          <a:avLst/>
        </a:prstGeom>
      </dgm:spPr>
      <dgm:t>
        <a:bodyPr/>
        <a:lstStyle/>
        <a:p>
          <a:endParaRPr lang="es-GT"/>
        </a:p>
      </dgm:t>
    </dgm:pt>
    <dgm:pt modelId="{8960F38E-3B68-449A-98E3-C63BE275C3CE}" type="pres">
      <dgm:prSet presAssocID="{4AE98EE2-A075-4F7E-9C33-A3834226D3E8}" presName="sp" presStyleCnt="0"/>
      <dgm:spPr/>
    </dgm:pt>
    <dgm:pt modelId="{099794EF-F65F-4045-BC5A-A22AB6220651}" type="pres">
      <dgm:prSet presAssocID="{92B6AA03-3AE3-4265-BCDD-7675EE1954BD}" presName="linNode" presStyleCnt="0"/>
      <dgm:spPr/>
    </dgm:pt>
    <dgm:pt modelId="{6143789C-D5EF-4629-8A1E-B76CB8C0EABC}" type="pres">
      <dgm:prSet presAssocID="{92B6AA03-3AE3-4265-BCDD-7675EE1954BD}" presName="parentText" presStyleLbl="node1" presStyleIdx="3" presStyleCnt="4">
        <dgm:presLayoutVars>
          <dgm:chMax val="1"/>
          <dgm:bulletEnabled val="1"/>
        </dgm:presLayoutVars>
      </dgm:prSet>
      <dgm:spPr>
        <a:prstGeom prst="roundRect">
          <a:avLst/>
        </a:prstGeom>
      </dgm:spPr>
      <dgm:t>
        <a:bodyPr/>
        <a:lstStyle/>
        <a:p>
          <a:endParaRPr lang="es-GT"/>
        </a:p>
      </dgm:t>
    </dgm:pt>
    <dgm:pt modelId="{06E37C2C-2749-44A2-851A-1205F32E1AC1}" type="pres">
      <dgm:prSet presAssocID="{92B6AA03-3AE3-4265-BCDD-7675EE1954BD}" presName="descendantText" presStyleLbl="alignAccFollowNode1" presStyleIdx="3" presStyleCnt="4" custScaleY="136182">
        <dgm:presLayoutVars>
          <dgm:bulletEnabled val="1"/>
        </dgm:presLayoutVars>
      </dgm:prSet>
      <dgm:spPr>
        <a:prstGeom prst="round2SameRect">
          <a:avLst/>
        </a:prstGeom>
      </dgm:spPr>
      <dgm:t>
        <a:bodyPr/>
        <a:lstStyle/>
        <a:p>
          <a:endParaRPr lang="es-GT"/>
        </a:p>
      </dgm:t>
    </dgm:pt>
  </dgm:ptLst>
  <dgm:cxnLst>
    <dgm:cxn modelId="{AE3A2E27-4EA8-4973-AE2A-C5D97DC67BB1}" type="presOf" srcId="{42D734C7-5F31-45E2-87D2-AE4A59B9FEA4}" destId="{DE8FFB5D-B988-4045-AD10-7C02A8E6C703}" srcOrd="0" destOrd="0" presId="urn:microsoft.com/office/officeart/2005/8/layout/vList5"/>
    <dgm:cxn modelId="{962670DA-0611-4DE6-8516-5FB652B9A1E9}" srcId="{42D734C7-5F31-45E2-87D2-AE4A59B9FEA4}" destId="{C040FB9E-B77F-4B4C-9674-A476AAFD50C7}" srcOrd="1" destOrd="0" parTransId="{3CFE9B09-809B-43AF-918E-8993B9CB65DB}" sibTransId="{542B31EC-A100-460B-A46E-2C3524448B26}"/>
    <dgm:cxn modelId="{2AB41448-214F-4771-8283-9D962B101E4F}" srcId="{7B5DFDE4-D57A-4F10-AC50-AC90F60999AE}" destId="{42D734C7-5F31-45E2-87D2-AE4A59B9FEA4}" srcOrd="1" destOrd="0" parTransId="{94CE1FDC-4622-46A7-A4E4-D3EC81746BAE}" sibTransId="{C3C086EC-52A4-47EE-94A2-5B56FB7CA104}"/>
    <dgm:cxn modelId="{3339A6AE-983A-4076-AF47-13B31EE455A7}" srcId="{42D734C7-5F31-45E2-87D2-AE4A59B9FEA4}" destId="{3F2B0CB2-5FE0-4D3E-9C1F-C5D62323EB69}" srcOrd="2" destOrd="0" parTransId="{B69ED117-9F30-4120-AFA4-97882F053219}" sibTransId="{D6AC04FA-D60C-4596-BE45-F24CA4A9E41F}"/>
    <dgm:cxn modelId="{11516C1A-3395-4985-868A-3476B0A2D6D3}" type="presOf" srcId="{BEADF9DD-85CF-4B16-905B-BD5176013528}" destId="{2F467F36-2C4D-497F-8FB0-E6CCCD384B03}" srcOrd="0" destOrd="2" presId="urn:microsoft.com/office/officeart/2005/8/layout/vList5"/>
    <dgm:cxn modelId="{3D05D476-31A4-4E50-91E6-22E211A1439A}" srcId="{92B6AA03-3AE3-4265-BCDD-7675EE1954BD}" destId="{068C6516-C43F-4A60-8409-701F7E39BE89}" srcOrd="3" destOrd="0" parTransId="{6072C301-A19A-404C-9D73-2F4A0F6BCC4A}" sibTransId="{C9EFF5C3-AA58-4D81-A4BF-6D69C4F5CDB6}"/>
    <dgm:cxn modelId="{6A6208BA-332A-42C2-AEE6-29F7FF5B2D0E}" srcId="{83F54728-7E2E-49E4-96F4-FB670F6C7E1D}" destId="{F67E4B3F-6025-4A0D-9106-BBD600D86DA1}" srcOrd="5" destOrd="0" parTransId="{8A90FE5C-1B16-497E-92E4-597AC55AD97B}" sibTransId="{2DE8D98A-33B1-4046-B38A-99CD81D7D08D}"/>
    <dgm:cxn modelId="{09CBFD4B-FBB9-4C81-B573-078217C3A032}" type="presOf" srcId="{15C9AAAF-3A26-4C6E-BBC7-A8FEE2980B3F}" destId="{06E37C2C-2749-44A2-851A-1205F32E1AC1}" srcOrd="0" destOrd="4" presId="urn:microsoft.com/office/officeart/2005/8/layout/vList5"/>
    <dgm:cxn modelId="{081ACF9E-E9CD-4D03-88CB-6AC09A875022}" srcId="{7B5DFDE4-D57A-4F10-AC50-AC90F60999AE}" destId="{83F54728-7E2E-49E4-96F4-FB670F6C7E1D}" srcOrd="0" destOrd="0" parTransId="{40B8DA4F-DC5A-4A75-8AE8-B9FA0F17C2B7}" sibTransId="{80BF661F-AE28-47AB-AC60-A9B68B805279}"/>
    <dgm:cxn modelId="{274F915A-F40F-4991-8BD3-29765598CBFC}" srcId="{42D734C7-5F31-45E2-87D2-AE4A59B9FEA4}" destId="{51C34976-9328-49EA-8D76-3CA4AF386289}" srcOrd="0" destOrd="0" parTransId="{6226137A-705F-4924-83A6-BD26E1138F6D}" sibTransId="{3AD1CEB9-B5DC-45CC-A7BA-873757D8E5E3}"/>
    <dgm:cxn modelId="{3C48748F-1D00-47DB-A134-EC6DA5C2AD18}" srcId="{83F54728-7E2E-49E4-96F4-FB670F6C7E1D}" destId="{BEADF9DD-85CF-4B16-905B-BD5176013528}" srcOrd="2" destOrd="0" parTransId="{1DD73246-8CA5-4324-B941-034BD1E5528D}" sibTransId="{984B9703-50DD-4874-8E9A-9F3561004938}"/>
    <dgm:cxn modelId="{3028BEA9-D90D-4F46-99E0-8499793D1B19}" srcId="{7B5DFDE4-D57A-4F10-AC50-AC90F60999AE}" destId="{92B6AA03-3AE3-4265-BCDD-7675EE1954BD}" srcOrd="3" destOrd="0" parTransId="{CCF158F1-78C3-4107-9742-2F041C18DFAC}" sibTransId="{81D792E4-4A09-4A5F-8BFD-0B172AA77550}"/>
    <dgm:cxn modelId="{97A4CDCF-6583-4F34-BD3D-A46C67ABCE72}" type="presOf" srcId="{068C6516-C43F-4A60-8409-701F7E39BE89}" destId="{06E37C2C-2749-44A2-851A-1205F32E1AC1}" srcOrd="0" destOrd="3" presId="urn:microsoft.com/office/officeart/2005/8/layout/vList5"/>
    <dgm:cxn modelId="{CCF9D9C5-2DF4-4EBD-BC0F-116563ACAAF9}" type="presOf" srcId="{41A7803E-B199-43B7-9004-2DC7BED4B03E}" destId="{2F467F36-2C4D-497F-8FB0-E6CCCD384B03}" srcOrd="0" destOrd="0" presId="urn:microsoft.com/office/officeart/2005/8/layout/vList5"/>
    <dgm:cxn modelId="{2C3EE8A3-1089-44E1-BEB9-BF235C4E9028}" type="presOf" srcId="{6357E0A6-AAF4-4BD9-A615-AD85F24693A9}" destId="{260CF3B4-C653-4F45-8B89-E5387019E4DA}" srcOrd="0" destOrd="0" presId="urn:microsoft.com/office/officeart/2005/8/layout/vList5"/>
    <dgm:cxn modelId="{880FC6C2-C6AE-45B3-AC83-F63609F9F3C4}" srcId="{6357E0A6-AAF4-4BD9-A615-AD85F24693A9}" destId="{B6A41577-193F-470B-9E10-75D72EE5076C}" srcOrd="2" destOrd="0" parTransId="{6A230FED-5588-4529-9B1D-0A006BE5E3E6}" sibTransId="{111DA4BF-83EF-4E1C-9496-3AE9D9A30E03}"/>
    <dgm:cxn modelId="{FCC79040-2188-4ECB-A719-78F7DED9D9B8}" type="presOf" srcId="{F67E4B3F-6025-4A0D-9106-BBD600D86DA1}" destId="{2F467F36-2C4D-497F-8FB0-E6CCCD384B03}" srcOrd="0" destOrd="5" presId="urn:microsoft.com/office/officeart/2005/8/layout/vList5"/>
    <dgm:cxn modelId="{4E133039-BAA3-4CD5-81A3-1144C813C096}" type="presOf" srcId="{92B6AA03-3AE3-4265-BCDD-7675EE1954BD}" destId="{6143789C-D5EF-4629-8A1E-B76CB8C0EABC}" srcOrd="0" destOrd="0" presId="urn:microsoft.com/office/officeart/2005/8/layout/vList5"/>
    <dgm:cxn modelId="{C02747CF-4338-4978-8823-3C5EBA24E487}" type="presOf" srcId="{9A6D329A-90E3-41E8-AA27-B12B6A7F30C0}" destId="{2F467F36-2C4D-497F-8FB0-E6CCCD384B03}" srcOrd="0" destOrd="4" presId="urn:microsoft.com/office/officeart/2005/8/layout/vList5"/>
    <dgm:cxn modelId="{2DE1908B-A9B9-45FD-B69D-8B9BF73E3599}" srcId="{7B5DFDE4-D57A-4F10-AC50-AC90F60999AE}" destId="{6357E0A6-AAF4-4BD9-A615-AD85F24693A9}" srcOrd="2" destOrd="0" parTransId="{F68255B5-A4DF-4AAA-9EAF-6C394AEA96FB}" sibTransId="{4AE98EE2-A075-4F7E-9C33-A3834226D3E8}"/>
    <dgm:cxn modelId="{76B34416-B652-452E-86E6-25276391BAF6}" type="presOf" srcId="{B6A41577-193F-470B-9E10-75D72EE5076C}" destId="{6AD1E363-31E3-4F50-9912-F513D3669C10}" srcOrd="0" destOrd="2" presId="urn:microsoft.com/office/officeart/2005/8/layout/vList5"/>
    <dgm:cxn modelId="{9AAF4876-92D2-4F15-80CF-78B56132036D}" srcId="{83F54728-7E2E-49E4-96F4-FB670F6C7E1D}" destId="{B86ADC7A-FC66-408E-9C77-BF86080B734F}" srcOrd="1" destOrd="0" parTransId="{F0E952C4-5E40-404F-8C48-365F9CFD0085}" sibTransId="{66148221-D470-4F0E-BC1D-AA961C5869CD}"/>
    <dgm:cxn modelId="{AE39FB40-8C46-49FC-A155-521F933C0790}" type="presOf" srcId="{A80DB0A6-EDFD-4314-8A2A-F572A1415174}" destId="{06E37C2C-2749-44A2-851A-1205F32E1AC1}" srcOrd="0" destOrd="2" presId="urn:microsoft.com/office/officeart/2005/8/layout/vList5"/>
    <dgm:cxn modelId="{72CA8514-EEF3-462E-AA48-D6CAE7BC189B}" srcId="{92B6AA03-3AE3-4265-BCDD-7675EE1954BD}" destId="{F7C29C61-E56D-4B6D-8BE9-7D20B3629926}" srcOrd="0" destOrd="0" parTransId="{0D117C78-B531-4AEF-9A8D-B3BFB1BD9540}" sibTransId="{A16C55A0-7DF9-4437-B97C-8E135C78B2FF}"/>
    <dgm:cxn modelId="{6288C400-E5C3-4075-BC8E-72B6C6D932D6}" type="presOf" srcId="{29D82C50-1D11-41B5-8945-A4B1D3BC7424}" destId="{6AD1E363-31E3-4F50-9912-F513D3669C10}" srcOrd="0" destOrd="1" presId="urn:microsoft.com/office/officeart/2005/8/layout/vList5"/>
    <dgm:cxn modelId="{45AA785C-08FB-4102-BB07-94229ADF75B4}" type="presOf" srcId="{B86ADC7A-FC66-408E-9C77-BF86080B734F}" destId="{2F467F36-2C4D-497F-8FB0-E6CCCD384B03}" srcOrd="0" destOrd="1" presId="urn:microsoft.com/office/officeart/2005/8/layout/vList5"/>
    <dgm:cxn modelId="{CD7CDF39-0658-4BCE-8930-7DF0B2A1A27E}" type="presOf" srcId="{5400852F-792E-462B-9643-67CFD95C4279}" destId="{2F467F36-2C4D-497F-8FB0-E6CCCD384B03}" srcOrd="0" destOrd="3" presId="urn:microsoft.com/office/officeart/2005/8/layout/vList5"/>
    <dgm:cxn modelId="{0899BA00-2E51-495F-9F1E-84A8E196BB86}" srcId="{6357E0A6-AAF4-4BD9-A615-AD85F24693A9}" destId="{C94C40EB-A361-430C-8FF0-9B8597F2C482}" srcOrd="0" destOrd="0" parTransId="{C1827052-60E1-471A-823B-FC0D400972CC}" sibTransId="{40751000-6EE5-49F7-9B74-90C07B420A92}"/>
    <dgm:cxn modelId="{E207A964-114D-4CC8-B8F7-FCE06E511FD1}" srcId="{6357E0A6-AAF4-4BD9-A615-AD85F24693A9}" destId="{860AF774-7C4C-45F9-8AE5-D34BECA94B23}" srcOrd="3" destOrd="0" parTransId="{5AA51653-CCBD-4706-85D9-7A650D8944E3}" sibTransId="{A57DF8A3-D723-468F-8B0F-6FD19829D41F}"/>
    <dgm:cxn modelId="{DDBDF846-9F4E-4305-A17A-4647924CDDBD}" type="presOf" srcId="{C040FB9E-B77F-4B4C-9674-A476AAFD50C7}" destId="{5F36F87C-B26A-4208-804A-5777A1F399E3}" srcOrd="0" destOrd="1" presId="urn:microsoft.com/office/officeart/2005/8/layout/vList5"/>
    <dgm:cxn modelId="{567565ED-AD6E-44CF-A065-1967E93C0578}" srcId="{42D734C7-5F31-45E2-87D2-AE4A59B9FEA4}" destId="{CC4C7C03-7A55-43B1-B33B-8F197955B0F6}" srcOrd="3" destOrd="0" parTransId="{769D4BB4-736B-4121-AF5F-68FF87BEFD11}" sibTransId="{CD35E906-0009-4FB4-8A45-F1C91DC57033}"/>
    <dgm:cxn modelId="{776BC885-119A-4BBB-9096-CF7FF4A8CAE6}" srcId="{6357E0A6-AAF4-4BD9-A615-AD85F24693A9}" destId="{29D82C50-1D11-41B5-8945-A4B1D3BC7424}" srcOrd="1" destOrd="0" parTransId="{A08444C9-DDCA-43A2-A8FF-3F8C52D7C078}" sibTransId="{FD6093BC-D7A8-4FFA-9BB3-E2BFFBB6F7C7}"/>
    <dgm:cxn modelId="{D6339C19-2FA1-4B26-A6BB-D63E4292369F}" srcId="{92B6AA03-3AE3-4265-BCDD-7675EE1954BD}" destId="{15C9AAAF-3A26-4C6E-BBC7-A8FEE2980B3F}" srcOrd="4" destOrd="0" parTransId="{DEBBF1DC-D5CE-4733-A03F-A9F33BFBA073}" sibTransId="{12601B91-C83E-4CDA-8F51-2097BC536AE2}"/>
    <dgm:cxn modelId="{45886D30-5A0E-4305-865F-71EFF1937C80}" type="presOf" srcId="{55C9CB98-3AF5-4042-8774-552CA73822BA}" destId="{06E37C2C-2749-44A2-851A-1205F32E1AC1}" srcOrd="0" destOrd="1" presId="urn:microsoft.com/office/officeart/2005/8/layout/vList5"/>
    <dgm:cxn modelId="{30A7D7EE-E3FB-4312-9985-898060EEE418}" srcId="{92B6AA03-3AE3-4265-BCDD-7675EE1954BD}" destId="{A80DB0A6-EDFD-4314-8A2A-F572A1415174}" srcOrd="2" destOrd="0" parTransId="{BF9CBD64-AAC2-4577-AEC6-468B6AF454C3}" sibTransId="{8547143A-66CC-49ED-972C-05CD60826E8E}"/>
    <dgm:cxn modelId="{F065ED46-FD83-4947-81BD-860A4C3A9AEE}" type="presOf" srcId="{83F54728-7E2E-49E4-96F4-FB670F6C7E1D}" destId="{D738E136-5181-4288-BE60-8C860B504913}" srcOrd="0" destOrd="0" presId="urn:microsoft.com/office/officeart/2005/8/layout/vList5"/>
    <dgm:cxn modelId="{A0462271-DF12-415C-912E-7B89DAA3E767}" srcId="{83F54728-7E2E-49E4-96F4-FB670F6C7E1D}" destId="{5400852F-792E-462B-9643-67CFD95C4279}" srcOrd="3" destOrd="0" parTransId="{1CD27E6A-A632-488F-90A6-59EFBB2657A0}" sibTransId="{773367CA-3F29-4CA3-9997-0CEB8C788AF1}"/>
    <dgm:cxn modelId="{CEDC29AF-6E92-4A6C-945D-8775E9F0B2A4}" srcId="{92B6AA03-3AE3-4265-BCDD-7675EE1954BD}" destId="{55C9CB98-3AF5-4042-8774-552CA73822BA}" srcOrd="1" destOrd="0" parTransId="{D80689AE-7401-4734-8DE9-4EB00A1EAD1C}" sibTransId="{D2F3FA1E-C5DA-4888-9F3F-9166152187FA}"/>
    <dgm:cxn modelId="{C196072D-2171-4A91-803A-6F2062BE4672}" type="presOf" srcId="{7B5DFDE4-D57A-4F10-AC50-AC90F60999AE}" destId="{D7E28DF7-607C-48A1-ACA3-0A93C9E2542C}" srcOrd="0" destOrd="0" presId="urn:microsoft.com/office/officeart/2005/8/layout/vList5"/>
    <dgm:cxn modelId="{36879A39-8AD2-4822-A75F-9F3625A3CD80}" type="presOf" srcId="{51C34976-9328-49EA-8D76-3CA4AF386289}" destId="{5F36F87C-B26A-4208-804A-5777A1F399E3}" srcOrd="0" destOrd="0" presId="urn:microsoft.com/office/officeart/2005/8/layout/vList5"/>
    <dgm:cxn modelId="{29B4E596-0A4B-41A7-A026-F71FE7FAF8FE}" type="presOf" srcId="{C94C40EB-A361-430C-8FF0-9B8597F2C482}" destId="{6AD1E363-31E3-4F50-9912-F513D3669C10}" srcOrd="0" destOrd="0" presId="urn:microsoft.com/office/officeart/2005/8/layout/vList5"/>
    <dgm:cxn modelId="{65CED45C-5355-4697-AB72-7AD246B8F54B}" type="presOf" srcId="{F7C29C61-E56D-4B6D-8BE9-7D20B3629926}" destId="{06E37C2C-2749-44A2-851A-1205F32E1AC1}" srcOrd="0" destOrd="0" presId="urn:microsoft.com/office/officeart/2005/8/layout/vList5"/>
    <dgm:cxn modelId="{1195C32E-DB87-4F27-AD20-C9903F8C14FE}" type="presOf" srcId="{3F2B0CB2-5FE0-4D3E-9C1F-C5D62323EB69}" destId="{5F36F87C-B26A-4208-804A-5777A1F399E3}" srcOrd="0" destOrd="2" presId="urn:microsoft.com/office/officeart/2005/8/layout/vList5"/>
    <dgm:cxn modelId="{9C13AC6E-B160-44D8-AA09-212BC4FBA5F9}" type="presOf" srcId="{CC4C7C03-7A55-43B1-B33B-8F197955B0F6}" destId="{5F36F87C-B26A-4208-804A-5777A1F399E3}" srcOrd="0" destOrd="3" presId="urn:microsoft.com/office/officeart/2005/8/layout/vList5"/>
    <dgm:cxn modelId="{4E88445E-BBB3-41DE-8A9C-21F0034F0F21}" srcId="{83F54728-7E2E-49E4-96F4-FB670F6C7E1D}" destId="{41A7803E-B199-43B7-9004-2DC7BED4B03E}" srcOrd="0" destOrd="0" parTransId="{D73F5EE9-CDD9-4AE5-AF6B-10CF309B670D}" sibTransId="{C7584625-4FC7-4711-AFC0-5311ED9DAFEA}"/>
    <dgm:cxn modelId="{3B8C4505-C44E-4A26-8B5F-3A5502F7EF40}" srcId="{83F54728-7E2E-49E4-96F4-FB670F6C7E1D}" destId="{9A6D329A-90E3-41E8-AA27-B12B6A7F30C0}" srcOrd="4" destOrd="0" parTransId="{3D810921-2883-4CB2-B4C8-DC85140DB67F}" sibTransId="{5A80A848-F3D7-4506-B48F-20BD3085DDDF}"/>
    <dgm:cxn modelId="{B91AA1E7-F72A-4E34-911F-7A3B9F53C848}" type="presOf" srcId="{860AF774-7C4C-45F9-8AE5-D34BECA94B23}" destId="{6AD1E363-31E3-4F50-9912-F513D3669C10}" srcOrd="0" destOrd="3" presId="urn:microsoft.com/office/officeart/2005/8/layout/vList5"/>
    <dgm:cxn modelId="{384D4623-3741-4259-A299-40BAE68E598B}" type="presParOf" srcId="{D7E28DF7-607C-48A1-ACA3-0A93C9E2542C}" destId="{D15A1638-E09F-4A6C-8B6F-62F3B19562C3}" srcOrd="0" destOrd="0" presId="urn:microsoft.com/office/officeart/2005/8/layout/vList5"/>
    <dgm:cxn modelId="{CB45BDC5-0A2F-488F-901D-9BC4F49CC3A7}" type="presParOf" srcId="{D15A1638-E09F-4A6C-8B6F-62F3B19562C3}" destId="{D738E136-5181-4288-BE60-8C860B504913}" srcOrd="0" destOrd="0" presId="urn:microsoft.com/office/officeart/2005/8/layout/vList5"/>
    <dgm:cxn modelId="{CF902F9F-1FB3-43E3-969F-DF304577BCF9}" type="presParOf" srcId="{D15A1638-E09F-4A6C-8B6F-62F3B19562C3}" destId="{2F467F36-2C4D-497F-8FB0-E6CCCD384B03}" srcOrd="1" destOrd="0" presId="urn:microsoft.com/office/officeart/2005/8/layout/vList5"/>
    <dgm:cxn modelId="{D9273398-6B8E-4A54-B5FD-E95F5C4C4612}" type="presParOf" srcId="{D7E28DF7-607C-48A1-ACA3-0A93C9E2542C}" destId="{D11543AC-76A4-46F8-9906-C36CB9DA8EF5}" srcOrd="1" destOrd="0" presId="urn:microsoft.com/office/officeart/2005/8/layout/vList5"/>
    <dgm:cxn modelId="{A4EC688D-881E-4396-B751-BFCF559E3F1D}" type="presParOf" srcId="{D7E28DF7-607C-48A1-ACA3-0A93C9E2542C}" destId="{102CA208-7E07-4E87-8180-0340BA3EDC1D}" srcOrd="2" destOrd="0" presId="urn:microsoft.com/office/officeart/2005/8/layout/vList5"/>
    <dgm:cxn modelId="{24A7482C-7C7E-4134-B447-8A60F0FB9DF0}" type="presParOf" srcId="{102CA208-7E07-4E87-8180-0340BA3EDC1D}" destId="{DE8FFB5D-B988-4045-AD10-7C02A8E6C703}" srcOrd="0" destOrd="0" presId="urn:microsoft.com/office/officeart/2005/8/layout/vList5"/>
    <dgm:cxn modelId="{C227BB72-491B-4CD7-8984-ED069CC210B4}" type="presParOf" srcId="{102CA208-7E07-4E87-8180-0340BA3EDC1D}" destId="{5F36F87C-B26A-4208-804A-5777A1F399E3}" srcOrd="1" destOrd="0" presId="urn:microsoft.com/office/officeart/2005/8/layout/vList5"/>
    <dgm:cxn modelId="{55E3CFFA-3111-48FA-AD2C-76573320158D}" type="presParOf" srcId="{D7E28DF7-607C-48A1-ACA3-0A93C9E2542C}" destId="{1FFDDCF3-F35F-4CB3-A513-9CE1B7810A1B}" srcOrd="3" destOrd="0" presId="urn:microsoft.com/office/officeart/2005/8/layout/vList5"/>
    <dgm:cxn modelId="{F870F84F-011E-4168-BDB9-D15582347762}" type="presParOf" srcId="{D7E28DF7-607C-48A1-ACA3-0A93C9E2542C}" destId="{C50A2A7C-E922-4E7D-AF8F-2E61E94811FA}" srcOrd="4" destOrd="0" presId="urn:microsoft.com/office/officeart/2005/8/layout/vList5"/>
    <dgm:cxn modelId="{13086AA5-D937-4523-874D-6DE4CE332AEA}" type="presParOf" srcId="{C50A2A7C-E922-4E7D-AF8F-2E61E94811FA}" destId="{260CF3B4-C653-4F45-8B89-E5387019E4DA}" srcOrd="0" destOrd="0" presId="urn:microsoft.com/office/officeart/2005/8/layout/vList5"/>
    <dgm:cxn modelId="{CA66C2C9-5696-4343-98D9-0D8FC9A108BE}" type="presParOf" srcId="{C50A2A7C-E922-4E7D-AF8F-2E61E94811FA}" destId="{6AD1E363-31E3-4F50-9912-F513D3669C10}" srcOrd="1" destOrd="0" presId="urn:microsoft.com/office/officeart/2005/8/layout/vList5"/>
    <dgm:cxn modelId="{66E357AA-59BF-481B-8607-17F0161E69F5}" type="presParOf" srcId="{D7E28DF7-607C-48A1-ACA3-0A93C9E2542C}" destId="{8960F38E-3B68-449A-98E3-C63BE275C3CE}" srcOrd="5" destOrd="0" presId="urn:microsoft.com/office/officeart/2005/8/layout/vList5"/>
    <dgm:cxn modelId="{44B03575-EA72-4DE8-A5EA-D530CBD85B52}" type="presParOf" srcId="{D7E28DF7-607C-48A1-ACA3-0A93C9E2542C}" destId="{099794EF-F65F-4045-BC5A-A22AB6220651}" srcOrd="6" destOrd="0" presId="urn:microsoft.com/office/officeart/2005/8/layout/vList5"/>
    <dgm:cxn modelId="{AC49B515-05C6-4F9C-AAED-D53E0C21FC66}" type="presParOf" srcId="{099794EF-F65F-4045-BC5A-A22AB6220651}" destId="{6143789C-D5EF-4629-8A1E-B76CB8C0EABC}" srcOrd="0" destOrd="0" presId="urn:microsoft.com/office/officeart/2005/8/layout/vList5"/>
    <dgm:cxn modelId="{2157E98B-23A9-42DB-970B-656300BD5981}" type="presParOf" srcId="{099794EF-F65F-4045-BC5A-A22AB6220651}" destId="{06E37C2C-2749-44A2-851A-1205F32E1AC1}" srcOrd="1" destOrd="0" presId="urn:microsoft.com/office/officeart/2005/8/layout/vList5"/>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467F36-2C4D-497F-8FB0-E6CCCD384B03}">
      <dsp:nvSpPr>
        <dsp:cNvPr id="0" name=""/>
        <dsp:cNvSpPr/>
      </dsp:nvSpPr>
      <dsp:spPr>
        <a:xfrm rot="5400000">
          <a:off x="3433714" y="-1278109"/>
          <a:ext cx="981931" cy="3693816"/>
        </a:xfrm>
        <a:prstGeom prst="round2SameRect">
          <a:avLst/>
        </a:prstGeo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Cero hambre</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Hogares saludables</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Niñez preparada</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Jóvenes protagonistas</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Familias seguras</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Empleo seguro</a:t>
          </a:r>
        </a:p>
      </dsp:txBody>
      <dsp:txXfrm rot="-5400000">
        <a:off x="2077772" y="125767"/>
        <a:ext cx="3645882" cy="886063"/>
      </dsp:txXfrm>
    </dsp:sp>
    <dsp:sp modelId="{D738E136-5181-4288-BE60-8C860B504913}">
      <dsp:nvSpPr>
        <dsp:cNvPr id="0" name=""/>
        <dsp:cNvSpPr/>
      </dsp:nvSpPr>
      <dsp:spPr>
        <a:xfrm>
          <a:off x="0" y="45502"/>
          <a:ext cx="2077771" cy="891342"/>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GT" sz="1200" b="1" kern="1200">
              <a:solidFill>
                <a:sysClr val="window" lastClr="FFFFFF"/>
              </a:solidFill>
              <a:latin typeface="Calibri"/>
              <a:ea typeface="+mn-ea"/>
              <a:cs typeface="+mn-cs"/>
            </a:rPr>
            <a:t>Pacto Hambre Cero </a:t>
          </a:r>
        </a:p>
        <a:p>
          <a:pPr lvl="0" algn="ctr" defTabSz="533400">
            <a:lnSpc>
              <a:spcPct val="90000"/>
            </a:lnSpc>
            <a:spcBef>
              <a:spcPct val="0"/>
            </a:spcBef>
            <a:spcAft>
              <a:spcPct val="35000"/>
            </a:spcAft>
          </a:pPr>
          <a:r>
            <a:rPr lang="es-GT" sz="1200" b="1" kern="1200">
              <a:solidFill>
                <a:sysClr val="window" lastClr="FFFFFF"/>
              </a:solidFill>
              <a:latin typeface="Calibri"/>
              <a:ea typeface="+mn-ea"/>
              <a:cs typeface="+mn-cs"/>
            </a:rPr>
            <a:t>(eje de inclusión social)</a:t>
          </a:r>
        </a:p>
      </dsp:txBody>
      <dsp:txXfrm>
        <a:off x="43512" y="89014"/>
        <a:ext cx="1990747" cy="804318"/>
      </dsp:txXfrm>
    </dsp:sp>
    <dsp:sp modelId="{5F36F87C-B26A-4208-804A-5777A1F399E3}">
      <dsp:nvSpPr>
        <dsp:cNvPr id="0" name=""/>
        <dsp:cNvSpPr/>
      </dsp:nvSpPr>
      <dsp:spPr>
        <a:xfrm rot="5400000">
          <a:off x="3455256" y="-273652"/>
          <a:ext cx="938847" cy="3693816"/>
        </a:xfrm>
        <a:prstGeom prst="round2SameRect">
          <a:avLst/>
        </a:prstGeo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Un país competitivo</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Gestión macroeconómica estable y coherente que promueva el crecimiento</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Ambiente y desarrollo </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El rescate del liderazgo  de Guatemala en el contexto centroamericano  y global</a:t>
          </a:r>
        </a:p>
      </dsp:txBody>
      <dsp:txXfrm rot="-5400000">
        <a:off x="2077772" y="1149663"/>
        <a:ext cx="3647985" cy="847185"/>
      </dsp:txXfrm>
    </dsp:sp>
    <dsp:sp modelId="{DE8FFB5D-B988-4045-AD10-7C02A8E6C703}">
      <dsp:nvSpPr>
        <dsp:cNvPr id="0" name=""/>
        <dsp:cNvSpPr/>
      </dsp:nvSpPr>
      <dsp:spPr>
        <a:xfrm>
          <a:off x="0" y="1050458"/>
          <a:ext cx="2077771" cy="891342"/>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GT" sz="1200" b="1" kern="1200">
              <a:solidFill>
                <a:sysClr val="window" lastClr="FFFFFF"/>
              </a:solidFill>
              <a:latin typeface="Calibri"/>
              <a:ea typeface="+mn-ea"/>
              <a:cs typeface="+mn-cs"/>
            </a:rPr>
            <a:t>Pacto Fiscal y de Competitividad </a:t>
          </a:r>
        </a:p>
        <a:p>
          <a:pPr lvl="0" algn="ctr" defTabSz="533400">
            <a:lnSpc>
              <a:spcPct val="90000"/>
            </a:lnSpc>
            <a:spcBef>
              <a:spcPct val="0"/>
            </a:spcBef>
            <a:spcAft>
              <a:spcPct val="35000"/>
            </a:spcAft>
          </a:pPr>
          <a:r>
            <a:rPr lang="es-GT" sz="1200" b="1" kern="1200">
              <a:solidFill>
                <a:sysClr val="window" lastClr="FFFFFF"/>
              </a:solidFill>
              <a:latin typeface="Calibri"/>
              <a:ea typeface="+mn-ea"/>
              <a:cs typeface="+mn-cs"/>
            </a:rPr>
            <a:t>(Eje de Desarrollo Económico Competitivo)</a:t>
          </a:r>
        </a:p>
      </dsp:txBody>
      <dsp:txXfrm>
        <a:off x="43512" y="1093970"/>
        <a:ext cx="1990747" cy="804318"/>
      </dsp:txXfrm>
    </dsp:sp>
    <dsp:sp modelId="{6AD1E363-31E3-4F50-9912-F513D3669C10}">
      <dsp:nvSpPr>
        <dsp:cNvPr id="0" name=""/>
        <dsp:cNvSpPr/>
      </dsp:nvSpPr>
      <dsp:spPr>
        <a:xfrm rot="5400000">
          <a:off x="3553222" y="684203"/>
          <a:ext cx="750588" cy="3697427"/>
        </a:xfrm>
        <a:prstGeom prst="round2SameRect">
          <a:avLst/>
        </a:prstGeo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Infraestructura social para una mejor calidad de vida</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Infraestructura productiva para el desarrollo local</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Infraestructura productiva para un país competitivo</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Electricidad para todos</a:t>
          </a:r>
        </a:p>
      </dsp:txBody>
      <dsp:txXfrm rot="-5400000">
        <a:off x="2079803" y="2194264"/>
        <a:ext cx="3660786" cy="677306"/>
      </dsp:txXfrm>
    </dsp:sp>
    <dsp:sp modelId="{260CF3B4-C653-4F45-8B89-E5387019E4DA}">
      <dsp:nvSpPr>
        <dsp:cNvPr id="0" name=""/>
        <dsp:cNvSpPr/>
      </dsp:nvSpPr>
      <dsp:spPr>
        <a:xfrm>
          <a:off x="0" y="2010120"/>
          <a:ext cx="2079802" cy="891342"/>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GT" sz="1200" b="1" kern="1200" dirty="0" smtClean="0">
              <a:solidFill>
                <a:sysClr val="window" lastClr="FFFFFF"/>
              </a:solidFill>
              <a:latin typeface="Calibri"/>
              <a:ea typeface="+mn-ea"/>
              <a:cs typeface="+mn-cs"/>
            </a:rPr>
            <a:t>Eje de Infraestructura Productiva y Social para el Desarrollo</a:t>
          </a:r>
          <a:endParaRPr lang="es-GT" sz="1200" kern="1200">
            <a:solidFill>
              <a:sysClr val="window" lastClr="FFFFFF"/>
            </a:solidFill>
            <a:latin typeface="Calibri"/>
            <a:ea typeface="+mn-ea"/>
            <a:cs typeface="+mn-cs"/>
          </a:endParaRPr>
        </a:p>
      </dsp:txBody>
      <dsp:txXfrm>
        <a:off x="43512" y="2053632"/>
        <a:ext cx="1992778" cy="804318"/>
      </dsp:txXfrm>
    </dsp:sp>
    <dsp:sp modelId="{06E37C2C-2749-44A2-851A-1205F32E1AC1}">
      <dsp:nvSpPr>
        <dsp:cNvPr id="0" name=""/>
        <dsp:cNvSpPr/>
      </dsp:nvSpPr>
      <dsp:spPr>
        <a:xfrm rot="5400000">
          <a:off x="3439140" y="1584660"/>
          <a:ext cx="971078" cy="3693816"/>
        </a:xfrm>
        <a:prstGeom prst="round2SameRect">
          <a:avLst/>
        </a:prstGeo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Ingreso rural, subsistencia y encadenamientos productivos</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Recuperación de agua, suelo y bosque</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Aprovechamiento de recursos naturales, para hoy y mañana</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Ordenamiento territorial</a:t>
          </a:r>
        </a:p>
        <a:p>
          <a:pPr marL="57150" lvl="1" indent="-57150" algn="l" defTabSz="444500">
            <a:lnSpc>
              <a:spcPct val="90000"/>
            </a:lnSpc>
            <a:spcBef>
              <a:spcPct val="0"/>
            </a:spcBef>
            <a:spcAft>
              <a:spcPct val="15000"/>
            </a:spcAft>
            <a:buChar char="••"/>
          </a:pPr>
          <a:r>
            <a:rPr lang="es-GT" sz="1000" kern="1200">
              <a:solidFill>
                <a:sysClr val="windowText" lastClr="000000">
                  <a:hueOff val="0"/>
                  <a:satOff val="0"/>
                  <a:lumOff val="0"/>
                  <a:alphaOff val="0"/>
                </a:sysClr>
              </a:solidFill>
              <a:latin typeface="Calibri"/>
              <a:ea typeface="+mn-ea"/>
              <a:cs typeface="+mn-cs"/>
            </a:rPr>
            <a:t>Certeza jurídica</a:t>
          </a:r>
        </a:p>
      </dsp:txBody>
      <dsp:txXfrm rot="-5400000">
        <a:off x="2077771" y="2993433"/>
        <a:ext cx="3646412" cy="876270"/>
      </dsp:txXfrm>
    </dsp:sp>
    <dsp:sp modelId="{6143789C-D5EF-4629-8A1E-B76CB8C0EABC}">
      <dsp:nvSpPr>
        <dsp:cNvPr id="0" name=""/>
        <dsp:cNvSpPr/>
      </dsp:nvSpPr>
      <dsp:spPr>
        <a:xfrm>
          <a:off x="0" y="2985897"/>
          <a:ext cx="2077771" cy="891342"/>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GT" sz="1200" b="1" kern="1200" dirty="0" smtClean="0">
              <a:solidFill>
                <a:sysClr val="window" lastClr="FFFFFF"/>
              </a:solidFill>
              <a:latin typeface="Calibri"/>
              <a:ea typeface="+mn-ea"/>
              <a:cs typeface="+mn-cs"/>
            </a:rPr>
            <a:t>Eje de Desarrollo Rural Sostenible</a:t>
          </a:r>
          <a:endParaRPr lang="es-GT" sz="1200" kern="1200">
            <a:solidFill>
              <a:sysClr val="window" lastClr="FFFFFF"/>
            </a:solidFill>
            <a:latin typeface="Calibri"/>
            <a:ea typeface="+mn-ea"/>
            <a:cs typeface="+mn-cs"/>
          </a:endParaRPr>
        </a:p>
      </dsp:txBody>
      <dsp:txXfrm>
        <a:off x="43512" y="3029409"/>
        <a:ext cx="1990747" cy="804318"/>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UNE09</b:Tag>
    <b:SourceType>Report</b:SourceType>
    <b:Guid>{3325E1D7-0AEB-4AD0-9823-0AAAE3C60EFB}</b:Guid>
    <b:Title>De la alfabetización al aprendizaje a lo largo de toda la vida</b:Title>
    <b:Year>2009</b:Year>
    <b:Publisher>UNESCO</b:Publisher>
    <b:City>Hamburgo</b:City>
    <b:Author>
      <b:Author>
        <b:NameList>
          <b:Person>
            <b:Last>UNESCO</b:Last>
            <b:Middle>Educación, la Ciencia y la Cultura</b:Middle>
            <b:First>Organización de las Naciones Unidas para la </b:First>
          </b:Person>
        </b:NameList>
      </b:Author>
    </b:Author>
    <b:RefOrder>2</b:RefOrder>
  </b:Source>
</b:Sources>
</file>

<file path=customXml/itemProps1.xml><?xml version="1.0" encoding="utf-8"?>
<ds:datastoreItem xmlns:ds="http://schemas.openxmlformats.org/officeDocument/2006/customXml" ds:itemID="{3AE10D11-A1FD-4891-B1AB-5796AB0675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1800</TotalTime>
  <Pages>278</Pages>
  <Words>95286</Words>
  <Characters>524076</Characters>
  <Application>Microsoft Office Word</Application>
  <DocSecurity>0</DocSecurity>
  <Lines>4367</Lines>
  <Paragraphs>1236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EVALUACION AMBIENTAL ESTRATEGICA</vt:lpstr>
      <vt:lpstr>EVALUACION AMBIENTAL ESTRATEGICA</vt:lpstr>
    </vt:vector>
  </TitlesOfParts>
  <Company>Microsoft</Company>
  <LinksUpToDate>false</LinksUpToDate>
  <CharactersWithSpaces>618126</CharactersWithSpaces>
  <SharedDoc>false</SharedDoc>
  <HLinks>
    <vt:vector size="534" baseType="variant">
      <vt:variant>
        <vt:i4>2949127</vt:i4>
      </vt:variant>
      <vt:variant>
        <vt:i4>1338</vt:i4>
      </vt:variant>
      <vt:variant>
        <vt:i4>0</vt:i4>
      </vt:variant>
      <vt:variant>
        <vt:i4>5</vt:i4>
      </vt:variant>
      <vt:variant>
        <vt:lpwstr>mailto:j.leivaperez@global-mechanism.org</vt:lpwstr>
      </vt:variant>
      <vt:variant>
        <vt:lpwstr/>
      </vt:variant>
      <vt:variant>
        <vt:i4>7012445</vt:i4>
      </vt:variant>
      <vt:variant>
        <vt:i4>1335</vt:i4>
      </vt:variant>
      <vt:variant>
        <vt:i4>0</vt:i4>
      </vt:variant>
      <vt:variant>
        <vt:i4>5</vt:i4>
      </vt:variant>
      <vt:variant>
        <vt:lpwstr>mailto:selvinsantizo@gmail.com</vt:lpwstr>
      </vt:variant>
      <vt:variant>
        <vt:lpwstr/>
      </vt:variant>
      <vt:variant>
        <vt:i4>1179746</vt:i4>
      </vt:variant>
      <vt:variant>
        <vt:i4>1332</vt:i4>
      </vt:variant>
      <vt:variant>
        <vt:i4>0</vt:i4>
      </vt:variant>
      <vt:variant>
        <vt:i4>5</vt:i4>
      </vt:variant>
      <vt:variant>
        <vt:lpwstr>mailto:carlos.urizar@agexport.org</vt:lpwstr>
      </vt:variant>
      <vt:variant>
        <vt:lpwstr/>
      </vt:variant>
      <vt:variant>
        <vt:i4>7012443</vt:i4>
      </vt:variant>
      <vt:variant>
        <vt:i4>1329</vt:i4>
      </vt:variant>
      <vt:variant>
        <vt:i4>0</vt:i4>
      </vt:variant>
      <vt:variant>
        <vt:i4>5</vt:i4>
      </vt:variant>
      <vt:variant>
        <vt:lpwstr>mailto:jcmendez@gmail.com</vt:lpwstr>
      </vt:variant>
      <vt:variant>
        <vt:lpwstr/>
      </vt:variant>
      <vt:variant>
        <vt:i4>7405638</vt:i4>
      </vt:variant>
      <vt:variant>
        <vt:i4>1326</vt:i4>
      </vt:variant>
      <vt:variant>
        <vt:i4>0</vt:i4>
      </vt:variant>
      <vt:variant>
        <vt:i4>5</vt:i4>
      </vt:variant>
      <vt:variant>
        <vt:lpwstr>mailto:wmendez@hotmail.com</vt:lpwstr>
      </vt:variant>
      <vt:variant>
        <vt:lpwstr/>
      </vt:variant>
      <vt:variant>
        <vt:i4>6422548</vt:i4>
      </vt:variant>
      <vt:variant>
        <vt:i4>1323</vt:i4>
      </vt:variant>
      <vt:variant>
        <vt:i4>0</vt:i4>
      </vt:variant>
      <vt:variant>
        <vt:i4>5</vt:i4>
      </vt:variant>
      <vt:variant>
        <vt:lpwstr>mailto:orgden.rodas@pfnguate.org</vt:lpwstr>
      </vt:variant>
      <vt:variant>
        <vt:lpwstr/>
      </vt:variant>
      <vt:variant>
        <vt:i4>2162776</vt:i4>
      </vt:variant>
      <vt:variant>
        <vt:i4>1320</vt:i4>
      </vt:variant>
      <vt:variant>
        <vt:i4>0</vt:i4>
      </vt:variant>
      <vt:variant>
        <vt:i4>5</vt:i4>
      </vt:variant>
      <vt:variant>
        <vt:lpwstr>mailto:arevolorio@inab.gob.gt</vt:lpwstr>
      </vt:variant>
      <vt:variant>
        <vt:lpwstr/>
      </vt:variant>
      <vt:variant>
        <vt:i4>3604490</vt:i4>
      </vt:variant>
      <vt:variant>
        <vt:i4>1317</vt:i4>
      </vt:variant>
      <vt:variant>
        <vt:i4>0</vt:i4>
      </vt:variant>
      <vt:variant>
        <vt:i4>5</vt:i4>
      </vt:variant>
      <vt:variant>
        <vt:lpwstr>mailto:german.gonzalez@sesan.gob.gt</vt:lpwstr>
      </vt:variant>
      <vt:variant>
        <vt:lpwstr/>
      </vt:variant>
      <vt:variant>
        <vt:i4>1048619</vt:i4>
      </vt:variant>
      <vt:variant>
        <vt:i4>1314</vt:i4>
      </vt:variant>
      <vt:variant>
        <vt:i4>0</vt:i4>
      </vt:variant>
      <vt:variant>
        <vt:i4>5</vt:i4>
      </vt:variant>
      <vt:variant>
        <vt:lpwstr>mailto:danilocarba@gmail.com</vt:lpwstr>
      </vt:variant>
      <vt:variant>
        <vt:lpwstr/>
      </vt:variant>
      <vt:variant>
        <vt:i4>721015</vt:i4>
      </vt:variant>
      <vt:variant>
        <vt:i4>1311</vt:i4>
      </vt:variant>
      <vt:variant>
        <vt:i4>0</vt:i4>
      </vt:variant>
      <vt:variant>
        <vt:i4>5</vt:i4>
      </vt:variant>
      <vt:variant>
        <vt:lpwstr>mailto:arana.heber@yahoo.com</vt:lpwstr>
      </vt:variant>
      <vt:variant>
        <vt:lpwstr/>
      </vt:variant>
      <vt:variant>
        <vt:i4>1966195</vt:i4>
      </vt:variant>
      <vt:variant>
        <vt:i4>1308</vt:i4>
      </vt:variant>
      <vt:variant>
        <vt:i4>0</vt:i4>
      </vt:variant>
      <vt:variant>
        <vt:i4>5</vt:i4>
      </vt:variant>
      <vt:variant>
        <vt:lpwstr>mailto:mynor.dmm@funcafe.org</vt:lpwstr>
      </vt:variant>
      <vt:variant>
        <vt:lpwstr/>
      </vt:variant>
      <vt:variant>
        <vt:i4>7602329</vt:i4>
      </vt:variant>
      <vt:variant>
        <vt:i4>1305</vt:i4>
      </vt:variant>
      <vt:variant>
        <vt:i4>0</vt:i4>
      </vt:variant>
      <vt:variant>
        <vt:i4>5</vt:i4>
      </vt:variant>
      <vt:variant>
        <vt:lpwstr>mailto:arnoldo.mc@anacafé.org</vt:lpwstr>
      </vt:variant>
      <vt:variant>
        <vt:lpwstr/>
      </vt:variant>
      <vt:variant>
        <vt:i4>6553617</vt:i4>
      </vt:variant>
      <vt:variant>
        <vt:i4>1302</vt:i4>
      </vt:variant>
      <vt:variant>
        <vt:i4>0</vt:i4>
      </vt:variant>
      <vt:variant>
        <vt:i4>5</vt:i4>
      </vt:variant>
      <vt:variant>
        <vt:lpwstr>mailto:jlopez@catie.ac.cr</vt:lpwstr>
      </vt:variant>
      <vt:variant>
        <vt:lpwstr/>
      </vt:variant>
      <vt:variant>
        <vt:i4>7864324</vt:i4>
      </vt:variant>
      <vt:variant>
        <vt:i4>1299</vt:i4>
      </vt:variant>
      <vt:variant>
        <vt:i4>0</vt:i4>
      </vt:variant>
      <vt:variant>
        <vt:i4>5</vt:i4>
      </vt:variant>
      <vt:variant>
        <vt:lpwstr>mailto:orlando.queme@fidaoccidente.org</vt:lpwstr>
      </vt:variant>
      <vt:variant>
        <vt:lpwstr/>
      </vt:variant>
      <vt:variant>
        <vt:i4>7798799</vt:i4>
      </vt:variant>
      <vt:variant>
        <vt:i4>1296</vt:i4>
      </vt:variant>
      <vt:variant>
        <vt:i4>0</vt:i4>
      </vt:variant>
      <vt:variant>
        <vt:i4>5</vt:i4>
      </vt:variant>
      <vt:variant>
        <vt:lpwstr>mailto:jorge.medina@fidaoccidente.org</vt:lpwstr>
      </vt:variant>
      <vt:variant>
        <vt:lpwstr/>
      </vt:variant>
      <vt:variant>
        <vt:i4>786464</vt:i4>
      </vt:variant>
      <vt:variant>
        <vt:i4>1293</vt:i4>
      </vt:variant>
      <vt:variant>
        <vt:i4>0</vt:i4>
      </vt:variant>
      <vt:variant>
        <vt:i4>5</vt:i4>
      </vt:variant>
      <vt:variant>
        <vt:lpwstr>mailto:v.cardona.fida@gmail.com</vt:lpwstr>
      </vt:variant>
      <vt:variant>
        <vt:lpwstr/>
      </vt:variant>
      <vt:variant>
        <vt:i4>4325439</vt:i4>
      </vt:variant>
      <vt:variant>
        <vt:i4>1290</vt:i4>
      </vt:variant>
      <vt:variant>
        <vt:i4>0</vt:i4>
      </vt:variant>
      <vt:variant>
        <vt:i4>5</vt:i4>
      </vt:variant>
      <vt:variant>
        <vt:lpwstr>mailto:rlemus.fida@gmail.com</vt:lpwstr>
      </vt:variant>
      <vt:variant>
        <vt:lpwstr/>
      </vt:variant>
      <vt:variant>
        <vt:i4>2621548</vt:i4>
      </vt:variant>
      <vt:variant>
        <vt:i4>1209</vt:i4>
      </vt:variant>
      <vt:variant>
        <vt:i4>0</vt:i4>
      </vt:variant>
      <vt:variant>
        <vt:i4>5</vt:i4>
      </vt:variant>
      <vt:variant>
        <vt:lpwstr>http:///www.sica.int/sirsan</vt:lpwstr>
      </vt:variant>
      <vt:variant>
        <vt:lpwstr/>
      </vt:variant>
      <vt:variant>
        <vt:i4>2228312</vt:i4>
      </vt:variant>
      <vt:variant>
        <vt:i4>1101</vt:i4>
      </vt:variant>
      <vt:variant>
        <vt:i4>0</vt:i4>
      </vt:variant>
      <vt:variant>
        <vt:i4>5</vt:i4>
      </vt:variant>
      <vt:variant>
        <vt:lpwstr>http://www.segeplan.gob.gt/2.0/index.php?option=com_content&amp;view=article&amp;id=406:politicas-publicas&amp;catid=14:politicas-publicas&amp;Itemid=49</vt:lpwstr>
      </vt:variant>
      <vt:variant>
        <vt:lpwstr/>
      </vt:variant>
      <vt:variant>
        <vt:i4>2424891</vt:i4>
      </vt:variant>
      <vt:variant>
        <vt:i4>1098</vt:i4>
      </vt:variant>
      <vt:variant>
        <vt:i4>0</vt:i4>
      </vt:variant>
      <vt:variant>
        <vt:i4>5</vt:i4>
      </vt:variant>
      <vt:variant>
        <vt:lpwstr>http://www.foodfirst.org/files/bookstore/pdf/promisedland/1.pdf</vt:lpwstr>
      </vt:variant>
      <vt:variant>
        <vt:lpwstr/>
      </vt:variant>
      <vt:variant>
        <vt:i4>1572960</vt:i4>
      </vt:variant>
      <vt:variant>
        <vt:i4>1095</vt:i4>
      </vt:variant>
      <vt:variant>
        <vt:i4>0</vt:i4>
      </vt:variant>
      <vt:variant>
        <vt:i4>5</vt:i4>
      </vt:variant>
      <vt:variant>
        <vt:lpwstr>http://www.indexmundi.com/es/guatemala/poblacion_perfil.html</vt:lpwstr>
      </vt:variant>
      <vt:variant>
        <vt:lpwstr/>
      </vt:variant>
      <vt:variant>
        <vt:i4>1703996</vt:i4>
      </vt:variant>
      <vt:variant>
        <vt:i4>410</vt:i4>
      </vt:variant>
      <vt:variant>
        <vt:i4>0</vt:i4>
      </vt:variant>
      <vt:variant>
        <vt:i4>5</vt:i4>
      </vt:variant>
      <vt:variant>
        <vt:lpwstr/>
      </vt:variant>
      <vt:variant>
        <vt:lpwstr>_Toc343098516</vt:lpwstr>
      </vt:variant>
      <vt:variant>
        <vt:i4>1703996</vt:i4>
      </vt:variant>
      <vt:variant>
        <vt:i4>404</vt:i4>
      </vt:variant>
      <vt:variant>
        <vt:i4>0</vt:i4>
      </vt:variant>
      <vt:variant>
        <vt:i4>5</vt:i4>
      </vt:variant>
      <vt:variant>
        <vt:lpwstr/>
      </vt:variant>
      <vt:variant>
        <vt:lpwstr>_Toc343098515</vt:lpwstr>
      </vt:variant>
      <vt:variant>
        <vt:i4>1703996</vt:i4>
      </vt:variant>
      <vt:variant>
        <vt:i4>398</vt:i4>
      </vt:variant>
      <vt:variant>
        <vt:i4>0</vt:i4>
      </vt:variant>
      <vt:variant>
        <vt:i4>5</vt:i4>
      </vt:variant>
      <vt:variant>
        <vt:lpwstr/>
      </vt:variant>
      <vt:variant>
        <vt:lpwstr>_Toc343098514</vt:lpwstr>
      </vt:variant>
      <vt:variant>
        <vt:i4>1703996</vt:i4>
      </vt:variant>
      <vt:variant>
        <vt:i4>392</vt:i4>
      </vt:variant>
      <vt:variant>
        <vt:i4>0</vt:i4>
      </vt:variant>
      <vt:variant>
        <vt:i4>5</vt:i4>
      </vt:variant>
      <vt:variant>
        <vt:lpwstr/>
      </vt:variant>
      <vt:variant>
        <vt:lpwstr>_Toc343098513</vt:lpwstr>
      </vt:variant>
      <vt:variant>
        <vt:i4>1703996</vt:i4>
      </vt:variant>
      <vt:variant>
        <vt:i4>386</vt:i4>
      </vt:variant>
      <vt:variant>
        <vt:i4>0</vt:i4>
      </vt:variant>
      <vt:variant>
        <vt:i4>5</vt:i4>
      </vt:variant>
      <vt:variant>
        <vt:lpwstr/>
      </vt:variant>
      <vt:variant>
        <vt:lpwstr>_Toc343098512</vt:lpwstr>
      </vt:variant>
      <vt:variant>
        <vt:i4>1703996</vt:i4>
      </vt:variant>
      <vt:variant>
        <vt:i4>380</vt:i4>
      </vt:variant>
      <vt:variant>
        <vt:i4>0</vt:i4>
      </vt:variant>
      <vt:variant>
        <vt:i4>5</vt:i4>
      </vt:variant>
      <vt:variant>
        <vt:lpwstr/>
      </vt:variant>
      <vt:variant>
        <vt:lpwstr>_Toc343098511</vt:lpwstr>
      </vt:variant>
      <vt:variant>
        <vt:i4>1703996</vt:i4>
      </vt:variant>
      <vt:variant>
        <vt:i4>374</vt:i4>
      </vt:variant>
      <vt:variant>
        <vt:i4>0</vt:i4>
      </vt:variant>
      <vt:variant>
        <vt:i4>5</vt:i4>
      </vt:variant>
      <vt:variant>
        <vt:lpwstr/>
      </vt:variant>
      <vt:variant>
        <vt:lpwstr>_Toc343098510</vt:lpwstr>
      </vt:variant>
      <vt:variant>
        <vt:i4>1769532</vt:i4>
      </vt:variant>
      <vt:variant>
        <vt:i4>368</vt:i4>
      </vt:variant>
      <vt:variant>
        <vt:i4>0</vt:i4>
      </vt:variant>
      <vt:variant>
        <vt:i4>5</vt:i4>
      </vt:variant>
      <vt:variant>
        <vt:lpwstr/>
      </vt:variant>
      <vt:variant>
        <vt:lpwstr>_Toc343098509</vt:lpwstr>
      </vt:variant>
      <vt:variant>
        <vt:i4>1769532</vt:i4>
      </vt:variant>
      <vt:variant>
        <vt:i4>362</vt:i4>
      </vt:variant>
      <vt:variant>
        <vt:i4>0</vt:i4>
      </vt:variant>
      <vt:variant>
        <vt:i4>5</vt:i4>
      </vt:variant>
      <vt:variant>
        <vt:lpwstr/>
      </vt:variant>
      <vt:variant>
        <vt:lpwstr>_Toc343098508</vt:lpwstr>
      </vt:variant>
      <vt:variant>
        <vt:i4>1769532</vt:i4>
      </vt:variant>
      <vt:variant>
        <vt:i4>356</vt:i4>
      </vt:variant>
      <vt:variant>
        <vt:i4>0</vt:i4>
      </vt:variant>
      <vt:variant>
        <vt:i4>5</vt:i4>
      </vt:variant>
      <vt:variant>
        <vt:lpwstr/>
      </vt:variant>
      <vt:variant>
        <vt:lpwstr>_Toc343098507</vt:lpwstr>
      </vt:variant>
      <vt:variant>
        <vt:i4>1769532</vt:i4>
      </vt:variant>
      <vt:variant>
        <vt:i4>350</vt:i4>
      </vt:variant>
      <vt:variant>
        <vt:i4>0</vt:i4>
      </vt:variant>
      <vt:variant>
        <vt:i4>5</vt:i4>
      </vt:variant>
      <vt:variant>
        <vt:lpwstr/>
      </vt:variant>
      <vt:variant>
        <vt:lpwstr>_Toc343098506</vt:lpwstr>
      </vt:variant>
      <vt:variant>
        <vt:i4>1769532</vt:i4>
      </vt:variant>
      <vt:variant>
        <vt:i4>344</vt:i4>
      </vt:variant>
      <vt:variant>
        <vt:i4>0</vt:i4>
      </vt:variant>
      <vt:variant>
        <vt:i4>5</vt:i4>
      </vt:variant>
      <vt:variant>
        <vt:lpwstr/>
      </vt:variant>
      <vt:variant>
        <vt:lpwstr>_Toc343098505</vt:lpwstr>
      </vt:variant>
      <vt:variant>
        <vt:i4>1769532</vt:i4>
      </vt:variant>
      <vt:variant>
        <vt:i4>338</vt:i4>
      </vt:variant>
      <vt:variant>
        <vt:i4>0</vt:i4>
      </vt:variant>
      <vt:variant>
        <vt:i4>5</vt:i4>
      </vt:variant>
      <vt:variant>
        <vt:lpwstr/>
      </vt:variant>
      <vt:variant>
        <vt:lpwstr>_Toc343098504</vt:lpwstr>
      </vt:variant>
      <vt:variant>
        <vt:i4>1769532</vt:i4>
      </vt:variant>
      <vt:variant>
        <vt:i4>332</vt:i4>
      </vt:variant>
      <vt:variant>
        <vt:i4>0</vt:i4>
      </vt:variant>
      <vt:variant>
        <vt:i4>5</vt:i4>
      </vt:variant>
      <vt:variant>
        <vt:lpwstr/>
      </vt:variant>
      <vt:variant>
        <vt:lpwstr>_Toc343098503</vt:lpwstr>
      </vt:variant>
      <vt:variant>
        <vt:i4>1769532</vt:i4>
      </vt:variant>
      <vt:variant>
        <vt:i4>326</vt:i4>
      </vt:variant>
      <vt:variant>
        <vt:i4>0</vt:i4>
      </vt:variant>
      <vt:variant>
        <vt:i4>5</vt:i4>
      </vt:variant>
      <vt:variant>
        <vt:lpwstr/>
      </vt:variant>
      <vt:variant>
        <vt:lpwstr>_Toc343098502</vt:lpwstr>
      </vt:variant>
      <vt:variant>
        <vt:i4>1769532</vt:i4>
      </vt:variant>
      <vt:variant>
        <vt:i4>320</vt:i4>
      </vt:variant>
      <vt:variant>
        <vt:i4>0</vt:i4>
      </vt:variant>
      <vt:variant>
        <vt:i4>5</vt:i4>
      </vt:variant>
      <vt:variant>
        <vt:lpwstr/>
      </vt:variant>
      <vt:variant>
        <vt:lpwstr>_Toc343098501</vt:lpwstr>
      </vt:variant>
      <vt:variant>
        <vt:i4>1769532</vt:i4>
      </vt:variant>
      <vt:variant>
        <vt:i4>314</vt:i4>
      </vt:variant>
      <vt:variant>
        <vt:i4>0</vt:i4>
      </vt:variant>
      <vt:variant>
        <vt:i4>5</vt:i4>
      </vt:variant>
      <vt:variant>
        <vt:lpwstr/>
      </vt:variant>
      <vt:variant>
        <vt:lpwstr>_Toc343098500</vt:lpwstr>
      </vt:variant>
      <vt:variant>
        <vt:i4>1179709</vt:i4>
      </vt:variant>
      <vt:variant>
        <vt:i4>308</vt:i4>
      </vt:variant>
      <vt:variant>
        <vt:i4>0</vt:i4>
      </vt:variant>
      <vt:variant>
        <vt:i4>5</vt:i4>
      </vt:variant>
      <vt:variant>
        <vt:lpwstr/>
      </vt:variant>
      <vt:variant>
        <vt:lpwstr>_Toc343098499</vt:lpwstr>
      </vt:variant>
      <vt:variant>
        <vt:i4>1179709</vt:i4>
      </vt:variant>
      <vt:variant>
        <vt:i4>302</vt:i4>
      </vt:variant>
      <vt:variant>
        <vt:i4>0</vt:i4>
      </vt:variant>
      <vt:variant>
        <vt:i4>5</vt:i4>
      </vt:variant>
      <vt:variant>
        <vt:lpwstr/>
      </vt:variant>
      <vt:variant>
        <vt:lpwstr>_Toc343098498</vt:lpwstr>
      </vt:variant>
      <vt:variant>
        <vt:i4>1179709</vt:i4>
      </vt:variant>
      <vt:variant>
        <vt:i4>296</vt:i4>
      </vt:variant>
      <vt:variant>
        <vt:i4>0</vt:i4>
      </vt:variant>
      <vt:variant>
        <vt:i4>5</vt:i4>
      </vt:variant>
      <vt:variant>
        <vt:lpwstr/>
      </vt:variant>
      <vt:variant>
        <vt:lpwstr>_Toc343098497</vt:lpwstr>
      </vt:variant>
      <vt:variant>
        <vt:i4>1179709</vt:i4>
      </vt:variant>
      <vt:variant>
        <vt:i4>290</vt:i4>
      </vt:variant>
      <vt:variant>
        <vt:i4>0</vt:i4>
      </vt:variant>
      <vt:variant>
        <vt:i4>5</vt:i4>
      </vt:variant>
      <vt:variant>
        <vt:lpwstr/>
      </vt:variant>
      <vt:variant>
        <vt:lpwstr>_Toc343098496</vt:lpwstr>
      </vt:variant>
      <vt:variant>
        <vt:i4>1179709</vt:i4>
      </vt:variant>
      <vt:variant>
        <vt:i4>284</vt:i4>
      </vt:variant>
      <vt:variant>
        <vt:i4>0</vt:i4>
      </vt:variant>
      <vt:variant>
        <vt:i4>5</vt:i4>
      </vt:variant>
      <vt:variant>
        <vt:lpwstr/>
      </vt:variant>
      <vt:variant>
        <vt:lpwstr>_Toc343098495</vt:lpwstr>
      </vt:variant>
      <vt:variant>
        <vt:i4>1179709</vt:i4>
      </vt:variant>
      <vt:variant>
        <vt:i4>278</vt:i4>
      </vt:variant>
      <vt:variant>
        <vt:i4>0</vt:i4>
      </vt:variant>
      <vt:variant>
        <vt:i4>5</vt:i4>
      </vt:variant>
      <vt:variant>
        <vt:lpwstr/>
      </vt:variant>
      <vt:variant>
        <vt:lpwstr>_Toc343098494</vt:lpwstr>
      </vt:variant>
      <vt:variant>
        <vt:i4>1179709</vt:i4>
      </vt:variant>
      <vt:variant>
        <vt:i4>272</vt:i4>
      </vt:variant>
      <vt:variant>
        <vt:i4>0</vt:i4>
      </vt:variant>
      <vt:variant>
        <vt:i4>5</vt:i4>
      </vt:variant>
      <vt:variant>
        <vt:lpwstr/>
      </vt:variant>
      <vt:variant>
        <vt:lpwstr>_Toc343098493</vt:lpwstr>
      </vt:variant>
      <vt:variant>
        <vt:i4>1179709</vt:i4>
      </vt:variant>
      <vt:variant>
        <vt:i4>266</vt:i4>
      </vt:variant>
      <vt:variant>
        <vt:i4>0</vt:i4>
      </vt:variant>
      <vt:variant>
        <vt:i4>5</vt:i4>
      </vt:variant>
      <vt:variant>
        <vt:lpwstr/>
      </vt:variant>
      <vt:variant>
        <vt:lpwstr>_Toc343098492</vt:lpwstr>
      </vt:variant>
      <vt:variant>
        <vt:i4>1179709</vt:i4>
      </vt:variant>
      <vt:variant>
        <vt:i4>260</vt:i4>
      </vt:variant>
      <vt:variant>
        <vt:i4>0</vt:i4>
      </vt:variant>
      <vt:variant>
        <vt:i4>5</vt:i4>
      </vt:variant>
      <vt:variant>
        <vt:lpwstr/>
      </vt:variant>
      <vt:variant>
        <vt:lpwstr>_Toc343098491</vt:lpwstr>
      </vt:variant>
      <vt:variant>
        <vt:i4>1376304</vt:i4>
      </vt:variant>
      <vt:variant>
        <vt:i4>251</vt:i4>
      </vt:variant>
      <vt:variant>
        <vt:i4>0</vt:i4>
      </vt:variant>
      <vt:variant>
        <vt:i4>5</vt:i4>
      </vt:variant>
      <vt:variant>
        <vt:lpwstr/>
      </vt:variant>
      <vt:variant>
        <vt:lpwstr>_Toc343164639</vt:lpwstr>
      </vt:variant>
      <vt:variant>
        <vt:i4>1376304</vt:i4>
      </vt:variant>
      <vt:variant>
        <vt:i4>245</vt:i4>
      </vt:variant>
      <vt:variant>
        <vt:i4>0</vt:i4>
      </vt:variant>
      <vt:variant>
        <vt:i4>5</vt:i4>
      </vt:variant>
      <vt:variant>
        <vt:lpwstr/>
      </vt:variant>
      <vt:variant>
        <vt:lpwstr>_Toc343164638</vt:lpwstr>
      </vt:variant>
      <vt:variant>
        <vt:i4>1376304</vt:i4>
      </vt:variant>
      <vt:variant>
        <vt:i4>239</vt:i4>
      </vt:variant>
      <vt:variant>
        <vt:i4>0</vt:i4>
      </vt:variant>
      <vt:variant>
        <vt:i4>5</vt:i4>
      </vt:variant>
      <vt:variant>
        <vt:lpwstr/>
      </vt:variant>
      <vt:variant>
        <vt:lpwstr>_Toc343164637</vt:lpwstr>
      </vt:variant>
      <vt:variant>
        <vt:i4>1376304</vt:i4>
      </vt:variant>
      <vt:variant>
        <vt:i4>233</vt:i4>
      </vt:variant>
      <vt:variant>
        <vt:i4>0</vt:i4>
      </vt:variant>
      <vt:variant>
        <vt:i4>5</vt:i4>
      </vt:variant>
      <vt:variant>
        <vt:lpwstr/>
      </vt:variant>
      <vt:variant>
        <vt:lpwstr>_Toc343164636</vt:lpwstr>
      </vt:variant>
      <vt:variant>
        <vt:i4>1376304</vt:i4>
      </vt:variant>
      <vt:variant>
        <vt:i4>227</vt:i4>
      </vt:variant>
      <vt:variant>
        <vt:i4>0</vt:i4>
      </vt:variant>
      <vt:variant>
        <vt:i4>5</vt:i4>
      </vt:variant>
      <vt:variant>
        <vt:lpwstr/>
      </vt:variant>
      <vt:variant>
        <vt:lpwstr>_Toc343164635</vt:lpwstr>
      </vt:variant>
      <vt:variant>
        <vt:i4>1376304</vt:i4>
      </vt:variant>
      <vt:variant>
        <vt:i4>221</vt:i4>
      </vt:variant>
      <vt:variant>
        <vt:i4>0</vt:i4>
      </vt:variant>
      <vt:variant>
        <vt:i4>5</vt:i4>
      </vt:variant>
      <vt:variant>
        <vt:lpwstr/>
      </vt:variant>
      <vt:variant>
        <vt:lpwstr>_Toc343164634</vt:lpwstr>
      </vt:variant>
      <vt:variant>
        <vt:i4>1376304</vt:i4>
      </vt:variant>
      <vt:variant>
        <vt:i4>215</vt:i4>
      </vt:variant>
      <vt:variant>
        <vt:i4>0</vt:i4>
      </vt:variant>
      <vt:variant>
        <vt:i4>5</vt:i4>
      </vt:variant>
      <vt:variant>
        <vt:lpwstr/>
      </vt:variant>
      <vt:variant>
        <vt:lpwstr>_Toc343164633</vt:lpwstr>
      </vt:variant>
      <vt:variant>
        <vt:i4>1376304</vt:i4>
      </vt:variant>
      <vt:variant>
        <vt:i4>209</vt:i4>
      </vt:variant>
      <vt:variant>
        <vt:i4>0</vt:i4>
      </vt:variant>
      <vt:variant>
        <vt:i4>5</vt:i4>
      </vt:variant>
      <vt:variant>
        <vt:lpwstr/>
      </vt:variant>
      <vt:variant>
        <vt:lpwstr>_Toc343164632</vt:lpwstr>
      </vt:variant>
      <vt:variant>
        <vt:i4>1376304</vt:i4>
      </vt:variant>
      <vt:variant>
        <vt:i4>203</vt:i4>
      </vt:variant>
      <vt:variant>
        <vt:i4>0</vt:i4>
      </vt:variant>
      <vt:variant>
        <vt:i4>5</vt:i4>
      </vt:variant>
      <vt:variant>
        <vt:lpwstr/>
      </vt:variant>
      <vt:variant>
        <vt:lpwstr>_Toc343164631</vt:lpwstr>
      </vt:variant>
      <vt:variant>
        <vt:i4>1507383</vt:i4>
      </vt:variant>
      <vt:variant>
        <vt:i4>194</vt:i4>
      </vt:variant>
      <vt:variant>
        <vt:i4>0</vt:i4>
      </vt:variant>
      <vt:variant>
        <vt:i4>5</vt:i4>
      </vt:variant>
      <vt:variant>
        <vt:lpwstr/>
      </vt:variant>
      <vt:variant>
        <vt:lpwstr>_Toc343176038</vt:lpwstr>
      </vt:variant>
      <vt:variant>
        <vt:i4>1507383</vt:i4>
      </vt:variant>
      <vt:variant>
        <vt:i4>188</vt:i4>
      </vt:variant>
      <vt:variant>
        <vt:i4>0</vt:i4>
      </vt:variant>
      <vt:variant>
        <vt:i4>5</vt:i4>
      </vt:variant>
      <vt:variant>
        <vt:lpwstr/>
      </vt:variant>
      <vt:variant>
        <vt:lpwstr>_Toc343176037</vt:lpwstr>
      </vt:variant>
      <vt:variant>
        <vt:i4>1507383</vt:i4>
      </vt:variant>
      <vt:variant>
        <vt:i4>182</vt:i4>
      </vt:variant>
      <vt:variant>
        <vt:i4>0</vt:i4>
      </vt:variant>
      <vt:variant>
        <vt:i4>5</vt:i4>
      </vt:variant>
      <vt:variant>
        <vt:lpwstr/>
      </vt:variant>
      <vt:variant>
        <vt:lpwstr>_Toc343176036</vt:lpwstr>
      </vt:variant>
      <vt:variant>
        <vt:i4>1507383</vt:i4>
      </vt:variant>
      <vt:variant>
        <vt:i4>176</vt:i4>
      </vt:variant>
      <vt:variant>
        <vt:i4>0</vt:i4>
      </vt:variant>
      <vt:variant>
        <vt:i4>5</vt:i4>
      </vt:variant>
      <vt:variant>
        <vt:lpwstr/>
      </vt:variant>
      <vt:variant>
        <vt:lpwstr>_Toc343176035</vt:lpwstr>
      </vt:variant>
      <vt:variant>
        <vt:i4>1507383</vt:i4>
      </vt:variant>
      <vt:variant>
        <vt:i4>170</vt:i4>
      </vt:variant>
      <vt:variant>
        <vt:i4>0</vt:i4>
      </vt:variant>
      <vt:variant>
        <vt:i4>5</vt:i4>
      </vt:variant>
      <vt:variant>
        <vt:lpwstr/>
      </vt:variant>
      <vt:variant>
        <vt:lpwstr>_Toc343176034</vt:lpwstr>
      </vt:variant>
      <vt:variant>
        <vt:i4>1507383</vt:i4>
      </vt:variant>
      <vt:variant>
        <vt:i4>164</vt:i4>
      </vt:variant>
      <vt:variant>
        <vt:i4>0</vt:i4>
      </vt:variant>
      <vt:variant>
        <vt:i4>5</vt:i4>
      </vt:variant>
      <vt:variant>
        <vt:lpwstr/>
      </vt:variant>
      <vt:variant>
        <vt:lpwstr>_Toc343176033</vt:lpwstr>
      </vt:variant>
      <vt:variant>
        <vt:i4>1507383</vt:i4>
      </vt:variant>
      <vt:variant>
        <vt:i4>158</vt:i4>
      </vt:variant>
      <vt:variant>
        <vt:i4>0</vt:i4>
      </vt:variant>
      <vt:variant>
        <vt:i4>5</vt:i4>
      </vt:variant>
      <vt:variant>
        <vt:lpwstr/>
      </vt:variant>
      <vt:variant>
        <vt:lpwstr>_Toc343176032</vt:lpwstr>
      </vt:variant>
      <vt:variant>
        <vt:i4>1507383</vt:i4>
      </vt:variant>
      <vt:variant>
        <vt:i4>152</vt:i4>
      </vt:variant>
      <vt:variant>
        <vt:i4>0</vt:i4>
      </vt:variant>
      <vt:variant>
        <vt:i4>5</vt:i4>
      </vt:variant>
      <vt:variant>
        <vt:lpwstr/>
      </vt:variant>
      <vt:variant>
        <vt:lpwstr>_Toc343176031</vt:lpwstr>
      </vt:variant>
      <vt:variant>
        <vt:i4>1507383</vt:i4>
      </vt:variant>
      <vt:variant>
        <vt:i4>146</vt:i4>
      </vt:variant>
      <vt:variant>
        <vt:i4>0</vt:i4>
      </vt:variant>
      <vt:variant>
        <vt:i4>5</vt:i4>
      </vt:variant>
      <vt:variant>
        <vt:lpwstr/>
      </vt:variant>
      <vt:variant>
        <vt:lpwstr>_Toc343176030</vt:lpwstr>
      </vt:variant>
      <vt:variant>
        <vt:i4>1441847</vt:i4>
      </vt:variant>
      <vt:variant>
        <vt:i4>140</vt:i4>
      </vt:variant>
      <vt:variant>
        <vt:i4>0</vt:i4>
      </vt:variant>
      <vt:variant>
        <vt:i4>5</vt:i4>
      </vt:variant>
      <vt:variant>
        <vt:lpwstr/>
      </vt:variant>
      <vt:variant>
        <vt:lpwstr>_Toc343176029</vt:lpwstr>
      </vt:variant>
      <vt:variant>
        <vt:i4>1441847</vt:i4>
      </vt:variant>
      <vt:variant>
        <vt:i4>134</vt:i4>
      </vt:variant>
      <vt:variant>
        <vt:i4>0</vt:i4>
      </vt:variant>
      <vt:variant>
        <vt:i4>5</vt:i4>
      </vt:variant>
      <vt:variant>
        <vt:lpwstr/>
      </vt:variant>
      <vt:variant>
        <vt:lpwstr>_Toc343176028</vt:lpwstr>
      </vt:variant>
      <vt:variant>
        <vt:i4>1441847</vt:i4>
      </vt:variant>
      <vt:variant>
        <vt:i4>128</vt:i4>
      </vt:variant>
      <vt:variant>
        <vt:i4>0</vt:i4>
      </vt:variant>
      <vt:variant>
        <vt:i4>5</vt:i4>
      </vt:variant>
      <vt:variant>
        <vt:lpwstr/>
      </vt:variant>
      <vt:variant>
        <vt:lpwstr>_Toc343176027</vt:lpwstr>
      </vt:variant>
      <vt:variant>
        <vt:i4>1441847</vt:i4>
      </vt:variant>
      <vt:variant>
        <vt:i4>122</vt:i4>
      </vt:variant>
      <vt:variant>
        <vt:i4>0</vt:i4>
      </vt:variant>
      <vt:variant>
        <vt:i4>5</vt:i4>
      </vt:variant>
      <vt:variant>
        <vt:lpwstr/>
      </vt:variant>
      <vt:variant>
        <vt:lpwstr>_Toc343176026</vt:lpwstr>
      </vt:variant>
      <vt:variant>
        <vt:i4>1441847</vt:i4>
      </vt:variant>
      <vt:variant>
        <vt:i4>116</vt:i4>
      </vt:variant>
      <vt:variant>
        <vt:i4>0</vt:i4>
      </vt:variant>
      <vt:variant>
        <vt:i4>5</vt:i4>
      </vt:variant>
      <vt:variant>
        <vt:lpwstr/>
      </vt:variant>
      <vt:variant>
        <vt:lpwstr>_Toc343176025</vt:lpwstr>
      </vt:variant>
      <vt:variant>
        <vt:i4>1441847</vt:i4>
      </vt:variant>
      <vt:variant>
        <vt:i4>110</vt:i4>
      </vt:variant>
      <vt:variant>
        <vt:i4>0</vt:i4>
      </vt:variant>
      <vt:variant>
        <vt:i4>5</vt:i4>
      </vt:variant>
      <vt:variant>
        <vt:lpwstr/>
      </vt:variant>
      <vt:variant>
        <vt:lpwstr>_Toc343176024</vt:lpwstr>
      </vt:variant>
      <vt:variant>
        <vt:i4>1441847</vt:i4>
      </vt:variant>
      <vt:variant>
        <vt:i4>104</vt:i4>
      </vt:variant>
      <vt:variant>
        <vt:i4>0</vt:i4>
      </vt:variant>
      <vt:variant>
        <vt:i4>5</vt:i4>
      </vt:variant>
      <vt:variant>
        <vt:lpwstr/>
      </vt:variant>
      <vt:variant>
        <vt:lpwstr>_Toc343176023</vt:lpwstr>
      </vt:variant>
      <vt:variant>
        <vt:i4>1441847</vt:i4>
      </vt:variant>
      <vt:variant>
        <vt:i4>98</vt:i4>
      </vt:variant>
      <vt:variant>
        <vt:i4>0</vt:i4>
      </vt:variant>
      <vt:variant>
        <vt:i4>5</vt:i4>
      </vt:variant>
      <vt:variant>
        <vt:lpwstr/>
      </vt:variant>
      <vt:variant>
        <vt:lpwstr>_Toc343176022</vt:lpwstr>
      </vt:variant>
      <vt:variant>
        <vt:i4>1441847</vt:i4>
      </vt:variant>
      <vt:variant>
        <vt:i4>92</vt:i4>
      </vt:variant>
      <vt:variant>
        <vt:i4>0</vt:i4>
      </vt:variant>
      <vt:variant>
        <vt:i4>5</vt:i4>
      </vt:variant>
      <vt:variant>
        <vt:lpwstr/>
      </vt:variant>
      <vt:variant>
        <vt:lpwstr>_Toc343176021</vt:lpwstr>
      </vt:variant>
      <vt:variant>
        <vt:i4>1441847</vt:i4>
      </vt:variant>
      <vt:variant>
        <vt:i4>86</vt:i4>
      </vt:variant>
      <vt:variant>
        <vt:i4>0</vt:i4>
      </vt:variant>
      <vt:variant>
        <vt:i4>5</vt:i4>
      </vt:variant>
      <vt:variant>
        <vt:lpwstr/>
      </vt:variant>
      <vt:variant>
        <vt:lpwstr>_Toc343176020</vt:lpwstr>
      </vt:variant>
      <vt:variant>
        <vt:i4>1376311</vt:i4>
      </vt:variant>
      <vt:variant>
        <vt:i4>80</vt:i4>
      </vt:variant>
      <vt:variant>
        <vt:i4>0</vt:i4>
      </vt:variant>
      <vt:variant>
        <vt:i4>5</vt:i4>
      </vt:variant>
      <vt:variant>
        <vt:lpwstr/>
      </vt:variant>
      <vt:variant>
        <vt:lpwstr>_Toc343176019</vt:lpwstr>
      </vt:variant>
      <vt:variant>
        <vt:i4>1376311</vt:i4>
      </vt:variant>
      <vt:variant>
        <vt:i4>74</vt:i4>
      </vt:variant>
      <vt:variant>
        <vt:i4>0</vt:i4>
      </vt:variant>
      <vt:variant>
        <vt:i4>5</vt:i4>
      </vt:variant>
      <vt:variant>
        <vt:lpwstr/>
      </vt:variant>
      <vt:variant>
        <vt:lpwstr>_Toc343176018</vt:lpwstr>
      </vt:variant>
      <vt:variant>
        <vt:i4>1376311</vt:i4>
      </vt:variant>
      <vt:variant>
        <vt:i4>68</vt:i4>
      </vt:variant>
      <vt:variant>
        <vt:i4>0</vt:i4>
      </vt:variant>
      <vt:variant>
        <vt:i4>5</vt:i4>
      </vt:variant>
      <vt:variant>
        <vt:lpwstr/>
      </vt:variant>
      <vt:variant>
        <vt:lpwstr>_Toc343176017</vt:lpwstr>
      </vt:variant>
      <vt:variant>
        <vt:i4>1376311</vt:i4>
      </vt:variant>
      <vt:variant>
        <vt:i4>62</vt:i4>
      </vt:variant>
      <vt:variant>
        <vt:i4>0</vt:i4>
      </vt:variant>
      <vt:variant>
        <vt:i4>5</vt:i4>
      </vt:variant>
      <vt:variant>
        <vt:lpwstr/>
      </vt:variant>
      <vt:variant>
        <vt:lpwstr>_Toc343176016</vt:lpwstr>
      </vt:variant>
      <vt:variant>
        <vt:i4>1376311</vt:i4>
      </vt:variant>
      <vt:variant>
        <vt:i4>56</vt:i4>
      </vt:variant>
      <vt:variant>
        <vt:i4>0</vt:i4>
      </vt:variant>
      <vt:variant>
        <vt:i4>5</vt:i4>
      </vt:variant>
      <vt:variant>
        <vt:lpwstr/>
      </vt:variant>
      <vt:variant>
        <vt:lpwstr>_Toc343176015</vt:lpwstr>
      </vt:variant>
      <vt:variant>
        <vt:i4>1376311</vt:i4>
      </vt:variant>
      <vt:variant>
        <vt:i4>50</vt:i4>
      </vt:variant>
      <vt:variant>
        <vt:i4>0</vt:i4>
      </vt:variant>
      <vt:variant>
        <vt:i4>5</vt:i4>
      </vt:variant>
      <vt:variant>
        <vt:lpwstr/>
      </vt:variant>
      <vt:variant>
        <vt:lpwstr>_Toc343176014</vt:lpwstr>
      </vt:variant>
      <vt:variant>
        <vt:i4>1376311</vt:i4>
      </vt:variant>
      <vt:variant>
        <vt:i4>44</vt:i4>
      </vt:variant>
      <vt:variant>
        <vt:i4>0</vt:i4>
      </vt:variant>
      <vt:variant>
        <vt:i4>5</vt:i4>
      </vt:variant>
      <vt:variant>
        <vt:lpwstr/>
      </vt:variant>
      <vt:variant>
        <vt:lpwstr>_Toc343176013</vt:lpwstr>
      </vt:variant>
      <vt:variant>
        <vt:i4>1376311</vt:i4>
      </vt:variant>
      <vt:variant>
        <vt:i4>38</vt:i4>
      </vt:variant>
      <vt:variant>
        <vt:i4>0</vt:i4>
      </vt:variant>
      <vt:variant>
        <vt:i4>5</vt:i4>
      </vt:variant>
      <vt:variant>
        <vt:lpwstr/>
      </vt:variant>
      <vt:variant>
        <vt:lpwstr>_Toc343176012</vt:lpwstr>
      </vt:variant>
      <vt:variant>
        <vt:i4>1376311</vt:i4>
      </vt:variant>
      <vt:variant>
        <vt:i4>32</vt:i4>
      </vt:variant>
      <vt:variant>
        <vt:i4>0</vt:i4>
      </vt:variant>
      <vt:variant>
        <vt:i4>5</vt:i4>
      </vt:variant>
      <vt:variant>
        <vt:lpwstr/>
      </vt:variant>
      <vt:variant>
        <vt:lpwstr>_Toc343176011</vt:lpwstr>
      </vt:variant>
      <vt:variant>
        <vt:i4>1376311</vt:i4>
      </vt:variant>
      <vt:variant>
        <vt:i4>26</vt:i4>
      </vt:variant>
      <vt:variant>
        <vt:i4>0</vt:i4>
      </vt:variant>
      <vt:variant>
        <vt:i4>5</vt:i4>
      </vt:variant>
      <vt:variant>
        <vt:lpwstr/>
      </vt:variant>
      <vt:variant>
        <vt:lpwstr>_Toc343176010</vt:lpwstr>
      </vt:variant>
      <vt:variant>
        <vt:i4>1310775</vt:i4>
      </vt:variant>
      <vt:variant>
        <vt:i4>20</vt:i4>
      </vt:variant>
      <vt:variant>
        <vt:i4>0</vt:i4>
      </vt:variant>
      <vt:variant>
        <vt:i4>5</vt:i4>
      </vt:variant>
      <vt:variant>
        <vt:lpwstr/>
      </vt:variant>
      <vt:variant>
        <vt:lpwstr>_Toc343176009</vt:lpwstr>
      </vt:variant>
      <vt:variant>
        <vt:i4>1310775</vt:i4>
      </vt:variant>
      <vt:variant>
        <vt:i4>14</vt:i4>
      </vt:variant>
      <vt:variant>
        <vt:i4>0</vt:i4>
      </vt:variant>
      <vt:variant>
        <vt:i4>5</vt:i4>
      </vt:variant>
      <vt:variant>
        <vt:lpwstr/>
      </vt:variant>
      <vt:variant>
        <vt:lpwstr>_Toc343176008</vt:lpwstr>
      </vt:variant>
      <vt:variant>
        <vt:i4>1310775</vt:i4>
      </vt:variant>
      <vt:variant>
        <vt:i4>8</vt:i4>
      </vt:variant>
      <vt:variant>
        <vt:i4>0</vt:i4>
      </vt:variant>
      <vt:variant>
        <vt:i4>5</vt:i4>
      </vt:variant>
      <vt:variant>
        <vt:lpwstr/>
      </vt:variant>
      <vt:variant>
        <vt:lpwstr>_Toc343176007</vt:lpwstr>
      </vt:variant>
      <vt:variant>
        <vt:i4>1310775</vt:i4>
      </vt:variant>
      <vt:variant>
        <vt:i4>2</vt:i4>
      </vt:variant>
      <vt:variant>
        <vt:i4>0</vt:i4>
      </vt:variant>
      <vt:variant>
        <vt:i4>5</vt:i4>
      </vt:variant>
      <vt:variant>
        <vt:lpwstr/>
      </vt:variant>
      <vt:variant>
        <vt:lpwstr>_Toc343176006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EVALUACION AMBIENTAL ESTRATEGICA</dc:title>
  <dc:creator>GEOTECNOLOGICA</dc:creator>
  <cp:lastModifiedBy>Cecilia Isabel Cleaves Herrera</cp:lastModifiedBy>
  <cp:revision>132</cp:revision>
  <cp:lastPrinted>2013-01-15T17:44:00Z</cp:lastPrinted>
  <dcterms:created xsi:type="dcterms:W3CDTF">2013-01-23T21:21:00Z</dcterms:created>
  <dcterms:modified xsi:type="dcterms:W3CDTF">2013-02-05T21:25:00Z</dcterms:modified>
</cp:coreProperties>
</file>